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erdq量表对高原地区肥胖患者胃食管反流病的诊断价值及短期疗效相关因素分析"/>
    <w:p>
      <w:pPr>
        <w:pStyle w:val="Heading1"/>
        <w:spacing w:before="240" w:after="120"/>
        <w:jc w:val="center"/>
      </w:pPr>
      <w:r>
        <w:rPr>
          <w:rFonts w:hint="eastAsia" w:ascii="Times New Roman" w:hAnsi="Times New Roman" w:cs="Times New Roman" w:eastAsia="黑体"/>
          <w:b/>
          <w:color w:val="000000"/>
          <w:sz w:val="32"/>
        </w:rPr>
        <w:t xml:space="preserve">GerdQ量表对高原地区肥胖患者胃食管反流病的诊断价值及短期疗效相关因素分析</w:t>
      </w:r>
    </w:p>
    <w:p>
      <w:pPr>
        <w:pStyle w:val="FirstParagraph"/>
        <w:spacing w:line="360" w:lineRule="auto" w:after="60"/>
        <w:jc w:val="center"/>
      </w:pPr>
      <w:r>
        <w:rPr>
          <w:rFonts w:hint="eastAsia" w:ascii="Times New Roman" w:hAnsi="Times New Roman" w:cs="Times New Roman" w:eastAsia="宋体"/>
          <w:sz w:val="18"/>
        </w:rPr>
        <w:t xml:space="preserve">路源¹</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杨帅通¹</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沈起莲³</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张成强¹</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李晓峰¹</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戴勇¹</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姜超²</w:t>
      </w:r>
    </w:p>
    <w:p>
      <w:pPr>
        <w:pStyle w:val="BodyText"/>
        <w:spacing w:line="360" w:lineRule="auto" w:after="60"/>
        <w:jc w:val="center"/>
      </w:pPr>
      <w:r>
        <w:rPr>
          <w:rFonts w:hint="eastAsia" w:ascii="Times New Roman" w:hAnsi="Times New Roman" w:cs="Times New Roman" w:eastAsia="宋体"/>
          <w:sz w:val="18"/>
        </w:rPr>
        <w:t xml:space="preserve">¹青海大学附属医院普通外科三科（西宁</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810000）；²青海大学附属医院肝胆胰外科二科（西宁</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810000）；³青海大学附属医院内镜中心（西宁</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810000）</w:t>
      </w:r>
    </w:p>
    <w:p>
      <w:pPr>
        <w:pStyle w:val="BodyText"/>
        <w:spacing w:line="360" w:lineRule="auto" w:after="60"/>
        <w:jc w:val="center"/>
      </w:pPr>
      <w:r>
        <w:rPr>
          <w:rFonts w:hint="eastAsia" w:ascii="Times New Roman" w:hAnsi="Times New Roman" w:cs="Times New Roman" w:eastAsia="宋体"/>
          <w:sz w:val="18"/>
        </w:rPr>
        <w:t xml:space="preserve">通信作者：姜超，E-mail：qinghaijiangchao@163.com</w:t>
      </w:r>
    </w:p>
    <w:p>
      <w:pPr>
        <w:pStyle w:val="BodyText"/>
        <w:spacing w:line="360" w:lineRule="auto" w:after="60"/>
        <w:jc w:val="center"/>
      </w:pPr>
      <w:r>
        <w:rPr>
          <w:rFonts w:hint="eastAsia" w:ascii="Times New Roman" w:hAnsi="Times New Roman" w:cs="Times New Roman" w:eastAsia="宋体"/>
          <w:sz w:val="18"/>
        </w:rPr>
        <w:t xml:space="preserve">基金项目：青海大学附属医院中青年科研基金项目（编号：ASRF-2024-YB-11）</w:t>
      </w:r>
    </w:p>
    <w:p>
      <w:pPr>
        <w:pStyle w:val="BlockText"/>
        <w:spacing w:line="360" w:lineRule="auto" w:after="60"/>
      </w:pP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编辑部提示</w:t>
      </w: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作者已确认无更多原始数据可补充，原需补充的数据项已据现有资料推算或改写为局限性。文中仅保留2处“</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highlight w:val="yellow"/>
        </w:rPr>
        <w:t xml:space="preserve">作者确认</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rPr>
        <w:t xml:space="preserve">”，为只有作者能回答的方法学事实，定稿前请核实并删除标注。</w:t>
      </w:r>
    </w:p>
    <w:p>
      <w:pPr>
        <w:spacing w:line="360" w:lineRule="auto" w:after="60"/>
      </w:pPr>
      <w:r>
        <w:rPr>
          <w:rFonts w:ascii="Times New Roman" w:hAnsi="Times New Roman" w:cs="Times New Roman" w:eastAsia="宋体"/>
          <w:sz w:val="21"/>
        </w:rPr>
        <w:pict>
          <v:rect style="width:0;height:1.5pt" o:hralign="center" o:hrstd="t" o:hr="t"/>
        </w:pict>
      </w:r>
    </w:p>
    <w:p>
      <w:pPr>
        <w:pStyle w:val="FirstParagraph"/>
        <w:spacing w:line="360" w:lineRule="auto" w:after="60"/>
      </w:pP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摘要</w:t>
      </w:r>
      <w:r>
        <w:rPr>
          <w:rFonts w:hint="eastAsia"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b/>
          <w:bCs/>
          <w:sz w:val="21"/>
        </w:rPr>
        <w:t xml:space="preserve">目的</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评价胃食管反流病问卷（GerdQ）在高原地区长期居住的肥胖伴反流症状患者中诊断胃食管反流病（GERD）的价值，并探讨质子泵抑制剂（PPI）联合减重管理4周后症状改善的相关因素。</w:t>
      </w:r>
      <w:r>
        <w:rPr>
          <w:rFonts w:hint="eastAsia" w:ascii="Times New Roman" w:hAnsi="Times New Roman" w:cs="Times New Roman" w:eastAsia="宋体"/>
          <w:b/>
          <w:bCs/>
          <w:sz w:val="21"/>
        </w:rPr>
        <w:t xml:space="preserve">方法</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采用单中心观察性研究，连续纳入2024年1月至2025年6月于青海大学附属医院就诊、在海拔≥3</w:t>
      </w:r>
      <w:r>
        <w:rPr>
          <w:rFonts w:ascii="Times New Roman" w:hAnsi="Times New Roman" w:cs="Times New Roman" w:eastAsia="宋体"/>
          <w:sz w:val="21"/>
        </w:rPr>
        <w:t xml:space="preserve"> 000 </w:t>
      </w:r>
      <w:r>
        <w:rPr>
          <w:rFonts w:hint="eastAsia" w:ascii="Times New Roman" w:hAnsi="Times New Roman" w:cs="Times New Roman" w:eastAsia="宋体"/>
          <w:sz w:val="21"/>
        </w:rPr>
        <w:t xml:space="preserve">m地区居住≥10年、体质指数（BMI）≥28</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且门诊GerdQ评分≥7分的反流症状患者103例。以胃镜检查和PPI试验构成的复合标准作为GERD参考诊断，采用受试者工作特征（ROC）曲线评价GerdQ总分的诊断效能。全部患者接受4周标准剂量PPI治疗联合1个月减重管理，以治疗后4条目GerdQ（4GerdQ）评分较基线下降≥1分定义为症状改善，采用多因素Logistic回归分析症状改善的相关因素。</w:t>
      </w:r>
      <w:r>
        <w:rPr>
          <w:rFonts w:hint="eastAsia" w:ascii="Times New Roman" w:hAnsi="Times New Roman" w:cs="Times New Roman" w:eastAsia="宋体"/>
          <w:b/>
          <w:bCs/>
          <w:sz w:val="21"/>
        </w:rPr>
        <w:t xml:space="preserve">结果</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103例患者中，复合标准诊断GERD</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79例（76.7%），其中胃镜异常39例（37.9%）。GerdQ总分诊断GERD的曲线下面积（AUC）为0.701（95%CI：0.580~0.819）；以≥10分为最佳截断值时，灵敏度62.0%、特异度70.8%；以推荐的≥8分为界值时，灵敏度93.7%、特异度29.2%。GerdQ</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7分、8~9分和≥10分的分层似然比分别为0.22、0.76和2.13。治疗后4GerdQ评分由（6.11±1.84）分降至（4.46±2.04）分（</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&lt;0.001），72例（69.9%）达到症状改善标准；胃镜异常、胃镜阴性且PPI试验阳性、胃镜阴性且PPI试验阴性者的症状改善率分别为84.6%、65.0%和54.2%（趋势</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=0.008）。治疗期平均减重（1.62±1.22）kg。多因素分析显示，减重幅度（每1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=1.82，95%CI：1.17~2.82）和胃镜异常（</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=3.20，95%CI：1.13~9.10）与症状改善独立相关。</w:t>
      </w:r>
      <w:r>
        <w:rPr>
          <w:rFonts w:hint="eastAsia" w:ascii="Times New Roman" w:hAnsi="Times New Roman" w:cs="Times New Roman" w:eastAsia="宋体"/>
          <w:b/>
          <w:bCs/>
          <w:sz w:val="21"/>
        </w:rPr>
        <w:t xml:space="preserve">结论</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在高原肥胖伴反流症状的就诊人群中，GerdQ总分对GERD的判别能力有限，≥8分界值特异度低，8~9分基本不提供诊断信息，不宜单独作为诊断依据，可用于症状评估和随访。治疗期减重幅度较大及胃镜异常者短期症状改善更明显，二者与疗效的关系尚需设立对照的前瞻性研究验证。</w:t>
      </w:r>
    </w:p>
    <w:p>
      <w:pPr>
        <w:pStyle w:val="BodyText"/>
        <w:spacing w:line="360" w:lineRule="auto" w:after="60"/>
      </w:pP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关键词</w:t>
      </w:r>
      <w:r>
        <w:rPr>
          <w:rFonts w:hint="eastAsia" w:ascii="Times New Roman" w:hAnsi="Times New Roman" w:cs="Times New Roman" w:eastAsia="宋体"/>
          <w:sz w:val="21"/>
        </w:rPr>
        <w:t xml:space="preserve">】</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胃食管反流病；GerdQ量表；高原；肥胖；质子泵抑制剂；减重</w:t>
      </w:r>
    </w:p>
    <w:p>
      <w:pPr>
        <w:pStyle w:val="BodyText"/>
        <w:spacing w:line="360" w:lineRule="auto" w:after="60"/>
      </w:pP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中图分类号</w:t>
      </w:r>
      <w:r>
        <w:rPr>
          <w:rFonts w:hint="eastAsia" w:ascii="Times New Roman" w:hAnsi="Times New Roman" w:cs="Times New Roman" w:eastAsia="宋体"/>
          <w:sz w:val="21"/>
        </w:rPr>
        <w:t xml:space="preserve">】</w:t>
      </w:r>
      <w:r>
        <w:rPr>
          <w:rFonts w:ascii="Times New Roman" w:hAnsi="Times New Roman" w:cs="Times New Roman" w:eastAsia="宋体"/>
          <w:sz w:val="21"/>
        </w:rPr>
        <w:t xml:space="preserve">　R573　　</w:t>
      </w:r>
      <w:r>
        <w:rPr>
          <w:rFonts w:hint="eastAsia" w:ascii="Times New Roman" w:hAnsi="Times New Roman" w:cs="Times New Roman" w:eastAsia="宋体"/>
          <w:sz w:val="21"/>
        </w:rPr>
        <w:t xml:space="preserve">【</w:t>
      </w:r>
      <w:r>
        <w:rPr>
          <w:rFonts w:hint="eastAsia" w:ascii="Times New Roman" w:hAnsi="Times New Roman" w:cs="Times New Roman" w:eastAsia="宋体"/>
          <w:sz w:val="21"/>
        </w:rPr>
        <w:t xml:space="preserve">文献标识码</w:t>
      </w:r>
      <w:r>
        <w:rPr>
          <w:rFonts w:hint="eastAsia" w:ascii="Times New Roman" w:hAnsi="Times New Roman" w:cs="Times New Roman" w:eastAsia="宋体"/>
          <w:sz w:val="21"/>
        </w:rPr>
        <w:t xml:space="preserve">】</w:t>
      </w:r>
      <w:r>
        <w:rPr>
          <w:rFonts w:ascii="Times New Roman" w:hAnsi="Times New Roman" w:cs="Times New Roman" w:eastAsia="宋体"/>
          <w:sz w:val="21"/>
        </w:rPr>
        <w:t xml:space="preserve">　A</w:t>
      </w:r>
    </w:p>
    <w:p>
      <w:pPr>
        <w:pStyle w:val="BodyText"/>
        <w:spacing w:line="360" w:lineRule="auto" w:after="60"/>
        <w:ind w:firstLine="420"/>
      </w:pPr>
      <w:r>
        <w:rPr>
          <w:rFonts w:ascii="Times New Roman" w:hAnsi="Times New Roman" w:cs="Times New Roman" w:eastAsia="宋体"/>
          <w:b/>
          <w:bCs/>
          <w:sz w:val="21"/>
        </w:rPr>
        <w:t xml:space="preserve">Diagnostic value of the GerdQ questionnaire for gastroesophageal reflux disease and factors associated with short-term symptom improvement in obese patients living at high altitude</w:t>
      </w:r>
    </w:p>
    <w:p>
      <w:pPr>
        <w:pStyle w:val="BodyText"/>
        <w:spacing w:line="360" w:lineRule="auto" w:after="60"/>
        <w:ind/>
        <w:jc w:val="center"/>
      </w:pPr>
      <w:r>
        <w:rPr>
          <w:rFonts w:ascii="Times New Roman" w:hAnsi="Times New Roman" w:cs="Times New Roman" w:eastAsia="宋体"/>
          <w:sz w:val="18"/>
        </w:rPr>
        <w:t xml:space="preserve">LU Yuan¹, YANG Shuaitong¹, SHEN Qilian³, ZHANG Chengqiang¹, LI Xiaofeng¹, DAI Yong¹, JIANG Chao²</w:t>
      </w:r>
    </w:p>
    <w:p>
      <w:pPr>
        <w:pStyle w:val="BodyText"/>
        <w:spacing w:line="360" w:lineRule="auto" w:after="60"/>
        <w:jc w:val="center"/>
      </w:pPr>
      <w:r>
        <w:rPr>
          <w:rFonts w:ascii="Times New Roman" w:hAnsi="Times New Roman" w:cs="Times New Roman" w:eastAsia="宋体"/>
          <w:sz w:val="18"/>
        </w:rPr>
        <w:t xml:space="preserve">¹Department of General Surgery III, ²Department of Hepatobiliary and Pancreatic Surgery II, ³Endoscopy Center, Affiliated Hospital of Qinghai University, Xining 810000, China</w:t>
      </w:r>
    </w:p>
    <w:p>
      <w:pPr>
        <w:pStyle w:val="BodyText"/>
        <w:spacing w:line="360" w:lineRule="auto" w:after="60"/>
        <w:ind/>
        <w:jc w:val="center"/>
      </w:pPr>
      <w:r>
        <w:rPr>
          <w:rFonts w:ascii="Times New Roman" w:hAnsi="Times New Roman" w:cs="Times New Roman" w:eastAsia="宋体"/>
          <w:sz w:val="18"/>
        </w:rPr>
        <w:t xml:space="preserve">Corresponding author: JIANG Chao, E-mail: qinghaijiangchao@163.com</w:t>
      </w:r>
    </w:p>
    <w:p>
      <w:pPr>
        <w:pStyle w:val="BodyText"/>
        <w:spacing w:line="360" w:lineRule="auto" w:after="60"/>
      </w:pPr>
      <w:r>
        <w:rPr>
          <w:rFonts w:ascii="Times New Roman" w:hAnsi="Times New Roman" w:cs="Times New Roman" w:eastAsia="宋体"/>
          <w:sz w:val="21"/>
        </w:rPr>
        <w:t xml:space="preserve">【</w:t>
      </w:r>
      <w:r>
        <w:rPr>
          <w:rFonts w:ascii="Times New Roman" w:hAnsi="Times New Roman" w:cs="Times New Roman" w:eastAsia="宋体"/>
          <w:sz w:val="21"/>
        </w:rPr>
        <w:t xml:space="preserve">Abstract</w:t>
      </w:r>
      <w:r>
        <w:rPr>
          <w:rFonts w:ascii="Times New Roman" w:hAnsi="Times New Roman" w:cs="Times New Roman" w:eastAsia="宋体"/>
          <w:sz w:val="21"/>
        </w:rPr>
        <w:t xml:space="preserve">】</w:t>
      </w:r>
      <w:r>
        <w:rPr>
          <w:rFonts w:ascii="Times New Roman" w:hAnsi="Times New Roman" w:cs="Times New Roman" w:eastAsia="宋体"/>
          <w:sz w:val="21"/>
        </w:rPr>
        <w:t xml:space="preserve">　</w:t>
      </w:r>
      <w:r>
        <w:rPr>
          <w:rFonts w:ascii="Times New Roman" w:hAnsi="Times New Roman" w:cs="Times New Roman" w:eastAsia="宋体"/>
          <w:b/>
          <w:bCs/>
          <w:sz w:val="21"/>
        </w:rPr>
        <w:t xml:space="preserve">Objective</w:t>
      </w:r>
      <w:r>
        <w:rPr>
          <w:rFonts w:ascii="Times New Roman" w:hAnsi="Times New Roman" w:cs="Times New Roman" w:eastAsia="宋体"/>
          <w:sz w:val="21"/>
        </w:rPr>
        <w:t xml:space="preserve">　To evaluate the diagnostic value of the Gastroesophageal Reflux Disease Questionnaire (GerdQ) for gastroesophageal reflux disease (GERD) in obese patients with reflux symptoms who had lived at high altitude for a long time, and to identify factors associated with symptom improvement after 4 weeks of proton pump inhibitor (PPI) therapy combined with weight management.</w:t>
      </w:r>
      <w:r>
        <w:rPr>
          <w:rFonts w:ascii="Times New Roman" w:hAnsi="Times New Roman" w:cs="Times New Roman" w:eastAsia="宋体"/>
          <w:sz w:val="21"/>
        </w:rPr>
        <w:t xml:space="preserve"> </w:t>
      </w:r>
      <w:r>
        <w:rPr>
          <w:rFonts w:ascii="Times New Roman" w:hAnsi="Times New Roman" w:cs="Times New Roman" w:eastAsia="宋体"/>
          <w:b/>
          <w:bCs/>
          <w:sz w:val="21"/>
        </w:rPr>
        <w:t xml:space="preserve">Methods</w:t>
      </w:r>
      <w:r>
        <w:rPr>
          <w:rFonts w:ascii="Times New Roman" w:hAnsi="Times New Roman" w:cs="Times New Roman" w:eastAsia="宋体"/>
          <w:sz w:val="21"/>
        </w:rPr>
        <w:t xml:space="preserve">　In this single-centre observational study, 103 consecutive patients with reflux symptoms, a body mass index (BMI) ≥28 kg/m², residence at an altitude ≥3 000 m for ≥10 years and an outpatient GerdQ score ≥7 were enrolled at the Affiliated Hospital of Qinghai University between January 2024 and June 2025. GERD was defined by a composite reference standard of upper endoscopy and a PPI test, and the diagnostic performance of the GerdQ total score was assessed by receiver operating characteristic (ROC) analysis. All patients received standard-dose PPI therapy for 4 weeks together with 1 month of weight management. Symptom improvement was defined as a decrease of ≥1 point in the four-item GerdQ (4GerdQ) score, and associated factors were examined by multivariable logistic regression.</w:t>
      </w:r>
      <w:r>
        <w:rPr>
          <w:rFonts w:ascii="Times New Roman" w:hAnsi="Times New Roman" w:cs="Times New Roman" w:eastAsia="宋体"/>
          <w:sz w:val="21"/>
        </w:rPr>
        <w:t xml:space="preserve"> </w:t>
      </w:r>
      <w:r>
        <w:rPr>
          <w:rFonts w:ascii="Times New Roman" w:hAnsi="Times New Roman" w:cs="Times New Roman" w:eastAsia="宋体"/>
          <w:b/>
          <w:bCs/>
          <w:sz w:val="21"/>
        </w:rPr>
        <w:t xml:space="preserve">Results</w:t>
      </w:r>
      <w:r>
        <w:rPr>
          <w:rFonts w:ascii="Times New Roman" w:hAnsi="Times New Roman" w:cs="Times New Roman" w:eastAsia="宋体"/>
          <w:sz w:val="21"/>
        </w:rPr>
        <w:t xml:space="preserve">　GERD was diagnosed in 79 patients (76.7%), 39 (37.9%) of whom had abnormal endoscopic findings. The area under the curve (AUC) of the GerdQ total score was 0.701 (95%CI: 0.580–0.819). At the optimal cut-off of ≥10, sensitivity and specificity were 62.0% and 70.8%; at the recommended cut-off of ≥8, they were 93.7% and 29.2%. Stratum-specific likelihood ratios for scores of 7, 8–9 and ≥10 were 0.22, 0.76 and 2.13. The 4GerdQ score decreased from 6.11±1.84 to 4.46±2.04 (</w:t>
      </w:r>
      <w:r>
        <w:rPr>
          <w:rFonts w:ascii="Times New Roman" w:hAnsi="Times New Roman" w:cs="Times New Roman" w:eastAsia="宋体"/>
          <w:i/>
          <w:iCs/>
          <w:sz w:val="21"/>
        </w:rPr>
        <w:t xml:space="preserve">P</w:t>
      </w:r>
      <w:r>
        <w:rPr>
          <w:rFonts w:ascii="Times New Roman" w:hAnsi="Times New Roman" w:cs="Times New Roman" w:eastAsia="宋体"/>
          <w:sz w:val="21"/>
        </w:rPr>
        <w:t xml:space="preserve">&lt;0.001), and 72 patients (69.9%) met the criterion for symptom improvement; improvement rates were 84.6%, 65.0% and 54.2% in patients with abnormal endoscopy, normal endoscopy with a positive PPI test, and normal endoscopy with a negative PPI test, respectively (</w:t>
      </w:r>
      <w:r>
        <w:rPr>
          <w:rFonts w:ascii="Times New Roman" w:hAnsi="Times New Roman" w:cs="Times New Roman" w:eastAsia="宋体"/>
          <w:i/>
          <w:iCs/>
          <w:sz w:val="21"/>
        </w:rPr>
        <w:t xml:space="preserve">P</w:t>
      </w:r>
      <w:r>
        <w:rPr>
          <w:rFonts w:ascii="Times New Roman" w:hAnsi="Times New Roman" w:cs="Times New Roman" w:eastAsia="宋体"/>
          <w:sz w:val="21"/>
        </w:rPr>
        <w:t xml:space="preserve"> </w:t>
      </w:r>
      <w:r>
        <w:rPr>
          <w:rFonts w:ascii="Times New Roman" w:hAnsi="Times New Roman" w:cs="Times New Roman" w:eastAsia="宋体"/>
          <w:sz w:val="21"/>
        </w:rPr>
        <w:t xml:space="preserve">for trend=0.008). Mean weight loss during treatment was 1.62±1.22 kg. Greater weight loss (per kg,</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OR</w:t>
      </w:r>
      <w:r>
        <w:rPr>
          <w:rFonts w:ascii="Times New Roman" w:hAnsi="Times New Roman" w:cs="Times New Roman" w:eastAsia="宋体"/>
          <w:sz w:val="21"/>
        </w:rPr>
        <w:t xml:space="preserve">=1.82, 95%CI: 1.17–2.82) and abnormal endoscopic findings (</w:t>
      </w:r>
      <w:r>
        <w:rPr>
          <w:rFonts w:ascii="Times New Roman" w:hAnsi="Times New Roman" w:cs="Times New Roman" w:eastAsia="宋体"/>
          <w:i/>
          <w:iCs/>
          <w:sz w:val="21"/>
        </w:rPr>
        <w:t xml:space="preserve">OR</w:t>
      </w:r>
      <w:r>
        <w:rPr>
          <w:rFonts w:ascii="Times New Roman" w:hAnsi="Times New Roman" w:cs="Times New Roman" w:eastAsia="宋体"/>
          <w:sz w:val="21"/>
        </w:rPr>
        <w:t xml:space="preserve">=3.20, 95%CI: 1.13–9.10) were independently associated with symptom improvement.</w:t>
      </w:r>
      <w:r>
        <w:rPr>
          <w:rFonts w:ascii="Times New Roman" w:hAnsi="Times New Roman" w:cs="Times New Roman" w:eastAsia="宋体"/>
          <w:sz w:val="21"/>
        </w:rPr>
        <w:t xml:space="preserve"> </w:t>
      </w:r>
      <w:r>
        <w:rPr>
          <w:rFonts w:ascii="Times New Roman" w:hAnsi="Times New Roman" w:cs="Times New Roman" w:eastAsia="宋体"/>
          <w:b/>
          <w:bCs/>
          <w:sz w:val="21"/>
        </w:rPr>
        <w:t xml:space="preserve">Conclusions</w:t>
      </w:r>
      <w:r>
        <w:rPr>
          <w:rFonts w:ascii="Times New Roman" w:hAnsi="Times New Roman" w:cs="Times New Roman" w:eastAsia="宋体"/>
          <w:sz w:val="21"/>
        </w:rPr>
        <w:t xml:space="preserve">　In this symptomatic population of obese high-altitude residents, the GerdQ total score showed limited discrimination for GERD, the cut-off of ≥8 had low specificity, and scores of 8–9 were essentially uninformative; GerdQ should not be used alone for diagnosis but is suitable for symptom assessment and follow-up. Greater weight loss and abnormal endoscopic findings were associated with short-term symptom improvement, which should be confirmed in controlled prospective studies.</w:t>
      </w:r>
    </w:p>
    <w:p>
      <w:pPr>
        <w:pStyle w:val="BodyText"/>
        <w:spacing w:line="360" w:lineRule="auto" w:after="60"/>
      </w:pPr>
      <w:r>
        <w:rPr>
          <w:rFonts w:ascii="Times New Roman" w:hAnsi="Times New Roman" w:cs="Times New Roman" w:eastAsia="宋体"/>
          <w:sz w:val="21"/>
        </w:rPr>
        <w:t xml:space="preserve">【</w:t>
      </w:r>
      <w:r>
        <w:rPr>
          <w:rFonts w:ascii="Times New Roman" w:hAnsi="Times New Roman" w:cs="Times New Roman" w:eastAsia="宋体"/>
          <w:sz w:val="21"/>
        </w:rPr>
        <w:t xml:space="preserve">Key words</w:t>
      </w:r>
      <w:r>
        <w:rPr>
          <w:rFonts w:ascii="Times New Roman" w:hAnsi="Times New Roman" w:cs="Times New Roman" w:eastAsia="宋体"/>
          <w:sz w:val="21"/>
        </w:rPr>
        <w:t xml:space="preserve">】</w:t>
      </w:r>
      <w:r>
        <w:rPr>
          <w:rFonts w:ascii="Times New Roman" w:hAnsi="Times New Roman" w:cs="Times New Roman" w:eastAsia="宋体"/>
          <w:sz w:val="21"/>
        </w:rPr>
        <w:t xml:space="preserve">　Gastroesophageal reflux disease; GerdQ questionnaire; High altitude; Obesity; Proton pump inhibitor; Weight loss</w:t>
      </w:r>
    </w:p>
    <w:p>
      <w:pPr>
        <w:spacing w:line="360" w:lineRule="auto" w:after="60"/>
      </w:pPr>
      <w:r>
        <w:rPr>
          <w:rFonts w:ascii="Times New Roman" w:hAnsi="Times New Roman" w:cs="Times New Roman" w:eastAsia="宋体"/>
          <w:sz w:val="21"/>
        </w:rPr>
        <w:pict>
          <v:rect style="width:0;height:1.5pt" o:hralign="center" o:hrstd="t" o:hr="t"/>
        </w:pict>
      </w:r>
    </w:p>
    <w:p>
      <w:pPr>
        <w:pStyle w:val="FirstParagraph"/>
        <w:spacing w:line="360" w:lineRule="auto" w:after="60"/>
        <w:ind w:firstLine="420"/>
      </w:pPr>
      <w:r>
        <w:rPr>
          <w:rFonts w:hint="eastAsia" w:ascii="Times New Roman" w:hAnsi="Times New Roman" w:cs="Times New Roman" w:eastAsia="宋体"/>
          <w:sz w:val="21"/>
        </w:rPr>
        <w:t xml:space="preserve">胃食管反流病（gastroesophageal</w:t>
      </w:r>
      <w:r>
        <w:rPr>
          <w:rFonts w:ascii="Times New Roman" w:hAnsi="Times New Roman" w:cs="Times New Roman" w:eastAsia="宋体"/>
          <w:sz w:val="21"/>
        </w:rPr>
        <w:t xml:space="preserve"> reflux </w:t>
      </w:r>
      <w:r>
        <w:rPr>
          <w:rFonts w:hint="eastAsia" w:ascii="Times New Roman" w:hAnsi="Times New Roman" w:cs="Times New Roman" w:eastAsia="宋体"/>
          <w:sz w:val="21"/>
        </w:rPr>
        <w:t xml:space="preserve">disease，GERD）是指胃内容物反流引起不适症状和（或）并发症的一种疾病</w:t>
      </w:r>
      <w:r>
        <w:rPr>
          <w:rFonts w:ascii="Times New Roman" w:hAnsi="Times New Roman" w:cs="Times New Roman" w:eastAsia="宋体"/>
          <w:sz w:val="21"/>
          <w:vertAlign w:val="superscript"/>
        </w:rPr>
        <w:t xml:space="preserve">[1]</w:t>
      </w:r>
      <w:r>
        <w:rPr>
          <w:rFonts w:hint="eastAsia" w:ascii="Times New Roman" w:hAnsi="Times New Roman" w:cs="Times New Roman" w:eastAsia="宋体"/>
          <w:sz w:val="21"/>
        </w:rPr>
        <w:t xml:space="preserve">，其症状患病率存在明显的地域和人群差异</w:t>
      </w:r>
      <w:r>
        <w:rPr>
          <w:rFonts w:ascii="Times New Roman" w:hAnsi="Times New Roman" w:cs="Times New Roman" w:eastAsia="宋体"/>
          <w:sz w:val="21"/>
          <w:vertAlign w:val="superscript"/>
        </w:rPr>
        <w:t xml:space="preserve">[2,3]</w:t>
      </w:r>
      <w:r>
        <w:rPr>
          <w:rFonts w:hint="eastAsia" w:ascii="Times New Roman" w:hAnsi="Times New Roman" w:cs="Times New Roman" w:eastAsia="宋体"/>
          <w:sz w:val="21"/>
        </w:rPr>
        <w:t xml:space="preserve">。抗反流屏障受损、食管清除能力下降、食管黏膜防御能力减弱及内脏敏感性改变共同参与GERD的发生</w:t>
      </w:r>
      <w:r>
        <w:rPr>
          <w:rFonts w:ascii="Times New Roman" w:hAnsi="Times New Roman" w:cs="Times New Roman" w:eastAsia="宋体"/>
          <w:sz w:val="21"/>
          <w:vertAlign w:val="superscript"/>
        </w:rPr>
        <w:t xml:space="preserve">[4]</w:t>
      </w:r>
      <w:r>
        <w:rPr>
          <w:rFonts w:hint="eastAsia" w:ascii="Times New Roman" w:hAnsi="Times New Roman" w:cs="Times New Roman" w:eastAsia="宋体"/>
          <w:sz w:val="21"/>
        </w:rPr>
        <w:t xml:space="preserve">。肥胖是GERD及其并发症的重要危险因素，其机制涉及腹内压升高、胃食管交界处结构改变和食管裂孔疝形成等</w:t>
      </w:r>
      <w:r>
        <w:rPr>
          <w:rFonts w:ascii="Times New Roman" w:hAnsi="Times New Roman" w:cs="Times New Roman" w:eastAsia="宋体"/>
          <w:sz w:val="21"/>
          <w:vertAlign w:val="superscript"/>
        </w:rPr>
        <w:t xml:space="preserve">[5,6]</w:t>
      </w:r>
      <w:r>
        <w:rPr>
          <w:rFonts w:hint="eastAsia" w:ascii="Times New Roman" w:hAnsi="Times New Roman" w:cs="Times New Roman" w:eastAsia="宋体"/>
          <w:sz w:val="21"/>
        </w:rPr>
        <w:t xml:space="preserve">；中心性肥胖还与反流性食管炎和Barrett食管风险增加相关</w:t>
      </w:r>
      <w:r>
        <w:rPr>
          <w:rFonts w:ascii="Times New Roman" w:hAnsi="Times New Roman" w:cs="Times New Roman" w:eastAsia="宋体"/>
          <w:sz w:val="21"/>
          <w:vertAlign w:val="superscript"/>
        </w:rPr>
        <w:t xml:space="preserve">[7]</w:t>
      </w:r>
      <w:r>
        <w:rPr>
          <w:rFonts w:ascii="Times New Roman" w:hAnsi="Times New Roman" w:cs="Times New Roman" w:eastAsia="宋体"/>
          <w:sz w:val="21"/>
        </w:rPr>
        <w:t xml:space="preserve">。</w:t>
      </w:r>
    </w:p>
    <w:p>
      <w:pPr>
        <w:pStyle w:val="BodyText"/>
        <w:spacing w:line="360" w:lineRule="auto" w:after="60"/>
        <w:ind w:firstLine="420"/>
      </w:pPr>
      <w:r>
        <w:rPr>
          <w:rFonts w:hint="eastAsia" w:ascii="Times New Roman" w:hAnsi="Times New Roman" w:cs="Times New Roman" w:eastAsia="宋体"/>
          <w:sz w:val="21"/>
        </w:rPr>
        <w:t xml:space="preserve">高原地区消化道症状常见，且其表现在短期进入者、长期居住者和世居者之间存在差异</w:t>
      </w:r>
      <w:r>
        <w:rPr>
          <w:rFonts w:ascii="Times New Roman" w:hAnsi="Times New Roman" w:cs="Times New Roman" w:eastAsia="宋体"/>
          <w:sz w:val="21"/>
          <w:vertAlign w:val="superscript"/>
        </w:rPr>
        <w:t xml:space="preserve">[8]</w:t>
      </w:r>
      <w:r>
        <w:rPr>
          <w:rFonts w:hint="eastAsia" w:ascii="Times New Roman" w:hAnsi="Times New Roman" w:cs="Times New Roman" w:eastAsia="宋体"/>
          <w:sz w:val="21"/>
        </w:rPr>
        <w:t xml:space="preserve">；低压低氧可减少内脏血流灌注，损伤胃肠道黏膜屏障</w:t>
      </w:r>
      <w:r>
        <w:rPr>
          <w:rFonts w:ascii="Times New Roman" w:hAnsi="Times New Roman" w:cs="Times New Roman" w:eastAsia="宋体"/>
          <w:sz w:val="21"/>
          <w:vertAlign w:val="superscript"/>
        </w:rPr>
        <w:t xml:space="preserve">[9]</w:t>
      </w:r>
      <w:r>
        <w:rPr>
          <w:rFonts w:hint="eastAsia" w:ascii="Times New Roman" w:hAnsi="Times New Roman" w:cs="Times New Roman" w:eastAsia="宋体"/>
          <w:sz w:val="21"/>
        </w:rPr>
        <w:t xml:space="preserve">。青藏高原居民饮食以糌粑、酥油茶、甜茶和青稞酒等为特色，蔬菜、水果摄入明显不足</w:t>
      </w:r>
      <w:r>
        <w:rPr>
          <w:rFonts w:ascii="Times New Roman" w:hAnsi="Times New Roman" w:cs="Times New Roman" w:eastAsia="宋体"/>
          <w:sz w:val="21"/>
          <w:vertAlign w:val="superscript"/>
        </w:rPr>
        <w:t xml:space="preserve">[10]</w:t>
      </w:r>
      <w:r>
        <w:rPr>
          <w:rFonts w:hint="eastAsia" w:ascii="Times New Roman" w:hAnsi="Times New Roman" w:cs="Times New Roman" w:eastAsia="宋体"/>
          <w:sz w:val="21"/>
        </w:rPr>
        <w:t xml:space="preserve">。高原环境对下食管括约肌功能和胃酸分泌的直接影响目前尚缺乏充分证据，但上述因素与肥胖叠加后是否加重反流症状，值得关注。国内已有研究对格尔木地区居民开展了GERD流行病学调查</w:t>
      </w:r>
      <w:r>
        <w:rPr>
          <w:rFonts w:ascii="Times New Roman" w:hAnsi="Times New Roman" w:cs="Times New Roman" w:eastAsia="宋体"/>
          <w:sz w:val="21"/>
          <w:vertAlign w:val="superscript"/>
        </w:rPr>
        <w:t xml:space="preserve">[11]</w:t>
      </w:r>
      <w:r>
        <w:rPr>
          <w:rFonts w:hint="eastAsia" w:ascii="Times New Roman" w:hAnsi="Times New Roman" w:cs="Times New Roman" w:eastAsia="宋体"/>
          <w:sz w:val="21"/>
        </w:rPr>
        <w:t xml:space="preserve">，并观察了营养状态与初入高原人群短期反流症状的关系</w:t>
      </w:r>
      <w:r>
        <w:rPr>
          <w:rFonts w:ascii="Times New Roman" w:hAnsi="Times New Roman" w:cs="Times New Roman" w:eastAsia="宋体"/>
          <w:sz w:val="21"/>
          <w:vertAlign w:val="superscript"/>
        </w:rPr>
        <w:t xml:space="preserve">[12]</w:t>
      </w:r>
      <w:r>
        <w:rPr>
          <w:rFonts w:hint="eastAsia" w:ascii="Times New Roman" w:hAnsi="Times New Roman" w:cs="Times New Roman" w:eastAsia="宋体"/>
          <w:sz w:val="21"/>
        </w:rPr>
        <w:t xml:space="preserve">，但针对长期居住高原、因反流症状就诊的肥胖患者的研究仍然缺乏。</w:t>
      </w:r>
    </w:p>
    <w:p>
      <w:pPr>
        <w:pStyle w:val="BodyText"/>
        <w:spacing w:line="360" w:lineRule="auto" w:after="60"/>
        <w:ind w:firstLine="420"/>
      </w:pPr>
      <w:r>
        <w:rPr>
          <w:rFonts w:hint="eastAsia" w:ascii="Times New Roman" w:hAnsi="Times New Roman" w:cs="Times New Roman" w:eastAsia="宋体"/>
          <w:sz w:val="21"/>
        </w:rPr>
        <w:t xml:space="preserve">GerdQ由JONES等</w:t>
      </w:r>
      <w:r>
        <w:rPr>
          <w:rFonts w:ascii="Times New Roman" w:hAnsi="Times New Roman" w:cs="Times New Roman" w:eastAsia="宋体"/>
          <w:sz w:val="21"/>
          <w:vertAlign w:val="superscript"/>
        </w:rPr>
        <w:t xml:space="preserve">[13]</w:t>
      </w:r>
      <w:r>
        <w:rPr>
          <w:rFonts w:hint="eastAsia" w:ascii="Times New Roman" w:hAnsi="Times New Roman" w:cs="Times New Roman" w:eastAsia="宋体"/>
          <w:sz w:val="21"/>
        </w:rPr>
        <w:t xml:space="preserve">开发，包括烧心、反流、上腹痛、恶心、反流相关睡眠障碍和额外服用非处方药6个条目。其中烧心、反流、睡眠障碍和额外服药为阳性预测条目，按过去1周出现天数计0~3分；上腹痛和恶心为阴性预测条目，按相反方向计3~0分；总分0~18分，≥8分提示GERD可能</w:t>
      </w:r>
      <w:r>
        <w:rPr>
          <w:rFonts w:ascii="Times New Roman" w:hAnsi="Times New Roman" w:cs="Times New Roman" w:eastAsia="宋体"/>
          <w:sz w:val="21"/>
          <w:vertAlign w:val="superscript"/>
        </w:rPr>
        <w:t xml:space="preserve">[13,14]</w:t>
      </w:r>
      <w:r>
        <w:rPr>
          <w:rFonts w:hint="eastAsia" w:ascii="Times New Roman" w:hAnsi="Times New Roman" w:cs="Times New Roman" w:eastAsia="宋体"/>
          <w:sz w:val="21"/>
        </w:rPr>
        <w:t xml:space="preserve">。阳性预测条目（第1、2、5、6条）常用于评价治疗反应</w:t>
      </w:r>
      <w:r>
        <w:rPr>
          <w:rFonts w:ascii="Times New Roman" w:hAnsi="Times New Roman" w:cs="Times New Roman" w:eastAsia="宋体"/>
          <w:sz w:val="21"/>
          <w:vertAlign w:val="superscript"/>
        </w:rPr>
        <w:t xml:space="preserve">[14]</w:t>
      </w:r>
      <w:r>
        <w:rPr>
          <w:rFonts w:hint="eastAsia" w:ascii="Times New Roman" w:hAnsi="Times New Roman" w:cs="Times New Roman" w:eastAsia="宋体"/>
          <w:sz w:val="21"/>
        </w:rPr>
        <w:t xml:space="preserve">。GerdQ已在日本、韩国和中国人群中得到验证</w:t>
      </w:r>
      <w:r>
        <w:rPr>
          <w:rFonts w:ascii="Times New Roman" w:hAnsi="Times New Roman" w:cs="Times New Roman" w:eastAsia="宋体"/>
          <w:sz w:val="21"/>
          <w:vertAlign w:val="superscript"/>
        </w:rPr>
        <w:t xml:space="preserve">[15-17]</w:t>
      </w:r>
      <w:r>
        <w:rPr>
          <w:rFonts w:hint="eastAsia" w:ascii="Times New Roman" w:hAnsi="Times New Roman" w:cs="Times New Roman" w:eastAsia="宋体"/>
          <w:sz w:val="21"/>
        </w:rPr>
        <w:t xml:space="preserve">，并被我国专家共识推荐为GERD的辅助诊断工具</w:t>
      </w:r>
      <w:r>
        <w:rPr>
          <w:rFonts w:ascii="Times New Roman" w:hAnsi="Times New Roman" w:cs="Times New Roman" w:eastAsia="宋体"/>
          <w:sz w:val="21"/>
          <w:vertAlign w:val="superscript"/>
        </w:rPr>
        <w:t xml:space="preserve">[18]</w:t>
      </w:r>
      <w:r>
        <w:rPr>
          <w:rFonts w:hint="eastAsia" w:ascii="Times New Roman" w:hAnsi="Times New Roman" w:cs="Times New Roman" w:eastAsia="宋体"/>
          <w:sz w:val="21"/>
        </w:rPr>
        <w:t xml:space="preserve">。两项Meta分析显示，GerdQ诊断GERD的合并灵敏度和特异度均为中等，汇总受试者工作特征曲线下面积分别为0.789和0.705</w:t>
      </w:r>
      <w:r>
        <w:rPr>
          <w:rFonts w:ascii="Times New Roman" w:hAnsi="Times New Roman" w:cs="Times New Roman" w:eastAsia="宋体"/>
          <w:sz w:val="21"/>
          <w:vertAlign w:val="superscript"/>
        </w:rPr>
        <w:t xml:space="preserve">[19,20]</w:t>
      </w:r>
      <w:r>
        <w:rPr>
          <w:rFonts w:hint="eastAsia" w:ascii="Times New Roman" w:hAnsi="Times New Roman" w:cs="Times New Roman" w:eastAsia="宋体"/>
          <w:sz w:val="21"/>
        </w:rPr>
        <w:t xml:space="preserve">。然而，GerdQ在高原肥胖就诊人群中的诊断效能尚未见报道。本研究旨在评价GerdQ在该人群中的诊断价值，并分析PPI联合减重管理后短期症状改善的相关因素。</w:t>
      </w:r>
    </w:p>
    <w:bookmarkStart w:id="14" w:name="资料与方法"/>
    <w:p>
      <w:pPr>
        <w:pStyle w:val="Heading2"/>
        <w:spacing w:before="240" w:after="120"/>
      </w:pPr>
      <w:r>
        <w:rPr>
          <w:rFonts w:ascii="Times New Roman" w:hAnsi="Times New Roman" w:cs="Times New Roman" w:eastAsia="黑体"/>
          <w:b/>
          <w:color w:val="000000"/>
          <w:sz w:val="24"/>
        </w:rPr>
        <w:t xml:space="preserve">1　</w:t>
      </w:r>
      <w:r>
        <w:rPr>
          <w:rFonts w:hint="eastAsia" w:ascii="Times New Roman" w:hAnsi="Times New Roman" w:cs="Times New Roman" w:eastAsia="黑体"/>
          <w:b/>
          <w:color w:val="000000"/>
          <w:sz w:val="24"/>
        </w:rPr>
        <w:t xml:space="preserve">资料与方法</w:t>
      </w:r>
    </w:p>
    <w:bookmarkStart w:id="9" w:name="研究对象"/>
    <w:p>
      <w:pPr>
        <w:pStyle w:val="Heading3"/>
        <w:spacing w:before="120" w:after="120"/>
      </w:pPr>
      <w:r>
        <w:rPr>
          <w:rFonts w:ascii="Times New Roman" w:hAnsi="Times New Roman" w:cs="Times New Roman" w:eastAsia="黑体"/>
          <w:b/>
          <w:color w:val="000000"/>
          <w:sz w:val="21"/>
        </w:rPr>
        <w:t xml:space="preserve">1.1　</w:t>
      </w:r>
      <w:r>
        <w:rPr>
          <w:rFonts w:hint="eastAsia" w:ascii="Times New Roman" w:hAnsi="Times New Roman" w:cs="Times New Roman" w:eastAsia="黑体"/>
          <w:b/>
          <w:color w:val="000000"/>
          <w:sz w:val="21"/>
        </w:rPr>
        <w:t xml:space="preserve">研究对象</w:t>
      </w:r>
    </w:p>
    <w:p>
      <w:pPr>
        <w:pStyle w:val="FirstParagraph"/>
        <w:spacing w:line="360" w:lineRule="auto" w:after="60"/>
        <w:ind w:firstLine="420"/>
      </w:pPr>
      <w:r>
        <w:rPr>
          <w:rFonts w:hint="eastAsia" w:ascii="Times New Roman" w:hAnsi="Times New Roman" w:cs="Times New Roman" w:eastAsia="宋体"/>
          <w:sz w:val="21"/>
        </w:rPr>
        <w:t xml:space="preserve">采用单中心观察性研究设计，连续纳入2024年1月至2025年6月于青海大学附属医院消化内科、普通外科三科及内镜中心就诊的患者。纳入标准：（1）年龄18~80岁；（2）近4周内存在典型（烧心、反流）或不典型（慢性咳嗽、咽喉不适等）反流症状；（3）BMI≥28</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kg/m²（依据WS/T</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428—2013判定为肥胖</w:t>
      </w:r>
      <w:r>
        <w:rPr>
          <w:rFonts w:ascii="Times New Roman" w:hAnsi="Times New Roman" w:cs="Times New Roman" w:eastAsia="宋体"/>
          <w:sz w:val="21"/>
          <w:vertAlign w:val="superscript"/>
        </w:rPr>
        <w:t xml:space="preserve">[21]</w:t>
      </w:r>
      <w:r>
        <w:rPr>
          <w:rFonts w:hint="eastAsia" w:ascii="Times New Roman" w:hAnsi="Times New Roman" w:cs="Times New Roman" w:eastAsia="宋体"/>
          <w:sz w:val="21"/>
        </w:rPr>
        <w:t xml:space="preserve">）；（4）在海拔≥3</w:t>
      </w:r>
      <w:r>
        <w:rPr>
          <w:rFonts w:ascii="Times New Roman" w:hAnsi="Times New Roman" w:cs="Times New Roman" w:eastAsia="宋体"/>
          <w:sz w:val="21"/>
        </w:rPr>
        <w:t xml:space="preserve"> 000 </w:t>
      </w:r>
      <w:r>
        <w:rPr>
          <w:rFonts w:hint="eastAsia" w:ascii="Times New Roman" w:hAnsi="Times New Roman" w:cs="Times New Roman" w:eastAsia="宋体"/>
          <w:sz w:val="21"/>
        </w:rPr>
        <w:t xml:space="preserve">m地区居住≥10年；（5）门诊GerdQ评分≥7分；（6）认知功能正常，能够独立或在协助下完成问卷。排除标准：（1）存在吞咽困难、呕血、黑便、不明原因体重下降等报警症状；（2）合并消化性溃疡或消化道恶性肿瘤；（3）既往有食管、胃或十二指肠手术史；（4）合并严重心、肝、肾、肺功能不全；（5）妊娠或哺乳期女性；（6）严重精神障碍或无法配合完成问卷。按BMI将患者分为轻度肥胖组（28.0~29.9</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kg/m²）、中度肥胖组（30.0~34.9</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kg/m²）和重度肥胖组（≥35.0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kg/m²）。最终纳入103例。本研究经青海大学附属医院伦理委员会批准（批号：P-SL-2024-312），所有患者均同意将其临床资料用于研究。</w:t>
      </w:r>
    </w:p>
    <w:bookmarkEnd w:id="9"/>
    <w:bookmarkStart w:id="10" w:name="gerdq评估与计分"/>
    <w:p>
      <w:pPr>
        <w:pStyle w:val="Heading3"/>
        <w:spacing w:before="120" w:after="120"/>
      </w:pPr>
      <w:r>
        <w:rPr>
          <w:rFonts w:ascii="Times New Roman" w:hAnsi="Times New Roman" w:cs="Times New Roman" w:eastAsia="黑体"/>
          <w:b/>
          <w:color w:val="000000"/>
          <w:sz w:val="21"/>
        </w:rPr>
        <w:t xml:space="preserve">1.2　</w:t>
      </w:r>
      <w:r>
        <w:rPr>
          <w:rFonts w:hint="eastAsia" w:ascii="Times New Roman" w:hAnsi="Times New Roman" w:cs="Times New Roman" w:eastAsia="黑体"/>
          <w:b/>
          <w:color w:val="000000"/>
          <w:sz w:val="21"/>
        </w:rPr>
        <w:t xml:space="preserve">GerdQ评估与计分</w:t>
      </w:r>
    </w:p>
    <w:p>
      <w:pPr>
        <w:pStyle w:val="FirstParagraph"/>
        <w:spacing w:line="360" w:lineRule="auto" w:after="60"/>
        <w:ind w:firstLine="420"/>
      </w:pPr>
      <w:r>
        <w:rPr>
          <w:rFonts w:hint="eastAsia" w:ascii="Times New Roman" w:hAnsi="Times New Roman" w:cs="Times New Roman" w:eastAsia="宋体"/>
          <w:sz w:val="21"/>
        </w:rPr>
        <w:t xml:space="preserve">由经统一培训的研究人员指导患者完成GerdQ。各条目按过去1周症状出现天数计分：阳性预测条目（第1条烧心、第2条反流、第5条睡眠障碍、第6条额外服药）0</w:t>
      </w:r>
      <w:r>
        <w:rPr>
          <w:rFonts w:ascii="Times New Roman" w:hAnsi="Times New Roman" w:cs="Times New Roman" w:eastAsia="宋体"/>
          <w:sz w:val="21"/>
        </w:rPr>
        <w:t xml:space="preserve"> d、1 d、2~3 d、4~7 </w:t>
      </w:r>
      <w:r>
        <w:rPr>
          <w:rFonts w:hint="eastAsia" w:ascii="Times New Roman" w:hAnsi="Times New Roman" w:cs="Times New Roman" w:eastAsia="宋体"/>
          <w:sz w:val="21"/>
        </w:rPr>
        <w:t xml:space="preserve">d分别计0、1、2、3分；阴性预测条目（第3条上腹痛、第4条恶心）反向计分，分别计3、2、1、0分</w:t>
      </w:r>
      <w:r>
        <w:rPr>
          <w:rFonts w:ascii="Times New Roman" w:hAnsi="Times New Roman" w:cs="Times New Roman" w:eastAsia="宋体"/>
          <w:sz w:val="21"/>
          <w:vertAlign w:val="superscript"/>
        </w:rPr>
        <w:t xml:space="preserve">[13,16]</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highlight w:val="yellow"/>
        </w:rPr>
        <w:t xml:space="preserve">作者确认：本研究上腹痛、恶心是否按此反向计分；如未反向计分，须重新计算总分及相关分析</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rPr>
        <w:t xml:space="preserve">。6个条目得分之和为GerdQ总分（0~18分）。第1、2、5、6条得分之和为4条目GerdQ（4GerdQ，0~12分），用于疗效评价</w:t>
      </w:r>
      <w:r>
        <w:rPr>
          <w:rFonts w:ascii="Times New Roman" w:hAnsi="Times New Roman" w:cs="Times New Roman" w:eastAsia="宋体"/>
          <w:sz w:val="21"/>
          <w:vertAlign w:val="superscript"/>
        </w:rPr>
        <w:t xml:space="preserve">[14]</w:t>
      </w:r>
      <w:r>
        <w:rPr>
          <w:rFonts w:hint="eastAsia" w:ascii="Times New Roman" w:hAnsi="Times New Roman" w:cs="Times New Roman" w:eastAsia="宋体"/>
          <w:sz w:val="21"/>
        </w:rPr>
        <w:t xml:space="preserve">。分别于基线和治疗4周后评估。</w:t>
      </w:r>
    </w:p>
    <w:bookmarkEnd w:id="10"/>
    <w:bookmarkStart w:id="11" w:name="胃镜检查ppi试验与gerd复合诊断"/>
    <w:p>
      <w:pPr>
        <w:pStyle w:val="Heading3"/>
        <w:spacing w:before="120" w:after="120"/>
      </w:pPr>
      <w:r>
        <w:rPr>
          <w:rFonts w:ascii="Times New Roman" w:hAnsi="Times New Roman" w:cs="Times New Roman" w:eastAsia="黑体"/>
          <w:b/>
          <w:color w:val="000000"/>
          <w:sz w:val="21"/>
        </w:rPr>
        <w:t xml:space="preserve">1.3　</w:t>
      </w:r>
      <w:r>
        <w:rPr>
          <w:rFonts w:hint="eastAsia" w:ascii="Times New Roman" w:hAnsi="Times New Roman" w:cs="Times New Roman" w:eastAsia="黑体"/>
          <w:b/>
          <w:color w:val="000000"/>
          <w:sz w:val="21"/>
        </w:rPr>
        <w:t xml:space="preserve">胃镜检查、PPI试验与GERD复合诊断</w:t>
      </w:r>
    </w:p>
    <w:p>
      <w:pPr>
        <w:pStyle w:val="FirstParagraph"/>
        <w:spacing w:line="360" w:lineRule="auto" w:after="60"/>
        <w:ind w:firstLine="420"/>
      </w:pPr>
      <w:r>
        <w:rPr>
          <w:rFonts w:hint="eastAsia" w:ascii="Times New Roman" w:hAnsi="Times New Roman" w:cs="Times New Roman" w:eastAsia="宋体"/>
          <w:sz w:val="21"/>
        </w:rPr>
        <w:t xml:space="preserve">所有患者于入组后1周内完成电子胃镜检查（Olympus</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GIF-H290/GIF-HQ290），由2名具有5年以上操作经验的内镜医师独立判读。反流性食管炎按洛杉矶（Los</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Angeles，LA）分级标准评价</w:t>
      </w:r>
      <w:r>
        <w:rPr>
          <w:rFonts w:ascii="Times New Roman" w:hAnsi="Times New Roman" w:cs="Times New Roman" w:eastAsia="宋体"/>
          <w:sz w:val="21"/>
          <w:vertAlign w:val="superscript"/>
        </w:rPr>
        <w:t xml:space="preserve">[22]</w:t>
      </w:r>
      <w:r>
        <w:rPr>
          <w:rFonts w:hint="eastAsia" w:ascii="Times New Roman" w:hAnsi="Times New Roman" w:cs="Times New Roman" w:eastAsia="宋体"/>
          <w:sz w:val="21"/>
        </w:rPr>
        <w:t xml:space="preserve">。胃镜异常定义为存在任一级别反流性食管炎（LA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A~D级）或食管裂孔疝。按里昂共识2.0，LA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B~D级食管炎为GERD的确证性内镜证据，LA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A级食管炎和食管裂孔疝仅为支持性证据</w:t>
      </w:r>
      <w:r>
        <w:rPr>
          <w:rFonts w:ascii="Times New Roman" w:hAnsi="Times New Roman" w:cs="Times New Roman" w:eastAsia="宋体"/>
          <w:sz w:val="21"/>
          <w:vertAlign w:val="superscript"/>
        </w:rPr>
        <w:t xml:space="preserve">[23]</w:t>
      </w:r>
      <w:r>
        <w:rPr>
          <w:rFonts w:hint="eastAsia" w:ascii="Times New Roman" w:hAnsi="Times New Roman" w:cs="Times New Roman" w:eastAsia="宋体"/>
          <w:sz w:val="21"/>
        </w:rPr>
        <w:t xml:space="preserve">；本研究未分别记录各级别食管炎及食管裂孔疝例数。</w:t>
      </w:r>
    </w:p>
    <w:p>
      <w:pPr>
        <w:pStyle w:val="BodyText"/>
        <w:spacing w:line="360" w:lineRule="auto" w:after="60"/>
        <w:ind w:firstLine="420"/>
      </w:pPr>
      <w:r>
        <w:rPr>
          <w:rFonts w:hint="eastAsia" w:ascii="Times New Roman" w:hAnsi="Times New Roman" w:cs="Times New Roman" w:eastAsia="宋体"/>
          <w:sz w:val="21"/>
        </w:rPr>
        <w:t xml:space="preserve">胃镜检查阴性者行PPI试验</w:t>
      </w:r>
      <w:r>
        <w:rPr>
          <w:rFonts w:ascii="Times New Roman" w:hAnsi="Times New Roman" w:cs="Times New Roman" w:eastAsia="宋体"/>
          <w:sz w:val="21"/>
          <w:vertAlign w:val="superscript"/>
        </w:rPr>
        <w:t xml:space="preserve">[18]</w:t>
      </w:r>
      <w:r>
        <w:rPr>
          <w:rFonts w:hint="eastAsia" w:ascii="Times New Roman" w:hAnsi="Times New Roman" w:cs="Times New Roman" w:eastAsia="宋体"/>
          <w:sz w:val="21"/>
        </w:rPr>
        <w:t xml:space="preserve">：艾司奥美拉唑肠溶片40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mg，每日1次，早餐前30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min口服，疗程14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d，以症状改善≥50%为PPI试验阳性</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highlight w:val="yellow"/>
        </w:rPr>
        <w:t xml:space="preserve">作者确认：PPI试验症状改善的评价工具，以及基线4GerdQ评估在PPI试验之前还是之后</w:t>
      </w:r>
      <w:r>
        <w:rPr>
          <w:rFonts w:hint="eastAsia" w:ascii="Times New Roman" w:hAnsi="Times New Roman" w:cs="Times New Roman" w:eastAsia="宋体"/>
          <w:sz w:val="21"/>
          <w:highlight w:val="yellow"/>
        </w:rPr>
        <w:t xml:space="preserve">】</w:t>
      </w:r>
      <w:r>
        <w:rPr>
          <w:rFonts w:hint="eastAsia" w:ascii="Times New Roman" w:hAnsi="Times New Roman" w:cs="Times New Roman" w:eastAsia="宋体"/>
          <w:sz w:val="21"/>
        </w:rPr>
        <w:t xml:space="preserve">。GERD复合诊断标准：胃镜异常，或胃镜阴性且PPI试验阳性。部分胃镜异常者亦完成了PPI试验，其结果不参与复合诊断。</w:t>
      </w:r>
    </w:p>
    <w:bookmarkEnd w:id="11"/>
    <w:bookmarkStart w:id="12" w:name="ppi治疗与减重管理"/>
    <w:p>
      <w:pPr>
        <w:pStyle w:val="Heading3"/>
        <w:spacing w:before="120" w:after="120"/>
      </w:pPr>
      <w:r>
        <w:rPr>
          <w:rFonts w:ascii="Times New Roman" w:hAnsi="Times New Roman" w:cs="Times New Roman" w:eastAsia="黑体"/>
          <w:b/>
          <w:color w:val="000000"/>
          <w:sz w:val="21"/>
        </w:rPr>
        <w:t xml:space="preserve">1.4　</w:t>
      </w:r>
      <w:r>
        <w:rPr>
          <w:rFonts w:hint="eastAsia" w:ascii="Times New Roman" w:hAnsi="Times New Roman" w:cs="Times New Roman" w:eastAsia="黑体"/>
          <w:b/>
          <w:color w:val="000000"/>
          <w:sz w:val="21"/>
        </w:rPr>
        <w:t xml:space="preserve">PPI治疗与减重管理</w:t>
      </w:r>
    </w:p>
    <w:p>
      <w:pPr>
        <w:pStyle w:val="FirstParagraph"/>
        <w:spacing w:line="360" w:lineRule="auto" w:after="60"/>
        <w:ind w:firstLine="420"/>
      </w:pPr>
      <w:r>
        <w:rPr>
          <w:rFonts w:hint="eastAsia" w:ascii="Times New Roman" w:hAnsi="Times New Roman" w:cs="Times New Roman" w:eastAsia="宋体"/>
          <w:sz w:val="21"/>
        </w:rPr>
        <w:t xml:space="preserve">所有患者接受4周标准剂量PPI治疗（艾司奥美拉唑40</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mg，每日1次，或等效剂量的其他PPI），同时接受为期1个月的统一减重管理，内容包括减少高脂高热量饮食、限制酥油茶和青稞酒摄入、规律进餐、餐后2</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h内避免平卧及适度有氧运动。治疗结束后复评GerdQ并测量体重。以治疗后4GerdQ较基线下降≥1分为症状改善（预设标准），以4GerdQ下降≥3分为严格标准进行敏感性分析。</w:t>
      </w:r>
    </w:p>
    <w:bookmarkEnd w:id="12"/>
    <w:bookmarkStart w:id="13" w:name="统计学方法"/>
    <w:p>
      <w:pPr>
        <w:pStyle w:val="Heading3"/>
        <w:spacing w:before="120" w:after="120"/>
      </w:pPr>
      <w:r>
        <w:rPr>
          <w:rFonts w:ascii="Times New Roman" w:hAnsi="Times New Roman" w:cs="Times New Roman" w:eastAsia="黑体"/>
          <w:b/>
          <w:color w:val="000000"/>
          <w:sz w:val="21"/>
        </w:rPr>
        <w:t xml:space="preserve">1.5　</w:t>
      </w:r>
      <w:r>
        <w:rPr>
          <w:rFonts w:hint="eastAsia" w:ascii="Times New Roman" w:hAnsi="Times New Roman" w:cs="Times New Roman" w:eastAsia="黑体"/>
          <w:b/>
          <w:color w:val="000000"/>
          <w:sz w:val="21"/>
        </w:rPr>
        <w:t xml:space="preserve">统计学方法</w:t>
      </w:r>
    </w:p>
    <w:p>
      <w:pPr>
        <w:pStyle w:val="FirstParagraph"/>
        <w:spacing w:line="360" w:lineRule="auto" w:after="60"/>
        <w:ind w:firstLine="420"/>
      </w:pPr>
      <w:r>
        <w:rPr>
          <w:rFonts w:hint="eastAsia" w:ascii="Times New Roman" w:hAnsi="Times New Roman" w:cs="Times New Roman" w:eastAsia="宋体"/>
          <w:sz w:val="21"/>
        </w:rPr>
        <w:t xml:space="preserve">采用SPSS</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28.0（IBM</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Corp.，Armonk，NY，USA）和Python</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3.13（pandas、NumPy、SciPy、statsmodels、scikit-learn）进行分析。计量资料经Shapiro-Wilk检验判断分布，符合正态分布者以均数±标准差（</w:t>
      </w:r>
      <m:oMath>
        <m:acc>
          <m:accPr>
            <m:chr m:val="‾"/>
          </m:accPr>
          <m:e>
            <m:r>
              <m:t>x</m:t>
            </m:r>
          </m:e>
        </m:acc>
      </m:oMath>
      <w:r>
        <w:rPr>
          <w:rFonts w:ascii="Times New Roman" w:hAnsi="Times New Roman" w:cs="Times New Roman" w:eastAsia="宋体"/>
          <w:sz w:val="21"/>
        </w:rPr>
        <w:t xml:space="preserve">±</w:t>
      </w:r>
      <w:r>
        <w:rPr>
          <w:rFonts w:ascii="Times New Roman" w:hAnsi="Times New Roman" w:cs="Times New Roman" w:eastAsia="宋体"/>
          <w:i/>
          <w:iCs/>
          <w:sz w:val="21"/>
        </w:rPr>
        <w:t xml:space="preserve">s</w:t>
      </w:r>
      <w:r>
        <w:rPr>
          <w:rFonts w:hint="eastAsia" w:ascii="Times New Roman" w:hAnsi="Times New Roman" w:cs="Times New Roman" w:eastAsia="宋体"/>
          <w:sz w:val="21"/>
        </w:rPr>
        <w:t xml:space="preserve">）表示，偏态分布者以中位数（四分位数）[</w:t>
      </w:r>
      <w:r>
        <w:rPr>
          <w:rFonts w:ascii="Times New Roman" w:hAnsi="Times New Roman" w:cs="Times New Roman" w:eastAsia="宋体"/>
          <w:i/>
          <w:iCs/>
          <w:sz w:val="21"/>
        </w:rPr>
        <w:t xml:space="preserve">M</w:t>
      </w:r>
      <w:r>
        <w:rPr>
          <w:rFonts w:hint="eastAsia" w:ascii="Times New Roman" w:hAnsi="Times New Roman" w:cs="Times New Roman" w:eastAsia="宋体"/>
          <w:sz w:val="21"/>
        </w:rPr>
        <w:t xml:space="preserve">（</w:t>
      </w:r>
      <w:r>
        <w:rPr>
          <w:rFonts w:ascii="Times New Roman" w:hAnsi="Times New Roman" w:cs="Times New Roman" w:eastAsia="宋体"/>
          <w:i/>
          <w:iCs/>
          <w:sz w:val="21"/>
        </w:rPr>
        <w:t xml:space="preserve">Q</w:t>
      </w:r>
      <w:r>
        <w:rPr>
          <w:rFonts w:hint="eastAsia" w:ascii="Times New Roman" w:hAnsi="Times New Roman" w:cs="Times New Roman" w:eastAsia="宋体"/>
          <w:sz w:val="21"/>
        </w:rPr>
        <w:t xml:space="preserve">₁，</w:t>
      </w:r>
      <w:r>
        <w:rPr>
          <w:rFonts w:ascii="Times New Roman" w:hAnsi="Times New Roman" w:cs="Times New Roman" w:eastAsia="宋体"/>
          <w:i/>
          <w:iCs/>
          <w:sz w:val="21"/>
        </w:rPr>
        <w:t xml:space="preserve">Q</w:t>
      </w:r>
      <w:r>
        <w:rPr>
          <w:rFonts w:hint="eastAsia" w:ascii="Times New Roman" w:hAnsi="Times New Roman" w:cs="Times New Roman" w:eastAsia="宋体"/>
          <w:sz w:val="21"/>
        </w:rPr>
        <w:t xml:space="preserve">₃）]表示。三组比较采用Kruskal-Wallis</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H</w:t>
      </w:r>
      <w:r>
        <w:rPr>
          <w:rFonts w:hint="eastAsia" w:ascii="Times New Roman" w:hAnsi="Times New Roman" w:cs="Times New Roman" w:eastAsia="宋体"/>
          <w:sz w:val="21"/>
        </w:rPr>
        <w:t xml:space="preserve">检验，两两比较采用Mann-Whitney</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U</w:t>
      </w:r>
      <w:r>
        <w:rPr>
          <w:rFonts w:hint="eastAsia" w:ascii="Times New Roman" w:hAnsi="Times New Roman" w:cs="Times New Roman" w:eastAsia="宋体"/>
          <w:sz w:val="21"/>
        </w:rPr>
        <w:t xml:space="preserve">检验并以Holm法校正；计数资料以例（%）表示，组间比较采用χ²检验（2×2表采用连续性校正）或Fisher确切概率法。相关性分析采用Spearman秩相关。治疗前后比较以Wilcoxon符号秩检验为主要检验，配对</w:t>
      </w:r>
      <w:r>
        <w:rPr>
          <w:rFonts w:ascii="Times New Roman" w:hAnsi="Times New Roman" w:cs="Times New Roman" w:eastAsia="宋体"/>
          <w:i/>
          <w:iCs/>
          <w:sz w:val="21"/>
        </w:rPr>
        <w:t xml:space="preserve">t</w:t>
      </w:r>
      <w:r>
        <w:rPr>
          <w:rFonts w:hint="eastAsia" w:ascii="Times New Roman" w:hAnsi="Times New Roman" w:cs="Times New Roman" w:eastAsia="宋体"/>
          <w:sz w:val="21"/>
        </w:rPr>
        <w:t xml:space="preserve">检验为敏感性分析。率的95%CI采用Wilson法计算。绘制ROC曲线评价GerdQ总分识别GERD复合诊断（主要结局）和胃镜异常（次要结局）的效能，AUC的95%CI采用Bootstrap法（2</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000次）估计，按约登指数确定最佳截断值，并计算灵敏度、特异度、预测值及似然比；将GerdQ总分分为7分、8~9分和≥10分3个区间，计算分层似然比（95%CI采用对数法）及验后概率。不同诊断路径（胃镜异常、胃镜阴性且PPI试验阳性、胃镜阴性且PPI试验阴性）间率的变化趋势采用Cochran-Armitage趋势检验，PPI试验与4周症状改善判断的一致性采用Cohen</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κ系数评价。症状改善的相关因素采用多因素Logistic回归分析（后退法，</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&gt;0.10剔除），候选变量包括年龄、性别、BMI、吸烟和（或）饮酒、高风险职业、基线4GerdQ、胃镜结果和减重幅度。以</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&lt;0.05为差异有统计学意义（双侧）。</w:t>
      </w:r>
    </w:p>
    <w:bookmarkEnd w:id="13"/>
    <w:bookmarkEnd w:id="14"/>
    <w:bookmarkStart w:id="21" w:name="结果"/>
    <w:p>
      <w:pPr>
        <w:pStyle w:val="Heading2"/>
        <w:spacing w:before="240" w:after="120"/>
      </w:pPr>
      <w:r>
        <w:rPr>
          <w:rFonts w:ascii="Times New Roman" w:hAnsi="Times New Roman" w:cs="Times New Roman" w:eastAsia="黑体"/>
          <w:b/>
          <w:color w:val="000000"/>
          <w:sz w:val="24"/>
        </w:rPr>
        <w:t xml:space="preserve">2　</w:t>
      </w:r>
      <w:r>
        <w:rPr>
          <w:rFonts w:hint="eastAsia" w:ascii="Times New Roman" w:hAnsi="Times New Roman" w:cs="Times New Roman" w:eastAsia="黑体"/>
          <w:b/>
          <w:color w:val="000000"/>
          <w:sz w:val="24"/>
        </w:rPr>
        <w:t xml:space="preserve">结果</w:t>
      </w:r>
    </w:p>
    <w:bookmarkStart w:id="15" w:name="一般资料"/>
    <w:p>
      <w:pPr>
        <w:pStyle w:val="Heading3"/>
        <w:spacing w:before="120" w:after="120"/>
      </w:pPr>
      <w:r>
        <w:rPr>
          <w:rFonts w:ascii="Times New Roman" w:hAnsi="Times New Roman" w:cs="Times New Roman" w:eastAsia="黑体"/>
          <w:b/>
          <w:color w:val="000000"/>
          <w:sz w:val="21"/>
        </w:rPr>
        <w:t xml:space="preserve">2.1　</w:t>
      </w:r>
      <w:r>
        <w:rPr>
          <w:rFonts w:hint="eastAsia" w:ascii="Times New Roman" w:hAnsi="Times New Roman" w:cs="Times New Roman" w:eastAsia="黑体"/>
          <w:b/>
          <w:color w:val="000000"/>
          <w:sz w:val="21"/>
        </w:rPr>
        <w:t xml:space="preserve">一般资料</w:t>
      </w:r>
    </w:p>
    <w:p>
      <w:pPr>
        <w:pStyle w:val="FirstParagraph"/>
        <w:spacing w:line="360" w:lineRule="auto" w:after="60"/>
        <w:ind w:firstLine="420"/>
      </w:pPr>
      <w:r>
        <w:rPr>
          <w:rFonts w:hint="eastAsia" w:ascii="Times New Roman" w:hAnsi="Times New Roman" w:cs="Times New Roman" w:eastAsia="宋体"/>
          <w:sz w:val="21"/>
        </w:rPr>
        <w:t xml:space="preserve">103例患者年龄25~80岁，平均（51.4±12.0）岁；男55例（53.4%）；BMI</w:t>
      </w:r>
      <w:r>
        <w:rPr>
          <w:rFonts w:ascii="Times New Roman" w:hAnsi="Times New Roman" w:cs="Times New Roman" w:eastAsia="宋体"/>
          <w:sz w:val="21"/>
        </w:rPr>
        <w:t xml:space="preserve"> 28.03~46.87 </w:t>
      </w:r>
      <w:r>
        <w:rPr>
          <w:rFonts w:hint="eastAsia" w:ascii="Times New Roman" w:hAnsi="Times New Roman" w:cs="Times New Roman" w:eastAsia="宋体"/>
          <w:sz w:val="21"/>
        </w:rPr>
        <w:t xml:space="preserve">kg/m²，平均（30.8±3.6）kg/m²。轻度、中度和重度肥胖组分别为63例（61.2%）、26例（25.2%）和14例（13.6%）。三组年龄差异有统计学意义（</w:t>
      </w:r>
      <w:r>
        <w:rPr>
          <w:rFonts w:ascii="Times New Roman" w:hAnsi="Times New Roman" w:cs="Times New Roman" w:eastAsia="宋体"/>
          <w:i/>
          <w:iCs/>
          <w:sz w:val="21"/>
        </w:rPr>
        <w:t xml:space="preserve">H</w:t>
      </w:r>
      <w:r>
        <w:rPr>
          <w:rFonts w:hint="eastAsia" w:ascii="Times New Roman" w:hAnsi="Times New Roman" w:cs="Times New Roman" w:eastAsia="宋体"/>
          <w:sz w:val="21"/>
        </w:rPr>
        <w:t xml:space="preserve">=9.13，</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=0.010），重度肥胖组年龄较小；体重和BMI组间差异有统计学意义（均</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&lt;0.001）。吸烟和（或）饮酒34例（33.0%），高风险职业（牧民或司机）16例（15.5%）。胃镜异常39例（37.9%，95%CI：29.1%~47.5%）。复合标准诊断GERD</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79例（76.7%，95%CI：67.7%~83.8%），其中胃镜异常39例，胃镜阴性且PPI试验阳性40例；胃镜阴性且PPI试验阴性24例。PPI试验阳性共57例，其中17例为胃镜异常者。基线GerdQ≥8分者91例（88.3%）。见表1。</w:t>
      </w:r>
    </w:p>
    <w:p>
      <w:pPr>
        <w:pStyle w:val="BodyText"/>
        <w:spacing w:line="360" w:lineRule="auto" w:after="60"/>
        <w:jc w:val="center"/>
      </w:pPr>
      <w:r>
        <w:rPr>
          <w:rFonts w:hint="eastAsia" w:ascii="Times New Roman" w:hAnsi="Times New Roman" w:cs="Times New Roman" w:eastAsia="黑体"/>
          <w:b/>
          <w:bCs/>
          <w:sz w:val="18"/>
        </w:rPr>
        <w:t xml:space="preserve">表1</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不同肥胖程度组患者基线资料比较</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1650"/>
        <w:gridCol w:w="1270"/>
        <w:gridCol w:w="1402"/>
        <w:gridCol w:w="1270"/>
        <w:gridCol w:w="1155"/>
        <w:gridCol w:w="990"/>
        <w:gridCol w:w="990"/>
      </w:tblGrid>
      <w:tr>
        <w:trPr>
          <w:tblHeader w:val="on"/>
        </w:trPr>
        <w:tc>
          <w:tcPr>
            <w:tcW w:type="dxa" w:w="165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项目</w:t>
            </w:r>
          </w:p>
        </w:tc>
        <w:tc>
          <w:tcPr>
            <w:tcW w:type="dxa" w:w="127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轻度肥胖组（</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=63）</w:t>
            </w:r>
          </w:p>
        </w:tc>
        <w:tc>
          <w:tcPr>
            <w:tcW w:type="dxa" w:w="140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中度肥胖组（</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=26）</w:t>
            </w:r>
          </w:p>
        </w:tc>
        <w:tc>
          <w:tcPr>
            <w:tcW w:type="dxa" w:w="127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重度肥胖组（</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=14）</w:t>
            </w:r>
          </w:p>
        </w:tc>
        <w:tc>
          <w:tcPr>
            <w:tcW w:type="dxa" w:w="1155"/>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合计（</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=103）</w:t>
            </w:r>
          </w:p>
        </w:tc>
        <w:tc>
          <w:tcPr>
            <w:tcW w:type="dxa" w:w="99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统计量</w:t>
            </w:r>
          </w:p>
        </w:tc>
        <w:tc>
          <w:tcPr>
            <w:tcW w:type="dxa" w:w="990"/>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P</w:t>
            </w:r>
            <w:r>
              <w:rPr>
                <w:rFonts w:hint="eastAsia" w:ascii="Times New Roman" w:hAnsi="Times New Roman" w:cs="Times New Roman" w:eastAsia="宋体"/>
                <w:b/>
                <w:sz w:val="18"/>
              </w:rPr>
              <w:t xml:space="preserve">值</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年龄（岁，</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52.75±11.09</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53.27±12.36</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41.79±11.88</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51.39±12.04</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=9.13</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0.010</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身高（m，</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1.66±0.06</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1.67±0.09</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1.63±0.08</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1.66±0.08</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=2.10</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0.350</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体重（kg，</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79.61±6.32</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88.44±10.53</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102.46±13.05</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84.94±11.66</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=34.51</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&lt;0.001</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BMI（kg/m²，</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28.74±0.54</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31.59±1.44</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38.46±3.36</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30.78±3.60</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=76.80</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&lt;0.001</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男性［例（%）］</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38（60.3）</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13（50.0）</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4（28.6）</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55（53.4）</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χ²=4.80</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0.091</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吸烟和（或）饮酒［例（%）］</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25（39.7）</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7（26.9）</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2（14.3）</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34（33.0）</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χ²=3.92</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0.141</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胃镜异常［例（%）］</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25（39.7）</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10（38.5）</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4（28.6）</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39（37.9）</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χ²=0.61</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0.738</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PPI试验阳性［例（%）］</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34（54.0）</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13（50.0）</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10（71.4）</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57（55.3）</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χ²=1.81</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0.404</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GERD复合诊断［例（%）］</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48（76.2）</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20（76.9）</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11（78.6）</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79（76.7）</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χ²=0.04</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0.982</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基线GerdQ总分［分，</w:t>
            </w:r>
            <w:r>
              <w:rPr>
                <w:rFonts w:ascii="Times New Roman" w:hAnsi="Times New Roman" w:cs="Times New Roman" w:eastAsia="宋体"/>
                <w:i/>
                <w:iCs/>
                <w:sz w:val="18"/>
              </w:rPr>
              <w:t xml:space="preserve">M</w:t>
            </w:r>
            <w:r>
              <w:rPr>
                <w:rFonts w:hint="eastAsia" w:ascii="Times New Roman" w:hAnsi="Times New Roman" w:cs="Times New Roman" w:eastAsia="宋体"/>
                <w:sz w:val="18"/>
              </w:rPr>
              <w:t xml:space="preserve">（</w:t>
            </w:r>
            <w:r>
              <w:rPr>
                <w:rFonts w:ascii="Times New Roman" w:hAnsi="Times New Roman" w:cs="Times New Roman" w:eastAsia="宋体"/>
                <w:i/>
                <w:iCs/>
                <w:sz w:val="18"/>
              </w:rPr>
              <w:t xml:space="preserve">Q</w:t>
            </w:r>
            <w:r>
              <w:rPr>
                <w:rFonts w:hint="eastAsia" w:ascii="Times New Roman" w:hAnsi="Times New Roman" w:cs="Times New Roman" w:eastAsia="宋体"/>
                <w:sz w:val="18"/>
              </w:rPr>
              <w:t xml:space="preserve">₁，</w:t>
            </w:r>
            <w:r>
              <w:rPr>
                <w:rFonts w:ascii="Times New Roman" w:hAnsi="Times New Roman" w:cs="Times New Roman" w:eastAsia="宋体"/>
                <w:i/>
                <w:iCs/>
                <w:sz w:val="18"/>
              </w:rPr>
              <w:t xml:space="preserve">Q</w:t>
            </w:r>
            <w:r>
              <w:rPr>
                <w:rFonts w:hint="eastAsia" w:ascii="Times New Roman" w:hAnsi="Times New Roman" w:cs="Times New Roman" w:eastAsia="宋体"/>
                <w:sz w:val="18"/>
              </w:rPr>
              <w:t xml:space="preserve">₃）］</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9（9，11）</w:t>
            </w:r>
          </w:p>
        </w:tc>
        <w:tc>
          <w:tcPr>
            <w:tcW w:type="dxa" w:w="1403"/>
          </w:tcPr>
          <w:p>
            <w:pPr>
              <w:pStyle w:val="Compact"/>
              <w:spacing w:line="276" w:lineRule="auto" w:after="0"/>
              <w:ind w:firstLine="0" w:left="0"/>
              <w:jc w:val="center"/>
            </w:pPr>
            <w:r>
              <w:rPr>
                <w:rFonts w:hint="eastAsia" w:ascii="Times New Roman" w:hAnsi="Times New Roman" w:cs="Times New Roman" w:eastAsia="宋体"/>
                <w:sz w:val="18"/>
              </w:rPr>
              <w:t xml:space="preserve">11（10，12.8）</w:t>
            </w:r>
          </w:p>
        </w:tc>
        <w:tc>
          <w:tcPr>
            <w:tcW w:type="dxa" w:w="1271"/>
          </w:tcPr>
          <w:p>
            <w:pPr>
              <w:pStyle w:val="Compact"/>
              <w:spacing w:line="276" w:lineRule="auto" w:after="0"/>
              <w:ind w:firstLine="0" w:left="0"/>
              <w:jc w:val="center"/>
            </w:pPr>
            <w:r>
              <w:rPr>
                <w:rFonts w:hint="eastAsia" w:ascii="Times New Roman" w:hAnsi="Times New Roman" w:cs="Times New Roman" w:eastAsia="宋体"/>
                <w:sz w:val="18"/>
              </w:rPr>
              <w:t xml:space="preserve">9（8，11.5）</w:t>
            </w:r>
          </w:p>
        </w:tc>
        <w:tc>
          <w:tcPr>
            <w:tcW w:type="dxa" w:w="1155"/>
          </w:tcPr>
          <w:p>
            <w:pPr>
              <w:pStyle w:val="Compact"/>
              <w:spacing w:line="276" w:lineRule="auto" w:after="0"/>
              <w:ind w:firstLine="0" w:left="0"/>
              <w:jc w:val="center"/>
            </w:pPr>
            <w:r>
              <w:rPr>
                <w:rFonts w:hint="eastAsia" w:ascii="Times New Roman" w:hAnsi="Times New Roman" w:cs="Times New Roman" w:eastAsia="宋体"/>
                <w:sz w:val="18"/>
              </w:rPr>
              <w:t xml:space="preserve">10（9，12）</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=8.34</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0.016</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基线4GerdQ（分，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5.97±1.67</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6.38±2.14</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6.21±2.01</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6.11±1.84</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=1.36</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0.506</w:t>
            </w:r>
          </w:p>
        </w:tc>
      </w:tr>
      <w:tr>
        <w:tc>
          <w:tcPr>
            <w:tcW w:type="dxa" w:w="1650"/>
          </w:tcPr>
          <w:p>
            <w:pPr>
              <w:pStyle w:val="Compact"/>
              <w:spacing w:line="276" w:lineRule="auto" w:after="0"/>
              <w:ind w:firstLine="0" w:left="0"/>
              <w:jc w:val="center"/>
            </w:pPr>
            <w:r>
              <w:rPr>
                <w:rFonts w:hint="eastAsia" w:ascii="Times New Roman" w:hAnsi="Times New Roman" w:cs="Times New Roman" w:eastAsia="宋体"/>
                <w:sz w:val="18"/>
              </w:rPr>
              <w:t xml:space="preserve">减重幅度（kg，</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1.43±1.07</w:t>
            </w:r>
          </w:p>
        </w:tc>
        <w:tc>
          <w:tcPr>
            <w:tcW w:type="dxa" w:w="1403"/>
          </w:tcPr>
          <w:p>
            <w:pPr>
              <w:pStyle w:val="Compact"/>
              <w:spacing w:line="276" w:lineRule="auto" w:after="0"/>
              <w:ind w:firstLine="0" w:left="0"/>
              <w:jc w:val="center"/>
            </w:pPr>
            <w:r>
              <w:rPr>
                <w:rFonts w:ascii="Times New Roman" w:hAnsi="Times New Roman" w:cs="Times New Roman" w:eastAsia="宋体"/>
                <w:sz w:val="18"/>
              </w:rPr>
              <w:t xml:space="preserve">2.06±1.28</w:t>
            </w:r>
          </w:p>
        </w:tc>
        <w:tc>
          <w:tcPr>
            <w:tcW w:type="dxa" w:w="1271"/>
          </w:tcPr>
          <w:p>
            <w:pPr>
              <w:pStyle w:val="Compact"/>
              <w:spacing w:line="276" w:lineRule="auto" w:after="0"/>
              <w:ind w:firstLine="0" w:left="0"/>
              <w:jc w:val="center"/>
            </w:pPr>
            <w:r>
              <w:rPr>
                <w:rFonts w:ascii="Times New Roman" w:hAnsi="Times New Roman" w:cs="Times New Roman" w:eastAsia="宋体"/>
                <w:sz w:val="18"/>
              </w:rPr>
              <w:t xml:space="preserve">1.68±1.60</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1.62±1.22</w:t>
            </w:r>
          </w:p>
        </w:tc>
        <w:tc>
          <w:tcPr>
            <w:tcW w:type="dxa" w:w="990"/>
          </w:tcPr>
          <w:p>
            <w:pPr>
              <w:pStyle w:val="Compact"/>
              <w:spacing w:line="276" w:lineRule="auto" w:after="0"/>
              <w:ind w:firstLine="0" w:left="0"/>
              <w:jc w:val="center"/>
            </w:pPr>
            <w:r>
              <w:rPr>
                <w:rFonts w:ascii="Times New Roman" w:hAnsi="Times New Roman" w:cs="Times New Roman" w:eastAsia="宋体"/>
                <w:i/>
                <w:iCs/>
                <w:sz w:val="18"/>
              </w:rPr>
              <w:t xml:space="preserve">H</w:t>
            </w:r>
            <w:r>
              <w:rPr>
                <w:rFonts w:ascii="Times New Roman" w:hAnsi="Times New Roman" w:cs="Times New Roman" w:eastAsia="宋体"/>
                <w:sz w:val="18"/>
              </w:rPr>
              <w:t xml:space="preserve">=4.51</w:t>
            </w:r>
          </w:p>
        </w:tc>
        <w:tc>
          <w:tcPr>
            <w:tcW w:type="dxa" w:w="990"/>
          </w:tcPr>
          <w:p>
            <w:pPr>
              <w:pStyle w:val="Compact"/>
              <w:spacing w:line="276" w:lineRule="auto" w:after="0"/>
              <w:ind w:firstLine="0" w:left="0"/>
              <w:jc w:val="center"/>
            </w:pPr>
            <w:r>
              <w:rPr>
                <w:rFonts w:ascii="Times New Roman" w:hAnsi="Times New Roman" w:cs="Times New Roman" w:eastAsia="宋体"/>
                <w:sz w:val="18"/>
              </w:rPr>
              <w:t xml:space="preserve">0.105</w:t>
            </w:r>
          </w:p>
        </w:tc>
      </w:tr>
    </w:tbl>
    <w:p>
      <w:pPr>
        <w:pStyle w:val="BodyText"/>
        <w:spacing w:line="360" w:lineRule="auto" w:after="60"/>
        <w:ind/>
      </w:pPr>
      <w:r>
        <w:rPr>
          <w:rFonts w:hint="eastAsia" w:ascii="Times New Roman" w:hAnsi="Times New Roman" w:cs="Times New Roman" w:eastAsia="宋体"/>
          <w:sz w:val="18"/>
        </w:rPr>
        <w:t xml:space="preserve">注：BMI为体质指数；PPI为质子泵抑制剂；GERD为胃食管反流病；4GerdQ为GerdQ第1、2、5、6条得分之和；减重幅度为减重管理后体重较基线的下降值</w:t>
      </w:r>
    </w:p>
    <w:bookmarkEnd w:id="15"/>
    <w:bookmarkStart w:id="16" w:name="gerdq条目得分分布"/>
    <w:p>
      <w:pPr>
        <w:pStyle w:val="Heading3"/>
        <w:spacing w:before="120" w:after="120"/>
      </w:pPr>
      <w:r>
        <w:rPr>
          <w:rFonts w:ascii="Times New Roman" w:hAnsi="Times New Roman" w:cs="Times New Roman" w:eastAsia="黑体"/>
          <w:b/>
          <w:color w:val="000000"/>
          <w:sz w:val="21"/>
        </w:rPr>
        <w:t xml:space="preserve">2.2　</w:t>
      </w:r>
      <w:r>
        <w:rPr>
          <w:rFonts w:hint="eastAsia" w:ascii="Times New Roman" w:hAnsi="Times New Roman" w:cs="Times New Roman" w:eastAsia="黑体"/>
          <w:b/>
          <w:color w:val="000000"/>
          <w:sz w:val="21"/>
        </w:rPr>
        <w:t xml:space="preserve">GerdQ条目得分分布</w:t>
      </w:r>
    </w:p>
    <w:p>
      <w:pPr>
        <w:pStyle w:val="FirstParagraph"/>
        <w:spacing w:line="360" w:lineRule="auto" w:after="60"/>
        <w:ind w:firstLine="420"/>
      </w:pPr>
      <w:r>
        <w:rPr>
          <w:rFonts w:hint="eastAsia" w:ascii="Times New Roman" w:hAnsi="Times New Roman" w:cs="Times New Roman" w:eastAsia="宋体"/>
          <w:sz w:val="21"/>
        </w:rPr>
        <w:t xml:space="preserve">基线GerdQ总分为10（9，12）分，范围7~14分。各条目中，反流（2.31±0.71）分和烧心（2.12±0.69）分得分最高，睡眠障碍（1.20±0.89）分和额外服药（0.48±0.54）分较低。条目-总分相关系数以反流（</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ₛ=0.677）、烧心（</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ₛ=0.645）和睡眠障碍（</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ₛ=0.508）较高，上腹痛（</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ₛ=0.309）、恶心（</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ₛ=0.397）和额外服药（</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ₛ=0.217）较低。烧心与反流强相关（</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ₛ=0.635）；上腹痛与恶心彼此相关（</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ₛ=0.290），与阳性预测条目的相关性较弱（</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ₛ=−0.240~0.113）。见表2、图1。</w:t>
      </w:r>
    </w:p>
    <w:p>
      <w:pPr>
        <w:pStyle w:val="BodyText"/>
        <w:spacing w:line="360" w:lineRule="auto" w:after="60"/>
        <w:jc w:val="center"/>
      </w:pPr>
      <w:r>
        <w:rPr>
          <w:rFonts w:hint="eastAsia" w:ascii="Times New Roman" w:hAnsi="Times New Roman" w:cs="Times New Roman" w:eastAsia="黑体"/>
          <w:b/>
          <w:bCs/>
          <w:sz w:val="18"/>
        </w:rPr>
        <w:t xml:space="preserve">表2</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103例患者基线GerdQ各条目得分分布及条目-总分相关性</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1515"/>
        <w:gridCol w:w="1231"/>
        <w:gridCol w:w="1231"/>
        <w:gridCol w:w="1231"/>
        <w:gridCol w:w="1231"/>
        <w:gridCol w:w="1155"/>
        <w:gridCol w:w="1136"/>
      </w:tblGrid>
      <w:tr>
        <w:trPr>
          <w:tblHeader w:val="on"/>
        </w:trPr>
        <w:tc>
          <w:tcPr>
            <w:tcW w:type="dxa" w:w="1515"/>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条目</w:t>
            </w:r>
          </w:p>
        </w:tc>
        <w:tc>
          <w:tcPr>
            <w:tcW w:type="dxa" w:w="123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0分［例（%）］</w:t>
            </w:r>
          </w:p>
        </w:tc>
        <w:tc>
          <w:tcPr>
            <w:tcW w:type="dxa" w:w="123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1分［例（%）］</w:t>
            </w:r>
          </w:p>
        </w:tc>
        <w:tc>
          <w:tcPr>
            <w:tcW w:type="dxa" w:w="123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2分［例（%）］</w:t>
            </w:r>
          </w:p>
        </w:tc>
        <w:tc>
          <w:tcPr>
            <w:tcW w:type="dxa" w:w="123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3分［例（%）］</w:t>
            </w:r>
          </w:p>
        </w:tc>
        <w:tc>
          <w:tcPr>
            <w:tcW w:type="dxa" w:w="1155"/>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得分（分，</w:t>
            </w:r>
            <m:oMath>
              <m:acc>
                <m:accPr>
                  <m:chr m:val="‾"/>
                </m:accPr>
                <m:e>
                  <m:r>
                    <m:t>x</m:t>
                  </m:r>
                </m:e>
              </m:acc>
            </m:oMath>
            <w:r>
              <w:rPr>
                <w:rFonts w:ascii="Times New Roman" w:hAnsi="Times New Roman" w:cs="Times New Roman" w:eastAsia="宋体"/>
                <w:b/>
                <w:sz w:val="18"/>
              </w:rPr>
              <w:t xml:space="preserve">±</w:t>
            </w:r>
            <w:r>
              <w:rPr>
                <w:rFonts w:ascii="Times New Roman" w:hAnsi="Times New Roman" w:cs="Times New Roman" w:eastAsia="宋体"/>
                <w:b/>
                <w:i/>
                <w:iCs/>
                <w:sz w:val="18"/>
              </w:rPr>
              <w:t xml:space="preserve">s</w:t>
            </w:r>
            <w:r>
              <w:rPr>
                <w:rFonts w:hint="eastAsia" w:ascii="Times New Roman" w:hAnsi="Times New Roman" w:cs="Times New Roman" w:eastAsia="宋体"/>
                <w:b/>
                <w:sz w:val="18"/>
              </w:rPr>
              <w:t xml:space="preserve">）</w:t>
            </w:r>
          </w:p>
        </w:tc>
        <w:tc>
          <w:tcPr>
            <w:tcW w:type="dxa" w:w="1136"/>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条目-总分</w:t>
            </w:r>
            <w:r>
              <w:rPr>
                <w:rFonts w:ascii="Times New Roman" w:hAnsi="Times New Roman" w:cs="Times New Roman" w:eastAsia="宋体"/>
                <w:b/>
                <w:i/>
                <w:iCs/>
                <w:sz w:val="18"/>
              </w:rPr>
              <w:t xml:space="preserve">r</w:t>
            </w:r>
            <w:r>
              <w:rPr>
                <w:rFonts w:ascii="Times New Roman" w:hAnsi="Times New Roman" w:cs="Times New Roman" w:eastAsia="宋体"/>
                <w:b/>
                <w:sz w:val="18"/>
              </w:rPr>
              <w:t xml:space="preserve">ₛ</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烧心</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0（0.0）</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19（18.4）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53（51.5）</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31（30.1）</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2.12±0.69</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0.645</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反流</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0（0.0）</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15（14.6）</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41（39.8）</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47（45.6）</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2.31±0.71</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0.677</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上腹痛*</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3（2.9）</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20（19.4）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55（53.4）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25（24.3）</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1.99±0.75</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0.309</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恶心*</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1（1.0）</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25（24.3）</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54（52.4）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23（22.3）</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1.96±0.71</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0.397</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睡眠障碍</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22（21.4）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48（46.6）</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23（22.3）</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10（9.7）</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1.20±0.89</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0.508</w:t>
            </w:r>
          </w:p>
        </w:tc>
      </w:tr>
      <w:tr>
        <w:tc>
          <w:tcPr>
            <w:tcW w:type="dxa" w:w="1515"/>
          </w:tcPr>
          <w:p>
            <w:pPr>
              <w:pStyle w:val="Compact"/>
              <w:spacing w:line="276" w:lineRule="auto" w:after="0"/>
              <w:ind w:firstLine="0" w:left="0"/>
              <w:jc w:val="center"/>
            </w:pPr>
            <w:r>
              <w:rPr>
                <w:rFonts w:hint="eastAsia" w:ascii="Times New Roman" w:hAnsi="Times New Roman" w:cs="Times New Roman" w:eastAsia="宋体"/>
                <w:sz w:val="18"/>
              </w:rPr>
              <w:t xml:space="preserve">额外服药</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56（54.4）</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45（43.7）</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2（1.9）</w:t>
            </w:r>
          </w:p>
        </w:tc>
        <w:tc>
          <w:tcPr>
            <w:tcW w:type="dxa" w:w="1231"/>
          </w:tcPr>
          <w:p>
            <w:pPr>
              <w:pStyle w:val="Compact"/>
              <w:spacing w:line="276" w:lineRule="auto" w:after="0"/>
              <w:ind w:firstLine="0" w:left="0"/>
              <w:jc w:val="center"/>
            </w:pPr>
            <w:r>
              <w:rPr>
                <w:rFonts w:hint="eastAsia" w:ascii="Times New Roman" w:hAnsi="Times New Roman" w:cs="Times New Roman" w:eastAsia="宋体"/>
                <w:sz w:val="18"/>
              </w:rPr>
              <w:t xml:space="preserve">0（0.0）</w:t>
            </w:r>
          </w:p>
        </w:tc>
        <w:tc>
          <w:tcPr>
            <w:tcW w:type="dxa" w:w="1155"/>
          </w:tcPr>
          <w:p>
            <w:pPr>
              <w:pStyle w:val="Compact"/>
              <w:spacing w:line="276" w:lineRule="auto" w:after="0"/>
              <w:ind w:firstLine="0" w:left="0"/>
              <w:jc w:val="center"/>
            </w:pPr>
            <w:r>
              <w:rPr>
                <w:rFonts w:ascii="Times New Roman" w:hAnsi="Times New Roman" w:cs="Times New Roman" w:eastAsia="宋体"/>
                <w:sz w:val="18"/>
              </w:rPr>
              <w:t xml:space="preserve">0.48±0.54</w:t>
            </w:r>
          </w:p>
        </w:tc>
        <w:tc>
          <w:tcPr>
            <w:tcW w:type="dxa" w:w="1136"/>
          </w:tcPr>
          <w:p>
            <w:pPr>
              <w:pStyle w:val="Compact"/>
              <w:spacing w:line="276" w:lineRule="auto" w:after="0"/>
              <w:ind w:firstLine="0" w:left="0"/>
              <w:jc w:val="center"/>
            </w:pPr>
            <w:r>
              <w:rPr>
                <w:rFonts w:ascii="Times New Roman" w:hAnsi="Times New Roman" w:cs="Times New Roman" w:eastAsia="宋体"/>
                <w:sz w:val="18"/>
              </w:rPr>
              <w:t xml:space="preserve">0.217</w:t>
            </w:r>
          </w:p>
        </w:tc>
      </w:tr>
    </w:tbl>
    <w:p>
      <w:pPr>
        <w:pStyle w:val="BodyText"/>
        <w:spacing w:line="360" w:lineRule="auto" w:after="60"/>
      </w:pPr>
      <w:r>
        <w:rPr>
          <w:rFonts w:hint="eastAsia" w:ascii="Times New Roman" w:hAnsi="Times New Roman" w:cs="Times New Roman" w:eastAsia="宋体"/>
          <w:sz w:val="18"/>
        </w:rPr>
        <w:t xml:space="preserve">注：*阴性预测条目，反向计分（得分越高表示症状天数越少）</w:t>
      </w:r>
      <w:r>
        <w:rPr>
          <w:rFonts w:hint="eastAsia" w:ascii="Times New Roman" w:hAnsi="Times New Roman" w:cs="Times New Roman" w:eastAsia="宋体"/>
          <w:sz w:val="18"/>
          <w:highlight w:val="yellow"/>
        </w:rPr>
        <w:t xml:space="preserve">【</w:t>
      </w:r>
      <w:r>
        <w:rPr>
          <w:rFonts w:hint="eastAsia" w:ascii="Times New Roman" w:hAnsi="Times New Roman" w:cs="Times New Roman" w:eastAsia="宋体"/>
          <w:sz w:val="18"/>
          <w:highlight w:val="yellow"/>
        </w:rPr>
        <w:t xml:space="preserve">作者确认</w:t>
      </w:r>
      <w:r>
        <w:rPr>
          <w:rFonts w:hint="eastAsia" w:ascii="Times New Roman" w:hAnsi="Times New Roman" w:cs="Times New Roman" w:eastAsia="宋体"/>
          <w:sz w:val="18"/>
          <w:highlight w:val="yellow"/>
        </w:rPr>
        <w:t xml:space="preserve">】</w:t>
      </w:r>
      <w:r>
        <w:rPr>
          <w:rFonts w:hint="eastAsia" w:ascii="Times New Roman" w:hAnsi="Times New Roman" w:cs="Times New Roman" w:eastAsia="宋体"/>
          <w:sz w:val="18"/>
        </w:rPr>
        <w:t xml:space="preserve">；条目-总分相关采用Spearman秩相关</w:t>
      </w:r>
    </w:p>
    <w:bookmarkEnd w:id="16"/>
    <w:bookmarkStart w:id="17" w:name="不同肥胖程度组gerdq评分比较"/>
    <w:p>
      <w:pPr>
        <w:pStyle w:val="Heading3"/>
        <w:spacing w:before="120" w:after="120"/>
      </w:pPr>
      <w:r>
        <w:rPr>
          <w:rFonts w:ascii="Times New Roman" w:hAnsi="Times New Roman" w:cs="Times New Roman" w:eastAsia="黑体"/>
          <w:b/>
          <w:color w:val="000000"/>
          <w:sz w:val="21"/>
        </w:rPr>
        <w:t xml:space="preserve">2.3　</w:t>
      </w:r>
      <w:r>
        <w:rPr>
          <w:rFonts w:hint="eastAsia" w:ascii="Times New Roman" w:hAnsi="Times New Roman" w:cs="Times New Roman" w:eastAsia="黑体"/>
          <w:b/>
          <w:color w:val="000000"/>
          <w:sz w:val="21"/>
        </w:rPr>
        <w:t xml:space="preserve">不同肥胖程度组GerdQ评分比较</w:t>
      </w:r>
    </w:p>
    <w:p>
      <w:pPr>
        <w:pStyle w:val="FirstParagraph"/>
        <w:spacing w:line="360" w:lineRule="auto" w:after="60"/>
        <w:ind w:firstLine="420"/>
      </w:pPr>
      <w:r>
        <w:rPr>
          <w:rFonts w:hint="eastAsia" w:ascii="Times New Roman" w:hAnsi="Times New Roman" w:cs="Times New Roman" w:eastAsia="宋体"/>
          <w:sz w:val="21"/>
        </w:rPr>
        <w:t xml:space="preserve">轻度、中度和重度肥胖组基线GerdQ总分分别为9（9，11）分、11（10，12.8）分和9（8，11.5）分，组间差异有统计学意义（</w:t>
      </w:r>
      <w:r>
        <w:rPr>
          <w:rFonts w:ascii="Times New Roman" w:hAnsi="Times New Roman" w:cs="Times New Roman" w:eastAsia="宋体"/>
          <w:i/>
          <w:iCs/>
          <w:sz w:val="21"/>
        </w:rPr>
        <w:t xml:space="preserve">H</w:t>
      </w:r>
      <w:r>
        <w:rPr>
          <w:rFonts w:hint="eastAsia" w:ascii="Times New Roman" w:hAnsi="Times New Roman" w:cs="Times New Roman" w:eastAsia="宋体"/>
          <w:sz w:val="21"/>
        </w:rPr>
        <w:t xml:space="preserve">=8.34，</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=0.016）。经Holm法校正，中度肥胖组高于轻度肥胖组（</w:t>
      </w:r>
      <w:r>
        <w:rPr>
          <w:rFonts w:ascii="Times New Roman" w:hAnsi="Times New Roman" w:cs="Times New Roman" w:eastAsia="宋体"/>
          <w:i/>
          <w:iCs/>
          <w:sz w:val="21"/>
        </w:rPr>
        <w:t xml:space="preserve">U</w:t>
      </w:r>
      <w:r>
        <w:rPr>
          <w:rFonts w:hint="eastAsia" w:ascii="Times New Roman" w:hAnsi="Times New Roman" w:cs="Times New Roman" w:eastAsia="宋体"/>
          <w:sz w:val="21"/>
        </w:rPr>
        <w:t xml:space="preserve">=519，校正</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=0.019），轻度与重度肥胖组（校正</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=0.502）、中度与重度肥胖组（校正</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=0.097）差异无统计学意义。鉴于三组年龄分布不均衡，采用异方差稳健标准误（HC3）线性模型进行敏感性分析，调整年龄和性别后，中度肥胖组评分较轻度肥胖组高1.35分（95%CI：0.46~2.23，</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=0.003），重度与轻度肥胖组差异无统计学意义（0.19分，95%CI：−1.29~1.68，</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=0.798）。BMI作为连续变量时与GerdQ总分无相关性（</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ₛ=0.103，</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=0.300）。见图2。</w:t>
      </w:r>
    </w:p>
    <w:bookmarkEnd w:id="17"/>
    <w:bookmarkStart w:id="18" w:name="gerdq对gerd的诊断效能"/>
    <w:p>
      <w:pPr>
        <w:pStyle w:val="Heading3"/>
        <w:spacing w:before="120" w:after="120"/>
      </w:pPr>
      <w:r>
        <w:rPr>
          <w:rFonts w:ascii="Times New Roman" w:hAnsi="Times New Roman" w:cs="Times New Roman" w:eastAsia="黑体"/>
          <w:b/>
          <w:color w:val="000000"/>
          <w:sz w:val="21"/>
        </w:rPr>
        <w:t xml:space="preserve">2.4　</w:t>
      </w:r>
      <w:r>
        <w:rPr>
          <w:rFonts w:hint="eastAsia" w:ascii="Times New Roman" w:hAnsi="Times New Roman" w:cs="Times New Roman" w:eastAsia="黑体"/>
          <w:b/>
          <w:color w:val="000000"/>
          <w:sz w:val="21"/>
        </w:rPr>
        <w:t xml:space="preserve">GerdQ对GERD的诊断效能</w:t>
      </w:r>
    </w:p>
    <w:p>
      <w:pPr>
        <w:pStyle w:val="FirstParagraph"/>
        <w:spacing w:line="360" w:lineRule="auto" w:after="60"/>
        <w:ind w:firstLine="420"/>
      </w:pPr>
      <w:r>
        <w:rPr>
          <w:rFonts w:hint="eastAsia" w:ascii="Times New Roman" w:hAnsi="Times New Roman" w:cs="Times New Roman" w:eastAsia="宋体"/>
          <w:sz w:val="21"/>
        </w:rPr>
        <w:t xml:space="preserve">GERD复合诊断阳性者基线GerdQ总分高于阴性者［11（9，12）分比9（8，11）分，</w:t>
      </w:r>
      <w:r>
        <w:rPr>
          <w:rFonts w:ascii="Times New Roman" w:hAnsi="Times New Roman" w:cs="Times New Roman" w:eastAsia="宋体"/>
          <w:i/>
          <w:iCs/>
          <w:sz w:val="21"/>
        </w:rPr>
        <w:t xml:space="preserve">U</w:t>
      </w:r>
      <w:r>
        <w:rPr>
          <w:rFonts w:ascii="Times New Roman" w:hAnsi="Times New Roman" w:cs="Times New Roman" w:eastAsia="宋体"/>
          <w:sz w:val="21"/>
        </w:rPr>
        <w:t xml:space="preserve">=1 </w:t>
      </w:r>
      <w:r>
        <w:rPr>
          <w:rFonts w:hint="eastAsia" w:ascii="Times New Roman" w:hAnsi="Times New Roman" w:cs="Times New Roman" w:eastAsia="宋体"/>
          <w:sz w:val="21"/>
        </w:rPr>
        <w:t xml:space="preserve">330，</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0.003］。GerdQ总分识别GERD的AUC为0.701（95%CI：0.580~0.819）。按约登指数确定的最佳截断值为≥10分，灵敏度62.0%、特异度70.8%、阳性预测值87.5%、阴性预测值36.2%，阳性似然比2.13、阴性似然比0.54。以推荐的≥8分为界值时，灵敏度93.7%、特异度29.2%、阳性预测值81.3%、阴性预测值58.3%。以胃镜异常为结局时，GerdQ总分的AUC为0.656（95%CI：0.551~0.763），最佳截断值亦为≥10分（灵敏度71.8%、特异度56.2%）。见表3、图3。</w:t>
      </w:r>
    </w:p>
    <w:p>
      <w:pPr>
        <w:pStyle w:val="BodyText"/>
        <w:spacing w:line="360" w:lineRule="auto" w:after="60"/>
        <w:jc w:val="center"/>
      </w:pPr>
      <w:r>
        <w:rPr>
          <w:rFonts w:hint="eastAsia" w:ascii="Times New Roman" w:hAnsi="Times New Roman" w:cs="Times New Roman" w:eastAsia="黑体"/>
          <w:b/>
          <w:bCs/>
          <w:sz w:val="18"/>
        </w:rPr>
        <w:t xml:space="preserve">表3</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GerdQ总分不同截断值识别GERD复合诊断的效能</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1818"/>
        <w:gridCol w:w="1364"/>
        <w:gridCol w:w="1364"/>
        <w:gridCol w:w="1409"/>
        <w:gridCol w:w="1409"/>
        <w:gridCol w:w="1364"/>
      </w:tblGrid>
      <w:tr>
        <w:trPr>
          <w:tblHeader w:val="on"/>
        </w:trPr>
        <w:tc>
          <w:tcPr>
            <w:tcW w:type="dxa" w:w="1819"/>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截断值（分）</w:t>
            </w:r>
          </w:p>
        </w:tc>
        <w:tc>
          <w:tcPr>
            <w:tcW w:type="dxa" w:w="1364"/>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灵敏度（%）</w:t>
            </w:r>
          </w:p>
        </w:tc>
        <w:tc>
          <w:tcPr>
            <w:tcW w:type="dxa" w:w="1364"/>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特异度（%）</w:t>
            </w:r>
          </w:p>
        </w:tc>
        <w:tc>
          <w:tcPr>
            <w:tcW w:type="dxa" w:w="141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阳性预测值（%）</w:t>
            </w:r>
          </w:p>
        </w:tc>
        <w:tc>
          <w:tcPr>
            <w:tcW w:type="dxa" w:w="1410"/>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阴性预测值（%）</w:t>
            </w:r>
          </w:p>
        </w:tc>
        <w:tc>
          <w:tcPr>
            <w:tcW w:type="dxa" w:w="1364"/>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约登指数</w:t>
            </w:r>
          </w:p>
        </w:tc>
      </w:tr>
      <w:tr>
        <w:tc>
          <w:tcPr>
            <w:tcW w:type="dxa" w:w="1819"/>
          </w:tcPr>
          <w:p>
            <w:pPr>
              <w:pStyle w:val="Compact"/>
              <w:spacing w:line="276" w:lineRule="auto" w:after="0"/>
              <w:ind w:firstLine="0" w:left="0"/>
              <w:jc w:val="center"/>
            </w:pPr>
            <w:r>
              <w:rPr>
                <w:rFonts w:ascii="Times New Roman" w:hAnsi="Times New Roman" w:cs="Times New Roman" w:eastAsia="宋体"/>
                <w:sz w:val="18"/>
              </w:rPr>
              <w:t xml:space="preserve">≥8</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93.7</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29.2</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81.3</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58.3</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0.228</w:t>
            </w:r>
          </w:p>
        </w:tc>
      </w:tr>
      <w:tr>
        <w:tc>
          <w:tcPr>
            <w:tcW w:type="dxa" w:w="1819"/>
          </w:tcPr>
          <w:p>
            <w:pPr>
              <w:pStyle w:val="Compact"/>
              <w:spacing w:line="276" w:lineRule="auto" w:after="0"/>
              <w:ind w:firstLine="0" w:left="0"/>
              <w:jc w:val="center"/>
            </w:pPr>
            <w:r>
              <w:rPr>
                <w:rFonts w:ascii="Times New Roman" w:hAnsi="Times New Roman" w:cs="Times New Roman" w:eastAsia="宋体"/>
                <w:sz w:val="18"/>
              </w:rPr>
              <w:t xml:space="preserve">≥9</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82.3</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41.7</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82.3</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41.7</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0.239</w:t>
            </w:r>
          </w:p>
        </w:tc>
      </w:tr>
      <w:tr>
        <w:tc>
          <w:tcPr>
            <w:tcW w:type="dxa" w:w="1819"/>
          </w:tcPr>
          <w:p>
            <w:pPr>
              <w:pStyle w:val="Compact"/>
              <w:spacing w:line="276" w:lineRule="auto" w:after="0"/>
              <w:ind w:firstLine="0" w:left="0"/>
              <w:jc w:val="center"/>
            </w:pPr>
            <w:r>
              <w:rPr>
                <w:rFonts w:ascii="Times New Roman" w:hAnsi="Times New Roman" w:cs="Times New Roman" w:eastAsia="宋体"/>
                <w:sz w:val="18"/>
              </w:rPr>
              <w:t xml:space="preserve">≥10</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62.0</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70.8</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87.5</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36.2</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0.329</w:t>
            </w:r>
          </w:p>
        </w:tc>
      </w:tr>
      <w:tr>
        <w:tc>
          <w:tcPr>
            <w:tcW w:type="dxa" w:w="1819"/>
          </w:tcPr>
          <w:p>
            <w:pPr>
              <w:pStyle w:val="Compact"/>
              <w:spacing w:line="276" w:lineRule="auto" w:after="0"/>
              <w:ind w:firstLine="0" w:left="0"/>
              <w:jc w:val="center"/>
            </w:pPr>
            <w:r>
              <w:rPr>
                <w:rFonts w:ascii="Times New Roman" w:hAnsi="Times New Roman" w:cs="Times New Roman" w:eastAsia="宋体"/>
                <w:sz w:val="18"/>
              </w:rPr>
              <w:t xml:space="preserve">≥11</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43.0</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79.2</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87.2</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29.7</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0.222</w:t>
            </w:r>
          </w:p>
        </w:tc>
      </w:tr>
      <w:tr>
        <w:tc>
          <w:tcPr>
            <w:tcW w:type="dxa" w:w="1819"/>
          </w:tcPr>
          <w:p>
            <w:pPr>
              <w:pStyle w:val="Compact"/>
              <w:spacing w:line="276" w:lineRule="auto" w:after="0"/>
              <w:ind w:firstLine="0" w:left="0"/>
              <w:jc w:val="center"/>
            </w:pPr>
            <w:r>
              <w:rPr>
                <w:rFonts w:ascii="Times New Roman" w:hAnsi="Times New Roman" w:cs="Times New Roman" w:eastAsia="宋体"/>
                <w:sz w:val="18"/>
              </w:rPr>
              <w:t xml:space="preserve">≥12</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34.2</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87.5</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90.0</w:t>
            </w:r>
          </w:p>
        </w:tc>
        <w:tc>
          <w:tcPr>
            <w:tcW w:type="dxa" w:w="1410"/>
          </w:tcPr>
          <w:p>
            <w:pPr>
              <w:pStyle w:val="Compact"/>
              <w:spacing w:line="276" w:lineRule="auto" w:after="0"/>
              <w:ind w:firstLine="0" w:left="0"/>
              <w:jc w:val="center"/>
            </w:pPr>
            <w:r>
              <w:rPr>
                <w:rFonts w:ascii="Times New Roman" w:hAnsi="Times New Roman" w:cs="Times New Roman" w:eastAsia="宋体"/>
                <w:sz w:val="18"/>
              </w:rPr>
              <w:t xml:space="preserve">28.8</w:t>
            </w:r>
          </w:p>
        </w:tc>
        <w:tc>
          <w:tcPr>
            <w:tcW w:type="dxa" w:w="1364"/>
          </w:tcPr>
          <w:p>
            <w:pPr>
              <w:pStyle w:val="Compact"/>
              <w:spacing w:line="276" w:lineRule="auto" w:after="0"/>
              <w:ind w:firstLine="0" w:left="0"/>
              <w:jc w:val="center"/>
            </w:pPr>
            <w:r>
              <w:rPr>
                <w:rFonts w:ascii="Times New Roman" w:hAnsi="Times New Roman" w:cs="Times New Roman" w:eastAsia="宋体"/>
                <w:sz w:val="18"/>
              </w:rPr>
              <w:t xml:space="preserve">0.217</w:t>
            </w:r>
          </w:p>
        </w:tc>
      </w:tr>
    </w:tbl>
    <w:p>
      <w:pPr>
        <w:pStyle w:val="BodyText"/>
        <w:spacing w:line="360" w:lineRule="auto" w:after="60"/>
      </w:pPr>
      <w:r>
        <w:rPr>
          <w:rFonts w:hint="eastAsia" w:ascii="Times New Roman" w:hAnsi="Times New Roman" w:cs="Times New Roman" w:eastAsia="宋体"/>
          <w:sz w:val="18"/>
        </w:rPr>
        <w:t xml:space="preserve">注：GERD复合诊断阳性79例、阴性24例；因入组要求门诊GerdQ≥7分，本表不能反映≤7分时的诊断效能</w:t>
      </w:r>
    </w:p>
    <w:p>
      <w:pPr>
        <w:pStyle w:val="BodyText"/>
        <w:spacing w:line="360" w:lineRule="auto" w:after="60"/>
        <w:ind w:firstLine="420"/>
      </w:pPr>
      <w:r>
        <w:rPr>
          <w:rFonts w:hint="eastAsia" w:ascii="Times New Roman" w:hAnsi="Times New Roman" w:cs="Times New Roman" w:eastAsia="宋体"/>
          <w:sz w:val="21"/>
        </w:rPr>
        <w:t xml:space="preserve">GERD比例随GerdQ总分升高而增加（趋势χ²=9.12，</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0.003），但逐分似然比并不单调，故合并为3个区间分析。7分、8~9分和≥10分的分层似然比分别为0.22（95%CI：0.08~0.62）、0.76（95%CI：0.43~1.35）和2.13（95%CI：1.11~4.06），对应本组验后概率分别为41.7%、71.4%和87.5%；8~9分区间似然比的95%CI跨越1，基本不提供诊断信息。GerdQ≥10分的比例在胃镜异常、胃镜阴性且PPI试验阳性、胃镜阴性且PPI试验阴性者中分别为71.8%（28/39）、52.5%（21/40）和29.2%（7/24），呈梯度下降（Cochran-Armitage</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Z</w:t>
      </w:r>
      <w:r>
        <w:rPr>
          <w:rFonts w:hint="eastAsia" w:ascii="Times New Roman" w:hAnsi="Times New Roman" w:cs="Times New Roman" w:eastAsia="宋体"/>
          <w:sz w:val="21"/>
        </w:rPr>
        <w:t xml:space="preserve">=3.31，</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&lt;0.001）。在确诊路径相同的胃镜阴性者（64例）中，以GerdQ≥10分识别PPI试验阳性的灵敏度为52.5%（95%CI：37.5%~67.1%），特异度为70.8%（95%CI：50.8%~85.1%），差异无统计学意义（</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=2.68，Fisher确切概率法</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=0.077）。见表4、图6。</w:t>
      </w:r>
    </w:p>
    <w:p>
      <w:pPr>
        <w:pStyle w:val="BodyText"/>
        <w:spacing w:line="360" w:lineRule="auto" w:after="60"/>
        <w:jc w:val="center"/>
      </w:pPr>
      <w:r>
        <w:rPr>
          <w:rFonts w:hint="eastAsia" w:ascii="Times New Roman" w:hAnsi="Times New Roman" w:cs="Times New Roman" w:eastAsia="黑体"/>
          <w:b/>
          <w:bCs/>
          <w:sz w:val="18"/>
        </w:rPr>
        <w:t xml:space="preserve">表4</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GerdQ总分分层似然比及验后概率</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1616"/>
        <w:gridCol w:w="1253"/>
        <w:gridCol w:w="2020"/>
        <w:gridCol w:w="1374"/>
        <w:gridCol w:w="1232"/>
        <w:gridCol w:w="1232"/>
      </w:tblGrid>
      <w:tr>
        <w:trPr>
          <w:tblHeader w:val="on"/>
        </w:trPr>
        <w:tc>
          <w:tcPr>
            <w:tcW w:type="dxa" w:w="1617"/>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总分区间</w:t>
            </w:r>
          </w:p>
        </w:tc>
        <w:tc>
          <w:tcPr>
            <w:tcW w:type="dxa" w:w="125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阳性/阴性（例）</w:t>
            </w:r>
          </w:p>
        </w:tc>
        <w:tc>
          <w:tcPr>
            <w:tcW w:type="dxa" w:w="202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分层似然比（95%CI）</w:t>
            </w:r>
          </w:p>
        </w:tc>
        <w:tc>
          <w:tcPr>
            <w:tcW w:type="dxa" w:w="1374"/>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本组验后概率（%）</w:t>
            </w:r>
          </w:p>
        </w:tc>
        <w:tc>
          <w:tcPr>
            <w:tcW w:type="dxa" w:w="123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验后概率</w:t>
            </w:r>
            <w:r>
              <w:rPr>
                <w:rFonts w:ascii="Times New Roman" w:hAnsi="Times New Roman" w:cs="Times New Roman" w:eastAsia="宋体"/>
                <w:b/>
                <w:sz w:val="18"/>
                <w:vertAlign w:val="superscript"/>
              </w:rPr>
              <w:t xml:space="preserve">a</w:t>
            </w:r>
            <w:r>
              <w:rPr>
                <w:rFonts w:hint="eastAsia" w:ascii="Times New Roman" w:hAnsi="Times New Roman" w:cs="Times New Roman" w:eastAsia="宋体"/>
                <w:b/>
                <w:sz w:val="18"/>
              </w:rPr>
              <w:t xml:space="preserve">（%）</w:t>
            </w:r>
          </w:p>
        </w:tc>
        <w:tc>
          <w:tcPr>
            <w:tcW w:type="dxa" w:w="123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验后概率</w:t>
            </w:r>
            <w:r>
              <w:rPr>
                <w:rFonts w:ascii="Times New Roman" w:hAnsi="Times New Roman" w:cs="Times New Roman" w:eastAsia="宋体"/>
                <w:b/>
                <w:sz w:val="18"/>
                <w:vertAlign w:val="superscript"/>
              </w:rPr>
              <w:t xml:space="preserve">b</w:t>
            </w:r>
            <w:r>
              <w:rPr>
                <w:rFonts w:hint="eastAsia" w:ascii="Times New Roman" w:hAnsi="Times New Roman" w:cs="Times New Roman" w:eastAsia="宋体"/>
                <w:b/>
                <w:sz w:val="18"/>
              </w:rPr>
              <w:t xml:space="preserve">（%）</w:t>
            </w:r>
          </w:p>
        </w:tc>
      </w:tr>
      <w:tr>
        <w:tc>
          <w:tcPr>
            <w:tcW w:type="dxa" w:w="1617"/>
          </w:tcPr>
          <w:p>
            <w:pPr>
              <w:pStyle w:val="Compact"/>
              <w:spacing w:line="276" w:lineRule="auto" w:after="0"/>
              <w:ind w:firstLine="0" w:left="0"/>
              <w:jc w:val="center"/>
            </w:pPr>
            <w:r>
              <w:rPr>
                <w:rFonts w:hint="eastAsia" w:ascii="Times New Roman" w:hAnsi="Times New Roman" w:cs="Times New Roman" w:eastAsia="宋体"/>
                <w:sz w:val="18"/>
              </w:rPr>
              <w:t xml:space="preserve">7分</w:t>
            </w:r>
          </w:p>
        </w:tc>
        <w:tc>
          <w:tcPr>
            <w:tcW w:type="dxa" w:w="1253"/>
          </w:tcPr>
          <w:p>
            <w:pPr>
              <w:pStyle w:val="Compact"/>
              <w:spacing w:line="276" w:lineRule="auto" w:after="0"/>
              <w:ind w:firstLine="0" w:left="0"/>
              <w:jc w:val="center"/>
            </w:pPr>
            <w:r>
              <w:rPr>
                <w:rFonts w:ascii="Times New Roman" w:hAnsi="Times New Roman" w:cs="Times New Roman" w:eastAsia="宋体"/>
                <w:sz w:val="18"/>
              </w:rPr>
              <w:t xml:space="preserve">5/7</w:t>
            </w:r>
          </w:p>
        </w:tc>
        <w:tc>
          <w:tcPr>
            <w:tcW w:type="dxa" w:w="2021"/>
          </w:tcPr>
          <w:p>
            <w:pPr>
              <w:pStyle w:val="Compact"/>
              <w:spacing w:line="276" w:lineRule="auto" w:after="0"/>
              <w:ind w:firstLine="0" w:left="0"/>
              <w:jc w:val="center"/>
            </w:pPr>
            <w:r>
              <w:rPr>
                <w:rFonts w:hint="eastAsia" w:ascii="Times New Roman" w:hAnsi="Times New Roman" w:cs="Times New Roman" w:eastAsia="宋体"/>
                <w:sz w:val="18"/>
              </w:rPr>
              <w:t xml:space="preserve">0.22（0.08~0.62）</w:t>
            </w:r>
          </w:p>
        </w:tc>
        <w:tc>
          <w:tcPr>
            <w:tcW w:type="dxa" w:w="1374"/>
          </w:tcPr>
          <w:p>
            <w:pPr>
              <w:pStyle w:val="Compact"/>
              <w:spacing w:line="276" w:lineRule="auto" w:after="0"/>
              <w:ind w:firstLine="0" w:left="0"/>
              <w:jc w:val="center"/>
            </w:pPr>
            <w:r>
              <w:rPr>
                <w:rFonts w:ascii="Times New Roman" w:hAnsi="Times New Roman" w:cs="Times New Roman" w:eastAsia="宋体"/>
                <w:sz w:val="18"/>
              </w:rPr>
              <w:t xml:space="preserve">41.7</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8.5</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17.8</w:t>
            </w:r>
          </w:p>
        </w:tc>
      </w:tr>
      <w:tr>
        <w:tc>
          <w:tcPr>
            <w:tcW w:type="dxa" w:w="1617"/>
          </w:tcPr>
          <w:p>
            <w:pPr>
              <w:pStyle w:val="Compact"/>
              <w:spacing w:line="276" w:lineRule="auto" w:after="0"/>
              <w:ind w:firstLine="0" w:left="0"/>
              <w:jc w:val="center"/>
            </w:pPr>
            <w:r>
              <w:rPr>
                <w:rFonts w:hint="eastAsia" w:ascii="Times New Roman" w:hAnsi="Times New Roman" w:cs="Times New Roman" w:eastAsia="宋体"/>
                <w:sz w:val="18"/>
              </w:rPr>
              <w:t xml:space="preserve">8~9分</w:t>
            </w:r>
          </w:p>
        </w:tc>
        <w:tc>
          <w:tcPr>
            <w:tcW w:type="dxa" w:w="1253"/>
          </w:tcPr>
          <w:p>
            <w:pPr>
              <w:pStyle w:val="Compact"/>
              <w:spacing w:line="276" w:lineRule="auto" w:after="0"/>
              <w:ind w:firstLine="0" w:left="0"/>
              <w:jc w:val="center"/>
            </w:pPr>
            <w:r>
              <w:rPr>
                <w:rFonts w:ascii="Times New Roman" w:hAnsi="Times New Roman" w:cs="Times New Roman" w:eastAsia="宋体"/>
                <w:sz w:val="18"/>
              </w:rPr>
              <w:t xml:space="preserve">25/10</w:t>
            </w:r>
          </w:p>
        </w:tc>
        <w:tc>
          <w:tcPr>
            <w:tcW w:type="dxa" w:w="2021"/>
          </w:tcPr>
          <w:p>
            <w:pPr>
              <w:pStyle w:val="Compact"/>
              <w:spacing w:line="276" w:lineRule="auto" w:after="0"/>
              <w:ind w:firstLine="0" w:left="0"/>
              <w:jc w:val="center"/>
            </w:pPr>
            <w:r>
              <w:rPr>
                <w:rFonts w:hint="eastAsia" w:ascii="Times New Roman" w:hAnsi="Times New Roman" w:cs="Times New Roman" w:eastAsia="宋体"/>
                <w:sz w:val="18"/>
              </w:rPr>
              <w:t xml:space="preserve">0.76（0.43~1.35）</w:t>
            </w:r>
          </w:p>
        </w:tc>
        <w:tc>
          <w:tcPr>
            <w:tcW w:type="dxa" w:w="1374"/>
          </w:tcPr>
          <w:p>
            <w:pPr>
              <w:pStyle w:val="Compact"/>
              <w:spacing w:line="276" w:lineRule="auto" w:after="0"/>
              <w:ind w:firstLine="0" w:left="0"/>
              <w:jc w:val="center"/>
            </w:pPr>
            <w:r>
              <w:rPr>
                <w:rFonts w:ascii="Times New Roman" w:hAnsi="Times New Roman" w:cs="Times New Roman" w:eastAsia="宋体"/>
                <w:sz w:val="18"/>
              </w:rPr>
              <w:t xml:space="preserve">71.4</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24.6</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43.2</w:t>
            </w:r>
          </w:p>
        </w:tc>
      </w:tr>
      <w:tr>
        <w:tc>
          <w:tcPr>
            <w:tcW w:type="dxa" w:w="1617"/>
          </w:tcPr>
          <w:p>
            <w:pPr>
              <w:pStyle w:val="Compact"/>
              <w:spacing w:line="276" w:lineRule="auto" w:after="0"/>
              <w:ind w:firstLine="0" w:left="0"/>
              <w:jc w:val="center"/>
            </w:pPr>
            <w:r>
              <w:rPr>
                <w:rFonts w:hint="eastAsia" w:ascii="Times New Roman" w:hAnsi="Times New Roman" w:cs="Times New Roman" w:eastAsia="宋体"/>
                <w:sz w:val="18"/>
              </w:rPr>
              <w:t xml:space="preserve">≥10分</w:t>
            </w:r>
          </w:p>
        </w:tc>
        <w:tc>
          <w:tcPr>
            <w:tcW w:type="dxa" w:w="1253"/>
          </w:tcPr>
          <w:p>
            <w:pPr>
              <w:pStyle w:val="Compact"/>
              <w:spacing w:line="276" w:lineRule="auto" w:after="0"/>
              <w:ind w:firstLine="0" w:left="0"/>
              <w:jc w:val="center"/>
            </w:pPr>
            <w:r>
              <w:rPr>
                <w:rFonts w:ascii="Times New Roman" w:hAnsi="Times New Roman" w:cs="Times New Roman" w:eastAsia="宋体"/>
                <w:sz w:val="18"/>
              </w:rPr>
              <w:t xml:space="preserve">49/7</w:t>
            </w:r>
          </w:p>
        </w:tc>
        <w:tc>
          <w:tcPr>
            <w:tcW w:type="dxa" w:w="2021"/>
          </w:tcPr>
          <w:p>
            <w:pPr>
              <w:pStyle w:val="Compact"/>
              <w:spacing w:line="276" w:lineRule="auto" w:after="0"/>
              <w:ind w:firstLine="0" w:left="0"/>
              <w:jc w:val="center"/>
            </w:pPr>
            <w:r>
              <w:rPr>
                <w:rFonts w:hint="eastAsia" w:ascii="Times New Roman" w:hAnsi="Times New Roman" w:cs="Times New Roman" w:eastAsia="宋体"/>
                <w:sz w:val="18"/>
              </w:rPr>
              <w:t xml:space="preserve">2.13（1.11~4.06）</w:t>
            </w:r>
          </w:p>
        </w:tc>
        <w:tc>
          <w:tcPr>
            <w:tcW w:type="dxa" w:w="1374"/>
          </w:tcPr>
          <w:p>
            <w:pPr>
              <w:pStyle w:val="Compact"/>
              <w:spacing w:line="276" w:lineRule="auto" w:after="0"/>
              <w:ind w:firstLine="0" w:left="0"/>
              <w:jc w:val="center"/>
            </w:pPr>
            <w:r>
              <w:rPr>
                <w:rFonts w:ascii="Times New Roman" w:hAnsi="Times New Roman" w:cs="Times New Roman" w:eastAsia="宋体"/>
                <w:sz w:val="18"/>
              </w:rPr>
              <w:t xml:space="preserve">87.5</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47.7</w:t>
            </w:r>
          </w:p>
        </w:tc>
        <w:tc>
          <w:tcPr>
            <w:tcW w:type="dxa" w:w="1233"/>
          </w:tcPr>
          <w:p>
            <w:pPr>
              <w:pStyle w:val="Compact"/>
              <w:spacing w:line="276" w:lineRule="auto" w:after="0"/>
              <w:ind w:firstLine="0" w:left="0"/>
              <w:jc w:val="center"/>
            </w:pPr>
            <w:r>
              <w:rPr>
                <w:rFonts w:ascii="Times New Roman" w:hAnsi="Times New Roman" w:cs="Times New Roman" w:eastAsia="宋体"/>
                <w:sz w:val="18"/>
              </w:rPr>
              <w:t xml:space="preserve">68.0</w:t>
            </w:r>
          </w:p>
        </w:tc>
      </w:tr>
    </w:tbl>
    <w:p>
      <w:pPr>
        <w:pStyle w:val="BodyText"/>
        <w:spacing w:line="360" w:lineRule="auto" w:after="60"/>
        <w:ind/>
      </w:pPr>
      <w:r>
        <w:rPr>
          <w:rFonts w:hint="eastAsia" w:ascii="Times New Roman" w:hAnsi="Times New Roman" w:cs="Times New Roman" w:eastAsia="宋体"/>
          <w:sz w:val="18"/>
        </w:rPr>
        <w:t xml:space="preserve">注：</w:t>
      </w:r>
      <w:r>
        <w:rPr>
          <w:rFonts w:ascii="Times New Roman" w:hAnsi="Times New Roman" w:cs="Times New Roman" w:eastAsia="宋体"/>
          <w:sz w:val="18"/>
          <w:vertAlign w:val="superscript"/>
        </w:rPr>
        <w:t xml:space="preserve">a</w:t>
      </w:r>
      <w:r>
        <w:rPr>
          <w:rFonts w:hint="eastAsia" w:ascii="Times New Roman" w:hAnsi="Times New Roman" w:cs="Times New Roman" w:eastAsia="宋体"/>
          <w:sz w:val="18"/>
        </w:rPr>
        <w:t xml:space="preserve">验前概率为30%时；</w:t>
      </w:r>
      <w:r>
        <w:rPr>
          <w:rFonts w:ascii="Times New Roman" w:hAnsi="Times New Roman" w:cs="Times New Roman" w:eastAsia="宋体"/>
          <w:sz w:val="18"/>
          <w:vertAlign w:val="superscript"/>
        </w:rPr>
        <w:t xml:space="preserve">b</w:t>
      </w:r>
      <w:r>
        <w:rPr>
          <w:rFonts w:hint="eastAsia" w:ascii="Times New Roman" w:hAnsi="Times New Roman" w:cs="Times New Roman" w:eastAsia="宋体"/>
          <w:sz w:val="18"/>
        </w:rPr>
        <w:t xml:space="preserve">验前概率为50%时；各区间例数为GERD复合诊断阳性/阴性例数，由表3截断值结果反推；本组验前概率（GERD复合诊断比例）为76.7%；验后概率=验后比值/（1+验后比值），验后比值=验前比值×分层似然比</w:t>
      </w:r>
    </w:p>
    <w:bookmarkEnd w:id="18"/>
    <w:bookmarkStart w:id="19" w:name="治疗前后症状及体重变化"/>
    <w:p>
      <w:pPr>
        <w:pStyle w:val="Heading3"/>
        <w:spacing w:before="120" w:after="120"/>
      </w:pPr>
      <w:r>
        <w:rPr>
          <w:rFonts w:ascii="Times New Roman" w:hAnsi="Times New Roman" w:cs="Times New Roman" w:eastAsia="黑体"/>
          <w:b/>
          <w:color w:val="000000"/>
          <w:sz w:val="21"/>
        </w:rPr>
        <w:t xml:space="preserve">2.5　</w:t>
      </w:r>
      <w:r>
        <w:rPr>
          <w:rFonts w:hint="eastAsia" w:ascii="Times New Roman" w:hAnsi="Times New Roman" w:cs="Times New Roman" w:eastAsia="黑体"/>
          <w:b/>
          <w:color w:val="000000"/>
          <w:sz w:val="21"/>
        </w:rPr>
        <w:t xml:space="preserve">治疗前后症状及体重变化</w:t>
      </w:r>
    </w:p>
    <w:p>
      <w:pPr>
        <w:pStyle w:val="FirstParagraph"/>
        <w:spacing w:line="360" w:lineRule="auto" w:after="60"/>
        <w:ind w:firstLine="420"/>
      </w:pPr>
      <w:r>
        <w:rPr>
          <w:rFonts w:hint="eastAsia" w:ascii="Times New Roman" w:hAnsi="Times New Roman" w:cs="Times New Roman" w:eastAsia="宋体"/>
          <w:sz w:val="21"/>
        </w:rPr>
        <w:t xml:space="preserve">治疗4周后，4GerdQ评分由（6.11±1.84）分降至（4.46±2.04）分，平均下降（1.65±1.67）分（95%CI：1.31~1.99），差异有统计学意义（Wilcoxon符号秩检验</w:t>
      </w:r>
      <w:r>
        <w:rPr>
          <w:rFonts w:ascii="Times New Roman" w:hAnsi="Times New Roman" w:cs="Times New Roman" w:eastAsia="宋体"/>
          <w:i/>
          <w:iCs/>
          <w:sz w:val="21"/>
        </w:rPr>
        <w:t xml:space="preserve">W</w:t>
      </w:r>
      <w:r>
        <w:rPr>
          <w:rFonts w:hint="eastAsia" w:ascii="Times New Roman" w:hAnsi="Times New Roman" w:cs="Times New Roman" w:eastAsia="宋体"/>
          <w:sz w:val="21"/>
        </w:rPr>
        <w:t xml:space="preserve">=0，</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&lt;0.001；配对</w:t>
      </w:r>
      <w:r>
        <w:rPr>
          <w:rFonts w:ascii="Times New Roman" w:hAnsi="Times New Roman" w:cs="Times New Roman" w:eastAsia="宋体"/>
          <w:i/>
          <w:iCs/>
          <w:sz w:val="21"/>
        </w:rPr>
        <w:t xml:space="preserve">t</w:t>
      </w:r>
      <w:r>
        <w:rPr>
          <w:rFonts w:hint="eastAsia" w:ascii="Times New Roman" w:hAnsi="Times New Roman" w:cs="Times New Roman" w:eastAsia="宋体"/>
          <w:sz w:val="21"/>
        </w:rPr>
        <w:t xml:space="preserve">=10.01，</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&lt;0.001），配对Cohen</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d</w:t>
      </w:r>
      <w:r>
        <w:rPr>
          <w:rFonts w:hint="eastAsia" w:ascii="Times New Roman" w:hAnsi="Times New Roman" w:cs="Times New Roman" w:eastAsia="宋体"/>
          <w:sz w:val="21"/>
        </w:rPr>
        <w:t xml:space="preserve">=0.99。无患者4GerdQ评分较基线升高。72例（69.9%，95%CI：60.5%~77.9%）达到症状改善标准，其4GerdQ平均下降（2.36±1.52）分；31例未改善者4GerdQ均无变化。治疗后4GerdQ≤1分者仅8例（7.8%），提示多数患者仍有残余症状。GerdQ总分由（10.06±2.02）分降至（8.36±2.40）分（</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&lt;0.001），下降几乎全部来自4个阳性预测条目，上腹痛与恶心2个条目合计得分治疗前后分别为3.95分和3.90分，基本不变。治疗期平均减重（1.62±1.22）kg［中位数1.5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kg，范围−1~5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kg］，相当于基线体重的（1.95±1.47）%。减重幅度与4GerdQ下降值呈弱正相关（</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ₛ=0.248，</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=0.012），减重百分比与4GerdQ下降值的相关性相近（</w:t>
      </w:r>
      <w:r>
        <w:rPr>
          <w:rFonts w:ascii="Times New Roman" w:hAnsi="Times New Roman" w:cs="Times New Roman" w:eastAsia="宋体"/>
          <w:i/>
          <w:iCs/>
          <w:sz w:val="21"/>
        </w:rPr>
        <w:t xml:space="preserve">r</w:t>
      </w:r>
      <w:r>
        <w:rPr>
          <w:rFonts w:hint="eastAsia" w:ascii="Times New Roman" w:hAnsi="Times New Roman" w:cs="Times New Roman" w:eastAsia="宋体"/>
          <w:sz w:val="21"/>
        </w:rPr>
        <w:t xml:space="preserve">ₛ=0.294，</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=0.003）。轻度、中度和重度肥胖组4GerdQ下降值分别为（1.54±1.57）分、（1.81±1.81）分和（1.86±1.92）分，差异无统计学意义（</w:t>
      </w:r>
      <w:r>
        <w:rPr>
          <w:rFonts w:ascii="Times New Roman" w:hAnsi="Times New Roman" w:cs="Times New Roman" w:eastAsia="宋体"/>
          <w:i/>
          <w:iCs/>
          <w:sz w:val="21"/>
        </w:rPr>
        <w:t xml:space="preserve">H</w:t>
      </w:r>
      <w:r>
        <w:rPr>
          <w:rFonts w:hint="eastAsia" w:ascii="Times New Roman" w:hAnsi="Times New Roman" w:cs="Times New Roman" w:eastAsia="宋体"/>
          <w:sz w:val="21"/>
        </w:rPr>
        <w:t xml:space="preserve">=0.29，</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0.866）。按诊断路径分层，胃镜异常、胃镜阴性且PPI试验阳性、胃镜阴性且PPI试验阴性者的症状改善率分别为84.6%（33/39，95%CI：70.3%~92.8%）、65.0%（26/40，95%CI：49.5%~77.9%）和54.2%（13/24，95%CI：35.1%~72.1%），呈梯度下降（Cochran-Armitage</w:t>
      </w:r>
      <w:r>
        <w:rPr>
          <w:rFonts w:ascii="Times New Roman" w:hAnsi="Times New Roman" w:cs="Times New Roman" w:eastAsia="宋体"/>
          <w:sz w:val="21"/>
        </w:rPr>
        <w:t xml:space="preserve"> </w:t>
      </w:r>
      <w:r>
        <w:rPr>
          <w:rFonts w:ascii="Times New Roman" w:hAnsi="Times New Roman" w:cs="Times New Roman" w:eastAsia="宋体"/>
          <w:i/>
          <w:iCs/>
          <w:sz w:val="21"/>
        </w:rPr>
        <w:t xml:space="preserve">Z</w:t>
      </w:r>
      <w:r>
        <w:rPr>
          <w:rFonts w:hint="eastAsia" w:ascii="Times New Roman" w:hAnsi="Times New Roman" w:cs="Times New Roman" w:eastAsia="宋体"/>
          <w:sz w:val="21"/>
        </w:rPr>
        <w:t xml:space="preserve">=2.66，</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=0.008）。在胃镜阴性的64例中，PPI试验结果与4周症状改善的一致率为57.8%，κ=0.11（95%CI：−0.15~0.36）：PPI试验阳性的40例中14例4周时未改善，PPI试验阴性的24例中13例4周时改善。见表5、图4、图7。</w:t>
      </w:r>
    </w:p>
    <w:p>
      <w:pPr>
        <w:pStyle w:val="BodyText"/>
        <w:spacing w:line="360" w:lineRule="auto" w:after="60"/>
        <w:jc w:val="center"/>
      </w:pPr>
      <w:r>
        <w:rPr>
          <w:rFonts w:hint="eastAsia" w:ascii="Times New Roman" w:hAnsi="Times New Roman" w:cs="Times New Roman" w:eastAsia="黑体"/>
          <w:b/>
          <w:bCs/>
          <w:sz w:val="18"/>
        </w:rPr>
        <w:t xml:space="preserve">表5</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103例患者治疗前后GerdQ评分及体重变化</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2981"/>
        <w:gridCol w:w="2448"/>
        <w:gridCol w:w="3300"/>
      </w:tblGrid>
      <w:tr>
        <w:trPr>
          <w:tblHeader w:val="on"/>
        </w:trPr>
        <w:tc>
          <w:tcPr>
            <w:tcW w:type="dxa" w:w="298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指标</w:t>
            </w:r>
          </w:p>
        </w:tc>
        <w:tc>
          <w:tcPr>
            <w:tcW w:type="dxa" w:w="2449"/>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结果</w:t>
            </w:r>
          </w:p>
        </w:tc>
        <w:tc>
          <w:tcPr>
            <w:tcW w:type="dxa" w:w="3301"/>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统计量或95%CI</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治疗前4GerdQ（分，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6.11±1.84</w:t>
            </w:r>
          </w:p>
        </w:tc>
        <w:tc>
          <w:tcPr>
            <w:tcW w:type="dxa" w:w="3301"/>
          </w:tcPr>
          <w:p>
            <w:pPr>
              <w:pStyle w:val="Compact"/>
              <w:spacing w:line="276" w:lineRule="auto" w:after="0"/>
              <w:ind w:firstLine="0" w:left="0"/>
              <w:jc w:val="center"/>
            </w:pPr>
            <w:r>
              <w:rPr>
                <w:rFonts w:ascii="Times New Roman" w:hAnsi="Times New Roman" w:cs="Times New Roman" w:eastAsia="宋体"/>
                <w:sz w:val="18"/>
              </w:rPr>
              <w:t xml:space="preserve">—</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治疗后4GerdQ（分，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4.46±2.04</w:t>
            </w:r>
          </w:p>
        </w:tc>
        <w:tc>
          <w:tcPr>
            <w:tcW w:type="dxa" w:w="3301"/>
          </w:tcPr>
          <w:p>
            <w:pPr>
              <w:pStyle w:val="Compact"/>
              <w:spacing w:line="276" w:lineRule="auto" w:after="0"/>
              <w:ind w:firstLine="0" w:left="0"/>
              <w:jc w:val="center"/>
            </w:pPr>
            <w:r>
              <w:rPr>
                <w:rFonts w:ascii="Times New Roman" w:hAnsi="Times New Roman" w:cs="Times New Roman" w:eastAsia="宋体"/>
                <w:sz w:val="18"/>
              </w:rPr>
              <w:t xml:space="preserve">—</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4GerdQ下降值（分，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1.65±1.67</w:t>
            </w:r>
          </w:p>
        </w:tc>
        <w:tc>
          <w:tcPr>
            <w:tcW w:type="dxa" w:w="3301"/>
          </w:tcPr>
          <w:p>
            <w:pPr>
              <w:pStyle w:val="Compact"/>
              <w:spacing w:line="276" w:lineRule="auto" w:after="0"/>
              <w:ind w:firstLine="0" w:left="0"/>
              <w:jc w:val="center"/>
            </w:pPr>
            <w:r>
              <w:rPr>
                <w:rFonts w:hint="eastAsia" w:ascii="Times New Roman" w:hAnsi="Times New Roman" w:cs="Times New Roman" w:eastAsia="宋体"/>
                <w:sz w:val="18"/>
              </w:rPr>
              <w:t xml:space="preserve">95%CI：1.31~1.99；Wilcoxon</w:t>
            </w:r>
            <w:r>
              <w:rPr>
                <w:rFonts w:ascii="Times New Roman" w:hAnsi="Times New Roman" w:cs="Times New Roman" w:eastAsia="宋体"/>
                <w:sz w:val="18"/>
              </w:rPr>
              <w:t xml:space="preserve"> </w:t>
            </w:r>
            <w:r>
              <w:rPr>
                <w:rFonts w:ascii="Times New Roman" w:hAnsi="Times New Roman" w:cs="Times New Roman" w:eastAsia="宋体"/>
                <w:i/>
                <w:iCs/>
                <w:sz w:val="18"/>
              </w:rPr>
              <w:t xml:space="preserve">P</w:t>
            </w:r>
            <w:r>
              <w:rPr>
                <w:rFonts w:hint="eastAsia" w:ascii="Times New Roman" w:hAnsi="Times New Roman" w:cs="Times New Roman" w:eastAsia="宋体"/>
                <w:sz w:val="18"/>
              </w:rPr>
              <w:t xml:space="preserve">&lt;0.001；配对</w:t>
            </w:r>
            <w:r>
              <w:rPr>
                <w:rFonts w:ascii="Times New Roman" w:hAnsi="Times New Roman" w:cs="Times New Roman" w:eastAsia="宋体"/>
                <w:i/>
                <w:iCs/>
                <w:sz w:val="18"/>
              </w:rPr>
              <w:t xml:space="preserve">t</w:t>
            </w:r>
            <w:r>
              <w:rPr>
                <w:rFonts w:hint="eastAsia" w:ascii="Times New Roman" w:hAnsi="Times New Roman" w:cs="Times New Roman" w:eastAsia="宋体"/>
                <w:sz w:val="18"/>
              </w:rPr>
              <w:t xml:space="preserve">=10.01，</w:t>
            </w:r>
            <w:r>
              <w:rPr>
                <w:rFonts w:ascii="Times New Roman" w:hAnsi="Times New Roman" w:cs="Times New Roman" w:eastAsia="宋体"/>
                <w:i/>
                <w:iCs/>
                <w:sz w:val="18"/>
              </w:rPr>
              <w:t xml:space="preserve">P</w:t>
            </w:r>
            <w:r>
              <w:rPr>
                <w:rFonts w:ascii="Times New Roman" w:hAnsi="Times New Roman" w:cs="Times New Roman" w:eastAsia="宋体"/>
                <w:sz w:val="18"/>
              </w:rPr>
              <w:t xml:space="preserve">&lt;0.001</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症状改善（下降≥1分）［例（%）］</w:t>
            </w:r>
          </w:p>
        </w:tc>
        <w:tc>
          <w:tcPr>
            <w:tcW w:type="dxa" w:w="2449"/>
          </w:tcPr>
          <w:p>
            <w:pPr>
              <w:pStyle w:val="Compact"/>
              <w:spacing w:line="276" w:lineRule="auto" w:after="0"/>
              <w:ind w:firstLine="0" w:left="0"/>
              <w:jc w:val="center"/>
            </w:pPr>
            <w:r>
              <w:rPr>
                <w:rFonts w:hint="eastAsia" w:ascii="Times New Roman" w:hAnsi="Times New Roman" w:cs="Times New Roman" w:eastAsia="宋体"/>
                <w:sz w:val="18"/>
              </w:rPr>
              <w:t xml:space="preserve">72（69.9）</w:t>
            </w:r>
          </w:p>
        </w:tc>
        <w:tc>
          <w:tcPr>
            <w:tcW w:type="dxa" w:w="3301"/>
          </w:tcPr>
          <w:p>
            <w:pPr>
              <w:pStyle w:val="Compact"/>
              <w:spacing w:line="276" w:lineRule="auto" w:after="0"/>
              <w:ind w:firstLine="0" w:left="0"/>
              <w:jc w:val="center"/>
            </w:pPr>
            <w:r>
              <w:rPr>
                <w:rFonts w:hint="eastAsia" w:ascii="Times New Roman" w:hAnsi="Times New Roman" w:cs="Times New Roman" w:eastAsia="宋体"/>
                <w:sz w:val="18"/>
              </w:rPr>
              <w:t xml:space="preserve">95%CI：60.5%~77.9%</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改善者4GerdQ下降值（分，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2.36±1.52</w:t>
            </w:r>
          </w:p>
        </w:tc>
        <w:tc>
          <w:tcPr>
            <w:tcW w:type="dxa" w:w="3301"/>
          </w:tcPr>
          <w:p>
            <w:pPr>
              <w:pStyle w:val="Compact"/>
              <w:spacing w:line="276" w:lineRule="auto" w:after="0"/>
              <w:ind w:firstLine="0" w:left="0"/>
              <w:jc w:val="center"/>
            </w:pPr>
            <w:r>
              <w:rPr>
                <w:rFonts w:ascii="Times New Roman" w:hAnsi="Times New Roman" w:cs="Times New Roman" w:eastAsia="宋体"/>
                <w:sz w:val="18"/>
              </w:rPr>
              <w:t xml:space="preserve">—</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治疗后4GerdQ≤1分［例（%）］</w:t>
            </w:r>
          </w:p>
        </w:tc>
        <w:tc>
          <w:tcPr>
            <w:tcW w:type="dxa" w:w="2449"/>
          </w:tcPr>
          <w:p>
            <w:pPr>
              <w:pStyle w:val="Compact"/>
              <w:spacing w:line="276" w:lineRule="auto" w:after="0"/>
              <w:ind w:firstLine="0" w:left="0"/>
              <w:jc w:val="center"/>
            </w:pPr>
            <w:r>
              <w:rPr>
                <w:rFonts w:hint="eastAsia" w:ascii="Times New Roman" w:hAnsi="Times New Roman" w:cs="Times New Roman" w:eastAsia="宋体"/>
                <w:sz w:val="18"/>
              </w:rPr>
              <w:t xml:space="preserve">8（7.8）</w:t>
            </w:r>
          </w:p>
        </w:tc>
        <w:tc>
          <w:tcPr>
            <w:tcW w:type="dxa" w:w="3301"/>
          </w:tcPr>
          <w:p>
            <w:pPr>
              <w:pStyle w:val="Compact"/>
              <w:spacing w:line="276" w:lineRule="auto" w:after="0"/>
              <w:ind w:firstLine="0" w:left="0"/>
              <w:jc w:val="center"/>
            </w:pPr>
            <w:r>
              <w:rPr>
                <w:rFonts w:hint="eastAsia" w:ascii="Times New Roman" w:hAnsi="Times New Roman" w:cs="Times New Roman" w:eastAsia="宋体"/>
                <w:sz w:val="18"/>
              </w:rPr>
              <w:t xml:space="preserve">95%CI：4.0%~14.6%</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上腹痛+恶心条目合计（治疗前→治疗后，分）</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3.95→3.90</w:t>
            </w:r>
          </w:p>
        </w:tc>
        <w:tc>
          <w:tcPr>
            <w:tcW w:type="dxa" w:w="3301"/>
          </w:tcPr>
          <w:p>
            <w:pPr>
              <w:pStyle w:val="Compact"/>
              <w:spacing w:line="276" w:lineRule="auto" w:after="0"/>
              <w:ind w:firstLine="0" w:left="0"/>
              <w:jc w:val="center"/>
            </w:pPr>
            <w:r>
              <w:rPr>
                <w:rFonts w:ascii="Times New Roman" w:hAnsi="Times New Roman" w:cs="Times New Roman" w:eastAsia="宋体"/>
                <w:sz w:val="18"/>
              </w:rPr>
              <w:t xml:space="preserve">—</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GerdQ总分（治疗前→治疗后，分，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10.06±2.02→8.36±2.40</w:t>
            </w:r>
          </w:p>
        </w:tc>
        <w:tc>
          <w:tcPr>
            <w:tcW w:type="dxa" w:w="3301"/>
          </w:tcPr>
          <w:p>
            <w:pPr>
              <w:pStyle w:val="Compact"/>
              <w:spacing w:line="276" w:lineRule="auto" w:after="0"/>
              <w:ind w:firstLine="0" w:left="0"/>
              <w:jc w:val="center"/>
            </w:pPr>
            <w:r>
              <w:rPr>
                <w:rFonts w:ascii="Times New Roman" w:hAnsi="Times New Roman" w:cs="Times New Roman" w:eastAsia="宋体"/>
                <w:sz w:val="18"/>
              </w:rPr>
              <w:t xml:space="preserve">Wilcoxon</w:t>
            </w:r>
            <w:r>
              <w:rPr>
                <w:rFonts w:ascii="Times New Roman" w:hAnsi="Times New Roman" w:cs="Times New Roman" w:eastAsia="宋体"/>
                <w:sz w:val="18"/>
              </w:rPr>
              <w:t xml:space="preserve"> </w:t>
            </w:r>
            <w:r>
              <w:rPr>
                <w:rFonts w:ascii="Times New Roman" w:hAnsi="Times New Roman" w:cs="Times New Roman" w:eastAsia="宋体"/>
                <w:i/>
                <w:iCs/>
                <w:sz w:val="18"/>
              </w:rPr>
              <w:t xml:space="preserve">P</w:t>
            </w:r>
            <w:r>
              <w:rPr>
                <w:rFonts w:ascii="Times New Roman" w:hAnsi="Times New Roman" w:cs="Times New Roman" w:eastAsia="宋体"/>
                <w:sz w:val="18"/>
              </w:rPr>
              <w:t xml:space="preserve">&lt;0.001</w:t>
            </w:r>
          </w:p>
        </w:tc>
      </w:tr>
      <w:tr>
        <w:tc>
          <w:tcPr>
            <w:tcW w:type="dxa" w:w="2981"/>
          </w:tcPr>
          <w:p>
            <w:pPr>
              <w:pStyle w:val="Compact"/>
              <w:spacing w:line="276" w:lineRule="auto" w:after="0"/>
              <w:ind w:firstLine="0" w:left="0"/>
              <w:jc w:val="center"/>
            </w:pPr>
            <w:r>
              <w:rPr>
                <w:rFonts w:hint="eastAsia" w:ascii="Times New Roman" w:hAnsi="Times New Roman" w:cs="Times New Roman" w:eastAsia="宋体"/>
                <w:sz w:val="18"/>
              </w:rPr>
              <w:t xml:space="preserve">减重幅度（kg，</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2449"/>
          </w:tcPr>
          <w:p>
            <w:pPr>
              <w:pStyle w:val="Compact"/>
              <w:spacing w:line="276" w:lineRule="auto" w:after="0"/>
              <w:ind w:firstLine="0" w:left="0"/>
              <w:jc w:val="center"/>
            </w:pPr>
            <w:r>
              <w:rPr>
                <w:rFonts w:ascii="Times New Roman" w:hAnsi="Times New Roman" w:cs="Times New Roman" w:eastAsia="宋体"/>
                <w:sz w:val="18"/>
              </w:rPr>
              <w:t xml:space="preserve">1.62±1.22</w:t>
            </w:r>
          </w:p>
        </w:tc>
        <w:tc>
          <w:tcPr>
            <w:tcW w:type="dxa" w:w="3301"/>
          </w:tcPr>
          <w:p>
            <w:pPr>
              <w:pStyle w:val="Compact"/>
              <w:spacing w:line="276" w:lineRule="auto" w:after="0"/>
              <w:ind w:firstLine="0" w:left="0"/>
              <w:jc w:val="center"/>
            </w:pPr>
            <w:r>
              <w:rPr>
                <w:rFonts w:hint="eastAsia" w:ascii="Times New Roman" w:hAnsi="Times New Roman" w:cs="Times New Roman" w:eastAsia="宋体"/>
                <w:sz w:val="18"/>
              </w:rPr>
              <w:t xml:space="preserve">范围：−1~5</w:t>
            </w:r>
          </w:p>
        </w:tc>
      </w:tr>
    </w:tbl>
    <w:p>
      <w:pPr>
        <w:pStyle w:val="BodyText"/>
        <w:spacing w:line="360" w:lineRule="auto" w:after="60"/>
      </w:pPr>
      <w:r>
        <w:rPr>
          <w:rFonts w:hint="eastAsia" w:ascii="Times New Roman" w:hAnsi="Times New Roman" w:cs="Times New Roman" w:eastAsia="宋体"/>
          <w:sz w:val="18"/>
        </w:rPr>
        <w:t xml:space="preserve">注：4GerdQ为GerdQ第1、2、5、6条得分之和；下降值=治疗前−治疗后</w:t>
      </w:r>
    </w:p>
    <w:bookmarkEnd w:id="19"/>
    <w:bookmarkStart w:id="20" w:name="症状改善的相关因素"/>
    <w:p>
      <w:pPr>
        <w:pStyle w:val="Heading3"/>
        <w:spacing w:before="120" w:after="120"/>
      </w:pPr>
      <w:r>
        <w:rPr>
          <w:rFonts w:ascii="Times New Roman" w:hAnsi="Times New Roman" w:cs="Times New Roman" w:eastAsia="黑体"/>
          <w:b/>
          <w:color w:val="000000"/>
          <w:sz w:val="21"/>
        </w:rPr>
        <w:t xml:space="preserve">2.6　</w:t>
      </w:r>
      <w:r>
        <w:rPr>
          <w:rFonts w:hint="eastAsia" w:ascii="Times New Roman" w:hAnsi="Times New Roman" w:cs="Times New Roman" w:eastAsia="黑体"/>
          <w:b/>
          <w:color w:val="000000"/>
          <w:sz w:val="21"/>
        </w:rPr>
        <w:t xml:space="preserve">症状改善的相关因素</w:t>
      </w:r>
    </w:p>
    <w:p>
      <w:pPr>
        <w:pStyle w:val="FirstParagraph"/>
        <w:spacing w:line="360" w:lineRule="auto" w:after="60"/>
        <w:ind w:firstLine="420"/>
      </w:pPr>
      <w:r>
        <w:rPr>
          <w:rFonts w:hint="eastAsia" w:ascii="Times New Roman" w:hAnsi="Times New Roman" w:cs="Times New Roman" w:eastAsia="宋体"/>
          <w:sz w:val="21"/>
        </w:rPr>
        <w:t xml:space="preserve">单因素分析显示，症状改善组与未改善组减重百分比［（2.26±1.55）%比（1.23±0.92）%，</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=0.001］、减重幅度［（1.86±1.30）kg比（1.08±0.80）kg，</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=0.003］及胃镜异常比例［45.8%（33/72）比19.4%（6/31），χ²=5.38，</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=0.020］差异有统计学意义；两组年龄、性别、BMI、体重、吸烟和（或）饮酒、基线4GerdQ及基线GerdQ总分差异均无统计学意义（均</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&gt;0.05）。见表6。</w:t>
      </w:r>
    </w:p>
    <w:p>
      <w:pPr>
        <w:pStyle w:val="BodyText"/>
        <w:spacing w:line="360" w:lineRule="auto" w:after="60"/>
        <w:jc w:val="center"/>
      </w:pPr>
      <w:r>
        <w:rPr>
          <w:rFonts w:hint="eastAsia" w:ascii="Times New Roman" w:hAnsi="Times New Roman" w:cs="Times New Roman" w:eastAsia="黑体"/>
          <w:b/>
          <w:bCs/>
          <w:sz w:val="18"/>
        </w:rPr>
        <w:t xml:space="preserve">表6</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症状改善组与未改善组临床资料比较</w:t>
      </w:r>
    </w:p>
    <w:tbl>
      <w:tblPr>
        <w:jc w:val="center"/>
        <w:tblLayout w:type="fixed"/>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2976"/>
        <w:gridCol w:w="1543"/>
        <w:gridCol w:w="1565"/>
        <w:gridCol w:w="1322"/>
        <w:gridCol w:w="1322"/>
      </w:tblGrid>
      <w:tr>
        <w:trPr>
          <w:tblHeader w:val="on"/>
        </w:trPr>
        <w:tc>
          <w:tcPr>
            <w:tcW w:type="dxa" w:w="2976"/>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项目</w:t>
            </w:r>
          </w:p>
        </w:tc>
        <w:tc>
          <w:tcPr>
            <w:tcW w:type="dxa" w:w="154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改善组（</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=72）</w:t>
            </w:r>
          </w:p>
        </w:tc>
        <w:tc>
          <w:tcPr>
            <w:tcW w:type="dxa" w:w="1565"/>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未改善组（</w:t>
            </w:r>
            <w:r>
              <w:rPr>
                <w:rFonts w:ascii="Times New Roman" w:hAnsi="Times New Roman" w:cs="Times New Roman" w:eastAsia="宋体"/>
                <w:b/>
                <w:i/>
                <w:iCs/>
                <w:sz w:val="18"/>
              </w:rPr>
              <w:t xml:space="preserve">n</w:t>
            </w:r>
            <w:r>
              <w:rPr>
                <w:rFonts w:hint="eastAsia" w:ascii="Times New Roman" w:hAnsi="Times New Roman" w:cs="Times New Roman" w:eastAsia="宋体"/>
                <w:b/>
                <w:sz w:val="18"/>
              </w:rPr>
              <w:t xml:space="preserve">=31）</w:t>
            </w:r>
          </w:p>
        </w:tc>
        <w:tc>
          <w:tcPr>
            <w:tcW w:type="dxa" w:w="1323"/>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统计量</w:t>
            </w:r>
          </w:p>
        </w:tc>
        <w:tc>
          <w:tcPr>
            <w:tcW w:type="dxa" w:w="1323"/>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P</w:t>
            </w:r>
            <w:r>
              <w:rPr>
                <w:rFonts w:hint="eastAsia" w:ascii="Times New Roman" w:hAnsi="Times New Roman" w:cs="Times New Roman" w:eastAsia="宋体"/>
                <w:b/>
                <w:sz w:val="18"/>
              </w:rPr>
              <w:t xml:space="preserve">值</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年龄（岁，</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51.53±11.81</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51.06±12.74</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=1 152</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0.798</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BMI（kg/m²，</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30.53±3.07</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31.38±4.60</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=1 042.5</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0.600</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体重（kg，</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83.79±10.99</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87.63±12.90</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=968</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0.288</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基线4GerdQ（分，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6.28±1.75</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5.71±1.99</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=1 297</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0.188</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基线GerdQ总分（分，</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10.19±2.09</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9.74±1.84</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=1 251</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0.328</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减重幅度（kg，</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1.86±1.30</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1.08±0.80</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=1 513</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0.003</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减重百分比（%，</w:t>
            </w:r>
            <m:oMath>
              <m:acc>
                <m:accPr>
                  <m:chr m:val="‾"/>
                </m:accPr>
                <m:e>
                  <m:r>
                    <m:t>x</m:t>
                  </m:r>
                </m:e>
              </m:acc>
            </m:oMath>
            <w:r>
              <w:rPr>
                <w:rFonts w:ascii="Times New Roman" w:hAnsi="Times New Roman" w:cs="Times New Roman" w:eastAsia="宋体"/>
                <w:sz w:val="18"/>
              </w:rPr>
              <w:t xml:space="preserve">±</w:t>
            </w:r>
            <w:r>
              <w:rPr>
                <w:rFonts w:ascii="Times New Roman" w:hAnsi="Times New Roman" w:cs="Times New Roman" w:eastAsia="宋体"/>
                <w:i/>
                <w:iCs/>
                <w:sz w:val="18"/>
              </w:rPr>
              <w:t xml:space="preserve">s</w:t>
            </w:r>
            <w:r>
              <w:rPr>
                <w:rFonts w:hint="eastAsia" w:ascii="Times New Roman" w:hAnsi="Times New Roman" w:cs="Times New Roman" w:eastAsia="宋体"/>
                <w:sz w:val="18"/>
              </w:rPr>
              <w:t xml:space="preserve">）</w:t>
            </w:r>
          </w:p>
        </w:tc>
        <w:tc>
          <w:tcPr>
            <w:tcW w:type="dxa" w:w="1543"/>
          </w:tcPr>
          <w:p>
            <w:pPr>
              <w:pStyle w:val="Compact"/>
              <w:spacing w:line="276" w:lineRule="auto" w:after="0"/>
              <w:ind w:firstLine="0" w:left="0"/>
              <w:jc w:val="center"/>
            </w:pPr>
            <w:r>
              <w:rPr>
                <w:rFonts w:ascii="Times New Roman" w:hAnsi="Times New Roman" w:cs="Times New Roman" w:eastAsia="宋体"/>
                <w:sz w:val="18"/>
              </w:rPr>
              <w:t xml:space="preserve">2.26±1.55</w:t>
            </w:r>
          </w:p>
        </w:tc>
        <w:tc>
          <w:tcPr>
            <w:tcW w:type="dxa" w:w="1565"/>
          </w:tcPr>
          <w:p>
            <w:pPr>
              <w:pStyle w:val="Compact"/>
              <w:spacing w:line="276" w:lineRule="auto" w:after="0"/>
              <w:ind w:firstLine="0" w:left="0"/>
              <w:jc w:val="center"/>
            </w:pPr>
            <w:r>
              <w:rPr>
                <w:rFonts w:ascii="Times New Roman" w:hAnsi="Times New Roman" w:cs="Times New Roman" w:eastAsia="宋体"/>
                <w:sz w:val="18"/>
              </w:rPr>
              <w:t xml:space="preserve">1.23±0.92</w:t>
            </w:r>
          </w:p>
        </w:tc>
        <w:tc>
          <w:tcPr>
            <w:tcW w:type="dxa" w:w="1323"/>
          </w:tcPr>
          <w:p>
            <w:pPr>
              <w:pStyle w:val="Compact"/>
              <w:spacing w:line="276" w:lineRule="auto" w:after="0"/>
              <w:ind w:firstLine="0" w:left="0"/>
              <w:jc w:val="center"/>
            </w:pPr>
            <w:r>
              <w:rPr>
                <w:rFonts w:ascii="Times New Roman" w:hAnsi="Times New Roman" w:cs="Times New Roman" w:eastAsia="宋体"/>
                <w:i/>
                <w:iCs/>
                <w:sz w:val="18"/>
              </w:rPr>
              <w:t xml:space="preserve">U</w:t>
            </w:r>
            <w:r>
              <w:rPr>
                <w:rFonts w:ascii="Times New Roman" w:hAnsi="Times New Roman" w:cs="Times New Roman" w:eastAsia="宋体"/>
                <w:sz w:val="18"/>
              </w:rPr>
              <w:t xml:space="preserve">=1 583</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0.001</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男性［例（%）］</w:t>
            </w:r>
          </w:p>
        </w:tc>
        <w:tc>
          <w:tcPr>
            <w:tcW w:type="dxa" w:w="1543"/>
          </w:tcPr>
          <w:p>
            <w:pPr>
              <w:pStyle w:val="Compact"/>
              <w:spacing w:line="276" w:lineRule="auto" w:after="0"/>
              <w:ind w:firstLine="0" w:left="0"/>
              <w:jc w:val="center"/>
            </w:pPr>
            <w:r>
              <w:rPr>
                <w:rFonts w:hint="eastAsia" w:ascii="Times New Roman" w:hAnsi="Times New Roman" w:cs="Times New Roman" w:eastAsia="宋体"/>
                <w:sz w:val="18"/>
              </w:rPr>
              <w:t xml:space="preserve">41（56.9）</w:t>
            </w:r>
          </w:p>
        </w:tc>
        <w:tc>
          <w:tcPr>
            <w:tcW w:type="dxa" w:w="1565"/>
          </w:tcPr>
          <w:p>
            <w:pPr>
              <w:pStyle w:val="Compact"/>
              <w:spacing w:line="276" w:lineRule="auto" w:after="0"/>
              <w:ind w:firstLine="0" w:left="0"/>
              <w:jc w:val="center"/>
            </w:pPr>
            <w:r>
              <w:rPr>
                <w:rFonts w:hint="eastAsia" w:ascii="Times New Roman" w:hAnsi="Times New Roman" w:cs="Times New Roman" w:eastAsia="宋体"/>
                <w:sz w:val="18"/>
              </w:rPr>
              <w:t xml:space="preserve">14（45.2）</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χ²=0.78</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0.377</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吸烟和（或）饮酒［例（%）］</w:t>
            </w:r>
          </w:p>
        </w:tc>
        <w:tc>
          <w:tcPr>
            <w:tcW w:type="dxa" w:w="1543"/>
          </w:tcPr>
          <w:p>
            <w:pPr>
              <w:pStyle w:val="Compact"/>
              <w:spacing w:line="276" w:lineRule="auto" w:after="0"/>
              <w:ind w:firstLine="0" w:left="0"/>
              <w:jc w:val="center"/>
            </w:pPr>
            <w:r>
              <w:rPr>
                <w:rFonts w:hint="eastAsia" w:ascii="Times New Roman" w:hAnsi="Times New Roman" w:cs="Times New Roman" w:eastAsia="宋体"/>
                <w:sz w:val="18"/>
              </w:rPr>
              <w:t xml:space="preserve">26（36.1）</w:t>
            </w:r>
          </w:p>
        </w:tc>
        <w:tc>
          <w:tcPr>
            <w:tcW w:type="dxa" w:w="1565"/>
          </w:tcPr>
          <w:p>
            <w:pPr>
              <w:pStyle w:val="Compact"/>
              <w:spacing w:line="276" w:lineRule="auto" w:after="0"/>
              <w:ind w:firstLine="0" w:left="0"/>
              <w:jc w:val="center"/>
            </w:pPr>
            <w:r>
              <w:rPr>
                <w:rFonts w:hint="eastAsia" w:ascii="Times New Roman" w:hAnsi="Times New Roman" w:cs="Times New Roman" w:eastAsia="宋体"/>
                <w:sz w:val="18"/>
              </w:rPr>
              <w:t xml:space="preserve">8（25.8）</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χ²=0.63</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0.429</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胃镜异常［例（%）］</w:t>
            </w:r>
          </w:p>
        </w:tc>
        <w:tc>
          <w:tcPr>
            <w:tcW w:type="dxa" w:w="1543"/>
          </w:tcPr>
          <w:p>
            <w:pPr>
              <w:pStyle w:val="Compact"/>
              <w:spacing w:line="276" w:lineRule="auto" w:after="0"/>
              <w:ind w:firstLine="0" w:left="0"/>
              <w:jc w:val="center"/>
            </w:pPr>
            <w:r>
              <w:rPr>
                <w:rFonts w:hint="eastAsia" w:ascii="Times New Roman" w:hAnsi="Times New Roman" w:cs="Times New Roman" w:eastAsia="宋体"/>
                <w:sz w:val="18"/>
              </w:rPr>
              <w:t xml:space="preserve">33（45.8）</w:t>
            </w:r>
          </w:p>
        </w:tc>
        <w:tc>
          <w:tcPr>
            <w:tcW w:type="dxa" w:w="1565"/>
          </w:tcPr>
          <w:p>
            <w:pPr>
              <w:pStyle w:val="Compact"/>
              <w:spacing w:line="276" w:lineRule="auto" w:after="0"/>
              <w:ind w:firstLine="0" w:left="0"/>
              <w:jc w:val="center"/>
            </w:pPr>
            <w:r>
              <w:rPr>
                <w:rFonts w:hint="eastAsia" w:ascii="Times New Roman" w:hAnsi="Times New Roman" w:cs="Times New Roman" w:eastAsia="宋体"/>
                <w:sz w:val="18"/>
              </w:rPr>
              <w:t xml:space="preserve">6（19.4）</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χ²=5.38</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0.020</w:t>
            </w:r>
          </w:p>
        </w:tc>
      </w:tr>
      <w:tr>
        <w:tc>
          <w:tcPr>
            <w:tcW w:type="dxa" w:w="2976"/>
          </w:tcPr>
          <w:p>
            <w:pPr>
              <w:pStyle w:val="Compact"/>
              <w:spacing w:line="276" w:lineRule="auto" w:after="0"/>
              <w:ind w:firstLine="0" w:left="0"/>
              <w:jc w:val="center"/>
            </w:pPr>
            <w:r>
              <w:rPr>
                <w:rFonts w:hint="eastAsia" w:ascii="Times New Roman" w:hAnsi="Times New Roman" w:cs="Times New Roman" w:eastAsia="宋体"/>
                <w:sz w:val="18"/>
              </w:rPr>
              <w:t xml:space="preserve">GERD复合诊断［例（%）］</w:t>
            </w:r>
          </w:p>
        </w:tc>
        <w:tc>
          <w:tcPr>
            <w:tcW w:type="dxa" w:w="1543"/>
          </w:tcPr>
          <w:p>
            <w:pPr>
              <w:pStyle w:val="Compact"/>
              <w:spacing w:line="276" w:lineRule="auto" w:after="0"/>
              <w:ind w:firstLine="0" w:left="0"/>
              <w:jc w:val="center"/>
            </w:pPr>
            <w:r>
              <w:rPr>
                <w:rFonts w:hint="eastAsia" w:ascii="Times New Roman" w:hAnsi="Times New Roman" w:cs="Times New Roman" w:eastAsia="宋体"/>
                <w:sz w:val="18"/>
              </w:rPr>
              <w:t xml:space="preserve">59（81.9）</w:t>
            </w:r>
          </w:p>
        </w:tc>
        <w:tc>
          <w:tcPr>
            <w:tcW w:type="dxa" w:w="1565"/>
          </w:tcPr>
          <w:p>
            <w:pPr>
              <w:pStyle w:val="Compact"/>
              <w:spacing w:line="276" w:lineRule="auto" w:after="0"/>
              <w:ind w:firstLine="0" w:left="0"/>
              <w:jc w:val="center"/>
            </w:pPr>
            <w:r>
              <w:rPr>
                <w:rFonts w:hint="eastAsia" w:ascii="Times New Roman" w:hAnsi="Times New Roman" w:cs="Times New Roman" w:eastAsia="宋体"/>
                <w:sz w:val="18"/>
              </w:rPr>
              <w:t xml:space="preserve">20（64.5）</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χ²=2.77</w:t>
            </w:r>
          </w:p>
        </w:tc>
        <w:tc>
          <w:tcPr>
            <w:tcW w:type="dxa" w:w="1323"/>
          </w:tcPr>
          <w:p>
            <w:pPr>
              <w:pStyle w:val="Compact"/>
              <w:spacing w:line="276" w:lineRule="auto" w:after="0"/>
              <w:ind w:firstLine="0" w:left="0"/>
              <w:jc w:val="center"/>
            </w:pPr>
            <w:r>
              <w:rPr>
                <w:rFonts w:ascii="Times New Roman" w:hAnsi="Times New Roman" w:cs="Times New Roman" w:eastAsia="宋体"/>
                <w:sz w:val="18"/>
              </w:rPr>
              <w:t xml:space="preserve">0.096</w:t>
            </w:r>
          </w:p>
        </w:tc>
      </w:tr>
    </w:tbl>
    <w:p>
      <w:pPr>
        <w:pStyle w:val="BodyText"/>
        <w:spacing w:line="360" w:lineRule="auto" w:after="60"/>
      </w:pPr>
      <w:r>
        <w:rPr>
          <w:rFonts w:hint="eastAsia" w:ascii="Times New Roman" w:hAnsi="Times New Roman" w:cs="Times New Roman" w:eastAsia="宋体"/>
          <w:sz w:val="18"/>
        </w:rPr>
        <w:t xml:space="preserve">注：症状改善定义为治疗后4GerdQ较基线下降≥1分；2×2表χ²值为连续性校正值</w:t>
      </w:r>
    </w:p>
    <w:p>
      <w:pPr>
        <w:pStyle w:val="BodyText"/>
        <w:spacing w:line="360" w:lineRule="auto" w:after="60"/>
        <w:ind w:firstLine="420"/>
      </w:pPr>
      <w:r>
        <w:rPr>
          <w:rFonts w:hint="eastAsia" w:ascii="Times New Roman" w:hAnsi="Times New Roman" w:cs="Times New Roman" w:eastAsia="宋体"/>
          <w:sz w:val="21"/>
        </w:rPr>
        <w:t xml:space="preserve">多因素Logistic回归（后退法）最终保留减重幅度和胃镜结果2个变量：减重幅度每增加1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kg，症状改善的</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=1.82（95%CI：1.17~2.82，</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=0.008）；胃镜异常者症状改善的</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=3.20（95%CI：1.13~9.10，</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=0.029）。剔除基线4GerdQ后结果不变。以4GerdQ下降≥3分为结局时，最终模型保留减重幅度和基线4GerdQ。见表7、图5。</w:t>
      </w:r>
    </w:p>
    <w:p>
      <w:pPr>
        <w:pStyle w:val="BodyText"/>
        <w:spacing w:line="360" w:lineRule="auto" w:after="60"/>
        <w:jc w:val="center"/>
      </w:pPr>
      <w:r>
        <w:rPr>
          <w:rFonts w:hint="eastAsia" w:ascii="Times New Roman" w:hAnsi="Times New Roman" w:cs="Times New Roman" w:eastAsia="黑体"/>
          <w:b/>
          <w:bCs/>
          <w:sz w:val="18"/>
        </w:rPr>
        <w:t xml:space="preserve">表7</w:t>
      </w:r>
      <w:r>
        <w:rPr>
          <w:rFonts w:ascii="Times New Roman" w:hAnsi="Times New Roman" w:cs="Times New Roman" w:eastAsia="黑体"/>
          <w:b/>
          <w:bCs/>
          <w:sz w:val="18"/>
        </w:rPr>
        <w:t xml:space="preserve">　</w:t>
      </w:r>
      <w:r>
        <w:rPr>
          <w:rFonts w:hint="eastAsia" w:ascii="Times New Roman" w:hAnsi="Times New Roman" w:cs="Times New Roman" w:eastAsia="黑体"/>
          <w:b/>
          <w:bCs/>
          <w:sz w:val="18"/>
        </w:rPr>
        <w:t xml:space="preserve">症状改善相关因素的多因素Logistic回归分析</w:t>
      </w:r>
    </w:p>
    <w:tbl>
      <w:tblPr>
        <w:jc w:val="center"/>
        <w:tblLook w:firstRow="1" w:lastRow="0" w:firstColumn="0" w:lastColumn="0" w:noHBand="0" w:noVBand="0" w:val="0020"/>
        <w:tblBorders>
          <w:top w:val="single" w:sz="12" w:space="0" w:color="000000"/>
          <w:left w:val="nil"/>
          <w:bottom w:val="single" w:sz="12" w:space="0" w:color="000000"/>
          <w:right w:val="nil"/>
          <w:insideH w:val="nil"/>
          <w:insideV w:val="nil"/>
        </w:tblBorders>
        <w:tblW w:w="8730" w:type="dxa"/>
        <w:tblLayout w:type="fixed"/>
      </w:tblPr>
      <w:tblGrid>
        <w:gridCol w:w="2123"/>
        <w:gridCol w:w="1415"/>
        <w:gridCol w:w="1415"/>
        <w:gridCol w:w="2359"/>
        <w:gridCol w:w="1415"/>
      </w:tblGrid>
      <w:tr>
        <w:trPr>
          <w:tblHeader w:val="on"/>
        </w:trPr>
        <w:tc>
          <w:tcPr>
            <w:tcW w:type="dxa" w:w="2124"/>
            <w:tcBorders>
              <w:bottom w:val="single" w:sz="6" w:space="0" w:color="000000"/>
            </w:tcBorders>
          </w:tcPr>
          <w:p>
            <w:pPr>
              <w:pStyle w:val="Compact"/>
              <w:spacing w:line="276" w:lineRule="auto" w:after="0"/>
              <w:ind w:firstLine="0" w:left="0"/>
              <w:jc w:val="center"/>
            </w:pPr>
            <w:r>
              <w:rPr>
                <w:rFonts w:hint="eastAsia" w:ascii="Times New Roman" w:hAnsi="Times New Roman" w:cs="Times New Roman" w:eastAsia="宋体"/>
                <w:b/>
                <w:sz w:val="18"/>
              </w:rPr>
              <w:t xml:space="preserve">变量</w:t>
            </w:r>
          </w:p>
        </w:tc>
        <w:tc>
          <w:tcPr>
            <w:tcW w:type="dxa" w:w="1416"/>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β</w:t>
            </w:r>
          </w:p>
        </w:tc>
        <w:tc>
          <w:tcPr>
            <w:tcW w:type="dxa" w:w="1416"/>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SE</w:t>
            </w:r>
          </w:p>
        </w:tc>
        <w:tc>
          <w:tcPr>
            <w:tcW w:type="dxa" w:w="2360"/>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OR</w:t>
            </w:r>
            <w:r>
              <w:rPr>
                <w:rFonts w:hint="eastAsia" w:ascii="Times New Roman" w:hAnsi="Times New Roman" w:cs="Times New Roman" w:eastAsia="宋体"/>
                <w:b/>
                <w:sz w:val="18"/>
              </w:rPr>
              <w:t xml:space="preserve">（95%CI）</w:t>
            </w:r>
          </w:p>
        </w:tc>
        <w:tc>
          <w:tcPr>
            <w:tcW w:type="dxa" w:w="1416"/>
            <w:tcBorders>
              <w:bottom w:val="single" w:sz="6" w:space="0" w:color="000000"/>
            </w:tcBorders>
          </w:tcPr>
          <w:p>
            <w:pPr>
              <w:pStyle w:val="Compact"/>
              <w:spacing w:line="276" w:lineRule="auto" w:after="0"/>
              <w:ind w:firstLine="0" w:left="0"/>
              <w:jc w:val="center"/>
            </w:pPr>
            <w:r>
              <w:rPr>
                <w:rFonts w:ascii="Times New Roman" w:hAnsi="Times New Roman" w:cs="Times New Roman" w:eastAsia="宋体"/>
                <w:b/>
                <w:i/>
                <w:iCs/>
                <w:sz w:val="18"/>
              </w:rPr>
              <w:t xml:space="preserve">P</w:t>
            </w:r>
            <w:r>
              <w:rPr>
                <w:rFonts w:hint="eastAsia" w:ascii="Times New Roman" w:hAnsi="Times New Roman" w:cs="Times New Roman" w:eastAsia="宋体"/>
                <w:b/>
                <w:sz w:val="18"/>
              </w:rPr>
              <w:t xml:space="preserve">值</w:t>
            </w:r>
          </w:p>
        </w:tc>
      </w:tr>
      <w:tr>
        <w:tc>
          <w:tcPr>
            <w:tcW w:type="dxa" w:w="2124"/>
          </w:tcPr>
          <w:p>
            <w:pPr>
              <w:pStyle w:val="Compact"/>
              <w:spacing w:line="276" w:lineRule="auto" w:after="0"/>
              <w:ind w:firstLine="0" w:left="0"/>
              <w:jc w:val="center"/>
            </w:pPr>
            <w:r>
              <w:rPr>
                <w:rFonts w:hint="eastAsia" w:ascii="Times New Roman" w:hAnsi="Times New Roman" w:cs="Times New Roman" w:eastAsia="宋体"/>
                <w:sz w:val="18"/>
              </w:rPr>
              <w:t xml:space="preserve">减重幅度（每1</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kg）</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0.597</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0.224</w:t>
            </w:r>
          </w:p>
        </w:tc>
        <w:tc>
          <w:tcPr>
            <w:tcW w:type="dxa" w:w="2360"/>
          </w:tcPr>
          <w:p>
            <w:pPr>
              <w:pStyle w:val="Compact"/>
              <w:spacing w:line="276" w:lineRule="auto" w:after="0"/>
              <w:ind w:firstLine="0" w:left="0"/>
              <w:jc w:val="center"/>
            </w:pPr>
            <w:r>
              <w:rPr>
                <w:rFonts w:hint="eastAsia" w:ascii="Times New Roman" w:hAnsi="Times New Roman" w:cs="Times New Roman" w:eastAsia="宋体"/>
                <w:sz w:val="18"/>
              </w:rPr>
              <w:t xml:space="preserve">1.82（1.17~2.82）</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0.008</w:t>
            </w:r>
          </w:p>
        </w:tc>
      </w:tr>
      <w:tr>
        <w:tc>
          <w:tcPr>
            <w:tcW w:type="dxa" w:w="2124"/>
          </w:tcPr>
          <w:p>
            <w:pPr>
              <w:pStyle w:val="Compact"/>
              <w:spacing w:line="276" w:lineRule="auto" w:after="0"/>
              <w:ind w:firstLine="0" w:left="0"/>
              <w:jc w:val="center"/>
            </w:pPr>
            <w:r>
              <w:rPr>
                <w:rFonts w:hint="eastAsia" w:ascii="Times New Roman" w:hAnsi="Times New Roman" w:cs="Times New Roman" w:eastAsia="宋体"/>
                <w:sz w:val="18"/>
              </w:rPr>
              <w:t xml:space="preserve">胃镜异常（是/否）</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1.164</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0.533</w:t>
            </w:r>
          </w:p>
        </w:tc>
        <w:tc>
          <w:tcPr>
            <w:tcW w:type="dxa" w:w="2360"/>
          </w:tcPr>
          <w:p>
            <w:pPr>
              <w:pStyle w:val="Compact"/>
              <w:spacing w:line="276" w:lineRule="auto" w:after="0"/>
              <w:ind w:firstLine="0" w:left="0"/>
              <w:jc w:val="center"/>
            </w:pPr>
            <w:r>
              <w:rPr>
                <w:rFonts w:hint="eastAsia" w:ascii="Times New Roman" w:hAnsi="Times New Roman" w:cs="Times New Roman" w:eastAsia="宋体"/>
                <w:sz w:val="18"/>
              </w:rPr>
              <w:t xml:space="preserve">3.20（1.13~9.10）</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0.029</w:t>
            </w:r>
          </w:p>
        </w:tc>
      </w:tr>
      <w:tr>
        <w:tc>
          <w:tcPr>
            <w:tcW w:type="dxa" w:w="2124"/>
          </w:tcPr>
          <w:p>
            <w:pPr>
              <w:pStyle w:val="Compact"/>
              <w:spacing w:line="276" w:lineRule="auto" w:after="0"/>
              <w:ind w:firstLine="0" w:left="0"/>
              <w:jc w:val="center"/>
            </w:pPr>
            <w:r>
              <w:rPr>
                <w:rFonts w:hint="eastAsia" w:ascii="Times New Roman" w:hAnsi="Times New Roman" w:cs="Times New Roman" w:eastAsia="宋体"/>
                <w:sz w:val="18"/>
              </w:rPr>
              <w:t xml:space="preserve">常数项</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−0.379</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0.392</w:t>
            </w:r>
          </w:p>
        </w:tc>
        <w:tc>
          <w:tcPr>
            <w:tcW w:type="dxa" w:w="2360"/>
          </w:tcPr>
          <w:p>
            <w:pPr>
              <w:pStyle w:val="Compact"/>
              <w:spacing w:line="276" w:lineRule="auto" w:after="0"/>
              <w:ind w:firstLine="0" w:left="0"/>
              <w:jc w:val="center"/>
            </w:pPr>
            <w:r>
              <w:rPr>
                <w:rFonts w:ascii="Times New Roman" w:hAnsi="Times New Roman" w:cs="Times New Roman" w:eastAsia="宋体"/>
                <w:sz w:val="18"/>
              </w:rPr>
              <w:t xml:space="preserve">—</w:t>
            </w:r>
          </w:p>
        </w:tc>
        <w:tc>
          <w:tcPr>
            <w:tcW w:type="dxa" w:w="1416"/>
          </w:tcPr>
          <w:p>
            <w:pPr>
              <w:pStyle w:val="Compact"/>
              <w:spacing w:line="276" w:lineRule="auto" w:after="0"/>
              <w:ind w:firstLine="0" w:left="0"/>
              <w:jc w:val="center"/>
            </w:pPr>
            <w:r>
              <w:rPr>
                <w:rFonts w:ascii="Times New Roman" w:hAnsi="Times New Roman" w:cs="Times New Roman" w:eastAsia="宋体"/>
                <w:sz w:val="18"/>
              </w:rPr>
              <w:t xml:space="preserve">0.334</w:t>
            </w:r>
          </w:p>
        </w:tc>
      </w:tr>
    </w:tbl>
    <w:p>
      <w:pPr>
        <w:pStyle w:val="BodyText"/>
        <w:spacing w:line="360" w:lineRule="auto" w:after="60"/>
        <w:ind/>
      </w:pPr>
      <w:r>
        <w:rPr>
          <w:rFonts w:hint="eastAsia" w:ascii="Times New Roman" w:hAnsi="Times New Roman" w:cs="Times New Roman" w:eastAsia="宋体"/>
          <w:sz w:val="18"/>
        </w:rPr>
        <w:t xml:space="preserve">注：候选变量为年龄、性别、BMI、吸烟和（或）饮酒、高风险职业、基线4GerdQ、胃镜结果和减重幅度，后退法（</w:t>
      </w:r>
      <w:r>
        <w:rPr>
          <w:rFonts w:ascii="Times New Roman" w:hAnsi="Times New Roman" w:cs="Times New Roman" w:eastAsia="宋体"/>
          <w:i/>
          <w:iCs/>
          <w:sz w:val="18"/>
        </w:rPr>
        <w:t xml:space="preserve">P</w:t>
      </w:r>
      <w:r>
        <w:rPr>
          <w:rFonts w:hint="eastAsia" w:ascii="Times New Roman" w:hAnsi="Times New Roman" w:cs="Times New Roman" w:eastAsia="宋体"/>
          <w:sz w:val="18"/>
        </w:rPr>
        <w:t xml:space="preserve">&gt;0.10剔除）；未改善组31例，事件数与候选变量数之比约为3.9，结果存在过拟合风险</w:t>
      </w:r>
    </w:p>
    <w:bookmarkEnd w:id="20"/>
    <w:bookmarkEnd w:id="21"/>
    <w:bookmarkStart w:id="22" w:name="讨论"/>
    <w:p>
      <w:pPr>
        <w:pStyle w:val="Heading2"/>
        <w:spacing w:before="240" w:after="120"/>
      </w:pPr>
      <w:r>
        <w:rPr>
          <w:rFonts w:ascii="Times New Roman" w:hAnsi="Times New Roman" w:cs="Times New Roman" w:eastAsia="黑体"/>
          <w:b/>
          <w:color w:val="000000"/>
          <w:sz w:val="24"/>
        </w:rPr>
        <w:t xml:space="preserve">3　</w:t>
      </w:r>
      <w:r>
        <w:rPr>
          <w:rFonts w:hint="eastAsia" w:ascii="Times New Roman" w:hAnsi="Times New Roman" w:cs="Times New Roman" w:eastAsia="黑体"/>
          <w:b/>
          <w:color w:val="000000"/>
          <w:sz w:val="24"/>
        </w:rPr>
        <w:t xml:space="preserve">讨论</w:t>
      </w:r>
    </w:p>
    <w:p>
      <w:pPr>
        <w:pStyle w:val="FirstParagraph"/>
        <w:spacing w:line="360" w:lineRule="auto" w:after="60"/>
        <w:ind w:firstLine="420"/>
      </w:pPr>
      <w:r>
        <w:rPr>
          <w:rFonts w:hint="eastAsia" w:ascii="Times New Roman" w:hAnsi="Times New Roman" w:cs="Times New Roman" w:eastAsia="宋体"/>
          <w:sz w:val="21"/>
        </w:rPr>
        <w:t xml:space="preserve">本研究显示，在高原地区长期居住的肥胖伴反流症状就诊患者中，GerdQ总分识别GERD复合诊断的AUC为0.701，与两项Meta分析报告的汇总AUC（0.789和0.705）相近</w:t>
      </w:r>
      <w:r>
        <w:rPr>
          <w:rFonts w:ascii="Times New Roman" w:hAnsi="Times New Roman" w:cs="Times New Roman" w:eastAsia="宋体"/>
          <w:sz w:val="21"/>
          <w:vertAlign w:val="superscript"/>
        </w:rPr>
        <w:t xml:space="preserve">[19,20]</w:t>
      </w:r>
      <w:r>
        <w:rPr>
          <w:rFonts w:hint="eastAsia" w:ascii="Times New Roman" w:hAnsi="Times New Roman" w:cs="Times New Roman" w:eastAsia="宋体"/>
          <w:sz w:val="21"/>
        </w:rPr>
        <w:t xml:space="preserve">，但95%CI下限仅为0.580，判别能力有限。以≥8分为界值时，本组灵敏度为93.7%，特异度仅29.2%，与GerdQ开发研究（灵敏度65%、特异度71%）</w:t>
      </w:r>
      <w:r>
        <w:rPr>
          <w:rFonts w:ascii="Times New Roman" w:hAnsi="Times New Roman" w:cs="Times New Roman" w:eastAsia="宋体"/>
          <w:sz w:val="21"/>
          <w:vertAlign w:val="superscript"/>
        </w:rPr>
        <w:t xml:space="preserve">[13]</w:t>
      </w:r>
      <w:r>
        <w:rPr>
          <w:rFonts w:hint="eastAsia" w:ascii="Times New Roman" w:hAnsi="Times New Roman" w:cs="Times New Roman" w:eastAsia="宋体"/>
          <w:sz w:val="21"/>
        </w:rPr>
        <w:t xml:space="preserve">和韩国验证研究（灵敏度64.9%、特异度71.4%）</w:t>
      </w:r>
      <w:r>
        <w:rPr>
          <w:rFonts w:ascii="Times New Roman" w:hAnsi="Times New Roman" w:cs="Times New Roman" w:eastAsia="宋体"/>
          <w:sz w:val="21"/>
          <w:vertAlign w:val="superscript"/>
        </w:rPr>
        <w:t xml:space="preserve">[16]</w:t>
      </w:r>
      <w:r>
        <w:rPr>
          <w:rFonts w:hint="eastAsia" w:ascii="Times New Roman" w:hAnsi="Times New Roman" w:cs="Times New Roman" w:eastAsia="宋体"/>
          <w:sz w:val="21"/>
        </w:rPr>
        <w:t xml:space="preserve">相比，呈明显的高灵敏度、低特异度模式。主要原因可能有以下几点。第一，本研究仅纳入门诊GerdQ≥7分的肥胖患者，研究人群症状负荷高，88.3%的患者GerdQ≥8分，导致特异度被系统性压低，且无法评价≤7分患者的诊断效能。第二，胃镜阴性者需通过PPI试验确诊，而PPI试验本身特异度不高，韩国研究中以PPI治疗后任何症状改善作为GERD诊断依据的特异度仅为48.6%</w:t>
      </w:r>
      <w:r>
        <w:rPr>
          <w:rFonts w:ascii="Times New Roman" w:hAnsi="Times New Roman" w:cs="Times New Roman" w:eastAsia="宋体"/>
          <w:sz w:val="21"/>
          <w:vertAlign w:val="superscript"/>
        </w:rPr>
        <w:t xml:space="preserve">[16]</w:t>
      </w:r>
      <w:r>
        <w:rPr>
          <w:rFonts w:hint="eastAsia" w:ascii="Times New Roman" w:hAnsi="Times New Roman" w:cs="Times New Roman" w:eastAsia="宋体"/>
          <w:sz w:val="21"/>
        </w:rPr>
        <w:t xml:space="preserve">，复合参考标准可能将部分非GERD患者归为GERD。第三，胃镜阴性不能排除非糜烂性反流病，确诊需依赖反流监测</w:t>
      </w:r>
      <w:r>
        <w:rPr>
          <w:rFonts w:ascii="Times New Roman" w:hAnsi="Times New Roman" w:cs="Times New Roman" w:eastAsia="宋体"/>
          <w:sz w:val="21"/>
          <w:vertAlign w:val="superscript"/>
        </w:rPr>
        <w:t xml:space="preserve">[23,24]</w:t>
      </w:r>
      <w:r>
        <w:rPr>
          <w:rFonts w:hint="eastAsia" w:ascii="Times New Roman" w:hAnsi="Times New Roman" w:cs="Times New Roman" w:eastAsia="宋体"/>
          <w:sz w:val="21"/>
        </w:rPr>
        <w:t xml:space="preserve">；本研究所在地区尚未常规开展24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h食管pH-阻抗监测，无法对复合诊断进行进一步核实。我国多中心研究亦显示，在接受胃镜检查的上消化道症状患者中，GerdQ≥8分者仅30.6%存在反流性食管炎，而GerdQ≤2分者中仍有22.2%存在反流性食管炎</w:t>
      </w:r>
      <w:r>
        <w:rPr>
          <w:rFonts w:ascii="Times New Roman" w:hAnsi="Times New Roman" w:cs="Times New Roman" w:eastAsia="宋体"/>
          <w:sz w:val="21"/>
          <w:vertAlign w:val="superscript"/>
        </w:rPr>
        <w:t xml:space="preserve">[17]</w:t>
      </w:r>
      <w:r>
        <w:rPr>
          <w:rFonts w:hint="eastAsia" w:ascii="Times New Roman" w:hAnsi="Times New Roman" w:cs="Times New Roman" w:eastAsia="宋体"/>
          <w:sz w:val="21"/>
        </w:rPr>
        <w:t xml:space="preserve">。分层似然比分析进一步显示，GerdQ的诊断信息主要集中在两端：7分者GERD可能性明显降低（似然比0.22），≥10分者升高（似然比2.13），而8~9分区间的似然比接近1，基本不改变验前概率。这正是≥8分界值在本组特异度偏低的原因——该界值将信息量很少的8~9分患者全部判为阳性。此外，GerdQ≥10分的比例在胃镜异常者中最高，在胃镜阴性且PPI试验阴性者中最低，而在确诊路径相同的胃镜阴性亚组中，GerdQ识别PPI试验阳性的能力较弱，提示全人群AUC中有相当部分来自胃镜异常者的高评分。因此，GerdQ在本人群中宜作为症状评估和随访工具，可按≤7分、8~9分和≥10分分层解读，而不宜单独用于诊断或排除GERD，临床上仍需结合内镜检查及有条件时的反流监测综合判断</w:t>
      </w:r>
      <w:r>
        <w:rPr>
          <w:rFonts w:ascii="Times New Roman" w:hAnsi="Times New Roman" w:cs="Times New Roman" w:eastAsia="宋体"/>
          <w:sz w:val="21"/>
          <w:vertAlign w:val="superscript"/>
        </w:rPr>
        <w:t xml:space="preserve">[18,23]</w:t>
      </w:r>
      <w:r>
        <w:rPr>
          <w:rFonts w:hint="eastAsia" w:ascii="Times New Roman" w:hAnsi="Times New Roman" w:cs="Times New Roman" w:eastAsia="宋体"/>
          <w:sz w:val="21"/>
        </w:rPr>
        <w:t xml:space="preserve">。由于入组要求GerdQ≥7分，7分组仅12例，上述分层似然比的估计精度有限，需在纳入低分患者的人群中验证。</w:t>
      </w:r>
    </w:p>
    <w:p>
      <w:pPr>
        <w:pStyle w:val="BodyText"/>
        <w:spacing w:line="360" w:lineRule="auto" w:after="60"/>
        <w:ind w:firstLine="420"/>
      </w:pPr>
      <w:r>
        <w:rPr>
          <w:rFonts w:hint="eastAsia" w:ascii="Times New Roman" w:hAnsi="Times New Roman" w:cs="Times New Roman" w:eastAsia="宋体"/>
          <w:sz w:val="21"/>
        </w:rPr>
        <w:t xml:space="preserve">本组患者GerdQ≥8分者占88.3%，而胃镜异常仅占37.9%，且胃镜异常的定义包含LA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A级食管炎和食管裂孔疝；如按里昂共识2.0仅以LA</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B~D级食管炎作为确证性证据</w:t>
      </w:r>
      <w:r>
        <w:rPr>
          <w:rFonts w:ascii="Times New Roman" w:hAnsi="Times New Roman" w:cs="Times New Roman" w:eastAsia="宋体"/>
          <w:sz w:val="21"/>
          <w:vertAlign w:val="superscript"/>
        </w:rPr>
        <w:t xml:space="preserve">[23]</w:t>
      </w:r>
      <w:r>
        <w:rPr>
          <w:rFonts w:hint="eastAsia" w:ascii="Times New Roman" w:hAnsi="Times New Roman" w:cs="Times New Roman" w:eastAsia="宋体"/>
          <w:sz w:val="21"/>
        </w:rPr>
        <w:t xml:space="preserve">，客观黏膜损伤比例可能更低，但本研究未分别记录各级别例数，无法据此进行敏感性分析。症状负荷与黏膜损伤不一致，一方面与入组标准导致的症状富集有关，另一方面也提示部分患者可能存在非糜烂性反流病、反流高敏感或功能性烧心，需要反流监测加以区分</w:t>
      </w:r>
      <w:r>
        <w:rPr>
          <w:rFonts w:ascii="Times New Roman" w:hAnsi="Times New Roman" w:cs="Times New Roman" w:eastAsia="宋体"/>
          <w:sz w:val="21"/>
          <w:vertAlign w:val="superscript"/>
        </w:rPr>
        <w:t xml:space="preserve">[23,25]</w:t>
      </w:r>
      <w:r>
        <w:rPr>
          <w:rFonts w:hint="eastAsia" w:ascii="Times New Roman" w:hAnsi="Times New Roman" w:cs="Times New Roman" w:eastAsia="宋体"/>
          <w:sz w:val="21"/>
        </w:rPr>
        <w:t xml:space="preserve">。由于本研究未设平原地区或非肥胖对照组，上述特点不能归因于高原环境或肥胖本身。肥胖程度与症状的关系方面，中度肥胖组GerdQ总分高于轻度肥胖组，调整年龄和性别后差异仍存在，但BMI作为连续变量时与GerdQ总分无相关性，且重度肥胖组仅14例、年龄较小，分组差异可能与样本构成有关，不宜据此推断剂量-反应关系。</w:t>
      </w:r>
    </w:p>
    <w:p>
      <w:pPr>
        <w:pStyle w:val="BodyText"/>
        <w:spacing w:line="360" w:lineRule="auto" w:after="60"/>
        <w:ind w:firstLine="420"/>
      </w:pPr>
      <w:r>
        <w:rPr>
          <w:rFonts w:hint="eastAsia" w:ascii="Times New Roman" w:hAnsi="Times New Roman" w:cs="Times New Roman" w:eastAsia="宋体"/>
          <w:sz w:val="21"/>
        </w:rPr>
        <w:t xml:space="preserve">本研究中69.9%的患者在4周PPI联合减重管理后4GerdQ下降≥1分。需要指出，该标准阈值较低，GerdQ尚无公认的最小临床重要差值，问卷用于疗效评价时需具备对短期变化的反应度</w:t>
      </w:r>
      <w:r>
        <w:rPr>
          <w:rFonts w:ascii="Times New Roman" w:hAnsi="Times New Roman" w:cs="Times New Roman" w:eastAsia="宋体"/>
          <w:sz w:val="21"/>
          <w:vertAlign w:val="superscript"/>
        </w:rPr>
        <w:t xml:space="preserve">[26]</w:t>
      </w:r>
      <w:r>
        <w:rPr>
          <w:rFonts w:hint="eastAsia" w:ascii="Times New Roman" w:hAnsi="Times New Roman" w:cs="Times New Roman" w:eastAsia="宋体"/>
          <w:sz w:val="21"/>
        </w:rPr>
        <w:t xml:space="preserve">；SAKURAI等</w:t>
      </w:r>
      <w:r>
        <w:rPr>
          <w:rFonts w:ascii="Times New Roman" w:hAnsi="Times New Roman" w:cs="Times New Roman" w:eastAsia="宋体"/>
          <w:sz w:val="21"/>
          <w:vertAlign w:val="superscript"/>
        </w:rPr>
        <w:t xml:space="preserve">[14]</w:t>
      </w:r>
      <w:r>
        <w:rPr>
          <w:rFonts w:hint="eastAsia" w:ascii="Times New Roman" w:hAnsi="Times New Roman" w:cs="Times New Roman" w:eastAsia="宋体"/>
          <w:sz w:val="21"/>
        </w:rPr>
        <w:t xml:space="preserve">采用治疗后第1、2、5、6条得分均≤1分作为症状充分缓解标准，本研究未记录治疗后各条目得分，无法按此标准评价。治疗后4GerdQ≤1分者仅7.8%，提示多数患者仍有残余症状，这与约半数疑似GERD患者对抑酸治疗反应不佳的报道相符</w:t>
      </w:r>
      <w:r>
        <w:rPr>
          <w:rFonts w:ascii="Times New Roman" w:hAnsi="Times New Roman" w:cs="Times New Roman" w:eastAsia="宋体"/>
          <w:sz w:val="21"/>
          <w:vertAlign w:val="superscript"/>
        </w:rPr>
        <w:t xml:space="preserve">[25]</w:t>
      </w:r>
      <w:r>
        <w:rPr>
          <w:rFonts w:hint="eastAsia" w:ascii="Times New Roman" w:hAnsi="Times New Roman" w:cs="Times New Roman" w:eastAsia="宋体"/>
          <w:sz w:val="21"/>
        </w:rPr>
        <w:t xml:space="preserve">。另一方面，GerdQ总分的下降几乎全部来自4个阳性预测条目，上腹痛与恶心条目治疗前后基本不变，与这2个条目用于识别非反流症状的设计一致，也支持以4GerdQ而非总分评价疗效。</w:t>
      </w:r>
    </w:p>
    <w:p>
      <w:pPr>
        <w:pStyle w:val="BodyText"/>
        <w:spacing w:line="360" w:lineRule="auto" w:after="60"/>
        <w:ind w:firstLine="420"/>
      </w:pPr>
      <w:r>
        <w:rPr>
          <w:rFonts w:hint="eastAsia" w:ascii="Times New Roman" w:hAnsi="Times New Roman" w:cs="Times New Roman" w:eastAsia="宋体"/>
          <w:sz w:val="21"/>
        </w:rPr>
        <w:t xml:space="preserve">减重幅度与症状改善独立相关（每1</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=1.82）。减重可降低腹内压和胃食管交界处压力梯度，从而减少反流</w:t>
      </w:r>
      <w:r>
        <w:rPr>
          <w:rFonts w:ascii="Times New Roman" w:hAnsi="Times New Roman" w:cs="Times New Roman" w:eastAsia="宋体"/>
          <w:sz w:val="21"/>
          <w:vertAlign w:val="superscript"/>
        </w:rPr>
        <w:t xml:space="preserve">[5,6]</w:t>
      </w:r>
      <w:r>
        <w:rPr>
          <w:rFonts w:hint="eastAsia" w:ascii="Times New Roman" w:hAnsi="Times New Roman" w:cs="Times New Roman" w:eastAsia="宋体"/>
          <w:sz w:val="21"/>
        </w:rPr>
        <w:t xml:space="preserve">；ACG指南亦建议超重或肥胖的GERD患者减重以改善症状</w:t>
      </w:r>
      <w:r>
        <w:rPr>
          <w:rFonts w:ascii="Times New Roman" w:hAnsi="Times New Roman" w:cs="Times New Roman" w:eastAsia="宋体"/>
          <w:sz w:val="21"/>
          <w:vertAlign w:val="superscript"/>
        </w:rPr>
        <w:t xml:space="preserve">[24]</w:t>
      </w:r>
      <w:r>
        <w:rPr>
          <w:rFonts w:ascii="Times New Roman" w:hAnsi="Times New Roman" w:cs="Times New Roman" w:eastAsia="宋体"/>
          <w:sz w:val="21"/>
        </w:rPr>
        <w:t xml:space="preserve">。DE </w:t>
      </w:r>
      <w:r>
        <w:rPr>
          <w:rFonts w:hint="eastAsia" w:ascii="Times New Roman" w:hAnsi="Times New Roman" w:cs="Times New Roman" w:eastAsia="宋体"/>
          <w:sz w:val="21"/>
        </w:rPr>
        <w:t xml:space="preserve">BORTOLI等</w:t>
      </w:r>
      <w:r>
        <w:rPr>
          <w:rFonts w:ascii="Times New Roman" w:hAnsi="Times New Roman" w:cs="Times New Roman" w:eastAsia="宋体"/>
          <w:sz w:val="21"/>
          <w:vertAlign w:val="superscript"/>
        </w:rPr>
        <w:t xml:space="preserve">[27]</w:t>
      </w:r>
      <w:r>
        <w:rPr>
          <w:rFonts w:hint="eastAsia" w:ascii="Times New Roman" w:hAnsi="Times New Roman" w:cs="Times New Roman" w:eastAsia="宋体"/>
          <w:sz w:val="21"/>
        </w:rPr>
        <w:t xml:space="preserve">在有对照的研究中发现，6个月内减重≥10%可减轻GERD症状并减少PPI用量。本研究治疗期减重幅度很小（中位数1.5</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kg，约占体重的2%），观察期仅4周，减重与饮食控制、运动及用药依从性同属联合干预，难以分离，减重与症状改善的关联可能部分反映依从性这一共同因素，也可能与饮食调整（如减少酥油茶、青稞酒摄入）的直接作用有关。E值分析显示，减重幅度</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的95%CI下限对应的E值仅为1.38，即与减重和症状改善均存在约1.4倍关联的未测混杂因素即可使该关联失去统计学意义。减重幅度是治疗期间同步发生的变量，治疗开始前无法获得，因此不能用于治疗前预测疗效，本研究亦未据此构建预测模型。</w:t>
      </w:r>
    </w:p>
    <w:p>
      <w:pPr>
        <w:pStyle w:val="BodyText"/>
        <w:spacing w:line="360" w:lineRule="auto" w:after="60"/>
        <w:ind w:firstLine="420"/>
      </w:pPr>
      <w:r>
        <w:rPr>
          <w:rFonts w:hint="eastAsia" w:ascii="Times New Roman" w:hAnsi="Times New Roman" w:cs="Times New Roman" w:eastAsia="宋体"/>
          <w:sz w:val="21"/>
        </w:rPr>
        <w:t xml:space="preserve">胃镜异常者症状改善比例较高（</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=3.20），可能是由于其症状主要由酸反流和黏膜损伤驱动，对抑酸治疗反应较好；而胃镜阴性者中可能混杂功能性消化不良或非酸相关机制</w:t>
      </w:r>
      <w:r>
        <w:rPr>
          <w:rFonts w:ascii="Times New Roman" w:hAnsi="Times New Roman" w:cs="Times New Roman" w:eastAsia="宋体"/>
          <w:sz w:val="21"/>
          <w:vertAlign w:val="superscript"/>
        </w:rPr>
        <w:t xml:space="preserve">[28]</w:t>
      </w:r>
      <w:r>
        <w:rPr>
          <w:rFonts w:hint="eastAsia" w:ascii="Times New Roman" w:hAnsi="Times New Roman" w:cs="Times New Roman" w:eastAsia="宋体"/>
          <w:sz w:val="21"/>
        </w:rPr>
        <w:t xml:space="preserve">，单纯抑酸效果有限。按诊断路径分层后，症状改善率由胃镜异常者的84.6%依次降至胃镜阴性且PPI试验阳性者的65.0%和PPI试验阴性者的54.2%，呈梯度变化，支持上述解释。值得注意的是，PPI试验阴性者中仍有半数以上在4周时改善，且胃镜阴性者的PPI试验结果与4周症状改善几乎不一致（κ=0.11），可能与两次评价的工具或时间点不同、安慰剂效应和回归均值，以及4GerdQ下降≥1分这一标准较宽松有关，也提示单次PPI试验作为参考标准的可靠性有限。GerdQ将上腹痛和恶心设为阴性预测条目，正是为了区分此类非反流症状</w:t>
      </w:r>
      <w:r>
        <w:rPr>
          <w:rFonts w:ascii="Times New Roman" w:hAnsi="Times New Roman" w:cs="Times New Roman" w:eastAsia="宋体"/>
          <w:sz w:val="21"/>
          <w:vertAlign w:val="superscript"/>
        </w:rPr>
        <w:t xml:space="preserve">[13]</w:t>
      </w:r>
      <w:r>
        <w:rPr>
          <w:rFonts w:hint="eastAsia" w:ascii="Times New Roman" w:hAnsi="Times New Roman" w:cs="Times New Roman" w:eastAsia="宋体"/>
          <w:sz w:val="21"/>
        </w:rPr>
        <w:t xml:space="preserve">，但本研究中上腹痛和恶心条目均未进入多因素模型。</w:t>
      </w:r>
    </w:p>
    <w:p>
      <w:pPr>
        <w:pStyle w:val="BodyText"/>
        <w:spacing w:line="360" w:lineRule="auto" w:after="60"/>
        <w:ind w:firstLine="420"/>
      </w:pPr>
      <w:r>
        <w:rPr>
          <w:rFonts w:hint="eastAsia" w:ascii="Times New Roman" w:hAnsi="Times New Roman" w:cs="Times New Roman" w:eastAsia="宋体"/>
          <w:sz w:val="21"/>
        </w:rPr>
        <w:t xml:space="preserve">本研究存在以下局限性：（1）单中心、小样本观察性研究，重度肥胖组仅14例，未改善组仅31例，多因素模型事件数与候选变量数之比偏低，存在过拟合风险；（2）入组要求门诊GerdQ≥7分，存在谱偏倚，GerdQ阳性率不能外推为人群患病率；（3）复合参考标准中PPI试验特异度有限，且与4周症状改善的一致性差，胃镜阳性与阴性患者的确诊路径不同，未行24</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h食管pH-阻抗监测，也未分别记录LA分级及食管裂孔疝例数；（4）为无对照的单组前后比较，症状改善不能单独归因于PPI或减重，亦不能排除回归均值和安慰剂效应；治疗后未记录各条目得分，无法按症状充分缓解标准评价疗效；（5）未量化饮食、运动及用药依从性；（6）缺乏平原地区或非肥胖对照组，无法评价高原暴露本身的作用；（7）未保存筛查及排除病例记录，无法评估选择偏倚的程度。</w:t>
      </w:r>
    </w:p>
    <w:bookmarkEnd w:id="22"/>
    <w:bookmarkStart w:id="23" w:name="结论"/>
    <w:p>
      <w:pPr>
        <w:pStyle w:val="Heading2"/>
        <w:spacing w:before="240" w:after="120"/>
      </w:pPr>
      <w:r>
        <w:rPr>
          <w:rFonts w:ascii="Times New Roman" w:hAnsi="Times New Roman" w:cs="Times New Roman" w:eastAsia="黑体"/>
          <w:b/>
          <w:color w:val="000000"/>
          <w:sz w:val="24"/>
        </w:rPr>
        <w:t xml:space="preserve">4　</w:t>
      </w:r>
      <w:r>
        <w:rPr>
          <w:rFonts w:hint="eastAsia" w:ascii="Times New Roman" w:hAnsi="Times New Roman" w:cs="Times New Roman" w:eastAsia="黑体"/>
          <w:b/>
          <w:color w:val="000000"/>
          <w:sz w:val="24"/>
        </w:rPr>
        <w:t xml:space="preserve">结论</w:t>
      </w:r>
    </w:p>
    <w:p>
      <w:pPr>
        <w:pStyle w:val="FirstParagraph"/>
        <w:spacing w:line="360" w:lineRule="auto" w:after="60"/>
        <w:ind w:firstLine="420"/>
      </w:pPr>
      <w:r>
        <w:rPr>
          <w:rFonts w:hint="eastAsia" w:ascii="Times New Roman" w:hAnsi="Times New Roman" w:cs="Times New Roman" w:eastAsia="宋体"/>
          <w:sz w:val="21"/>
        </w:rPr>
        <w:t xml:space="preserve">在高原地区长期居住的肥胖伴反流症状就诊患者中，GerdQ总分对GERD的判别能力有限，≥8分界值特异度低，8~9分基本不提供诊断信息，不宜单独作为诊断依据，可作为症状评估和随访的辅助工具。4周PPI联合减重管理后多数患者症状有所改善，但残余症状常见；治疗期减重幅度较大和胃镜异常与短期症状改善相关，症状改善率按胃镜异常、胃镜阴性且PPI试验阳性、PPI试验阴性的顺序递减。上述结果尚需设立对照、采用反流监测和标准化疗效评价的多中心前瞻性研究验证。</w:t>
      </w:r>
    </w:p>
    <w:p>
      <w:pPr>
        <w:spacing w:line="360" w:lineRule="auto" w:after="60"/>
      </w:pPr>
      <w:r>
        <w:rPr>
          <w:rFonts w:ascii="Times New Roman" w:hAnsi="Times New Roman" w:cs="Times New Roman" w:eastAsia="宋体"/>
          <w:sz w:val="21"/>
        </w:rPr>
        <w:pict>
          <v:rect style="width:0;height:1.5pt" o:hralign="center" o:hrstd="t" o:hr="t"/>
        </w:pict>
      </w:r>
    </w:p>
    <w:p>
      <w:pPr>
        <w:pStyle w:val="FirstParagraph"/>
        <w:spacing w:line="360" w:lineRule="auto" w:after="60"/>
      </w:pPr>
      <w:r>
        <w:rPr>
          <w:rFonts w:hint="eastAsia" w:ascii="Times New Roman" w:hAnsi="Times New Roman" w:cs="Times New Roman" w:eastAsia="宋体"/>
          <w:b/>
          <w:bCs/>
          <w:sz w:val="21"/>
        </w:rPr>
        <w:t xml:space="preserve">利益冲突</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所有作者均声明不存在利益冲突。</w:t>
      </w:r>
    </w:p>
    <w:p>
      <w:pPr>
        <w:pStyle w:val="BodyText"/>
        <w:spacing w:line="360" w:lineRule="auto" w:after="60"/>
        <w:ind w:firstLine="420"/>
      </w:pPr>
      <w:r>
        <w:rPr>
          <w:rFonts w:hint="eastAsia" w:ascii="Times New Roman" w:hAnsi="Times New Roman" w:cs="Times New Roman" w:eastAsia="宋体"/>
          <w:b/>
          <w:bCs/>
          <w:sz w:val="21"/>
        </w:rPr>
        <w:t xml:space="preserve">作者贡献声明</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路源：研究设计、数据分析、论文撰写；杨帅通、沈起莲、张成强、李晓峰、戴勇：病例收集、数据整理与核对；姜超：研究指导、论文审阅、经费支持。</w:t>
      </w:r>
    </w:p>
    <w:bookmarkEnd w:id="23"/>
    <w:bookmarkStart w:id="30" w:name="图题图件由作者按修改要求重新提交"/>
    <w:p>
      <w:pPr>
        <w:pStyle w:val="Heading2"/>
        <w:spacing w:before="240" w:after="120"/>
      </w:pPr>
      <w:r>
        <w:rPr>
          <w:rFonts w:hint="eastAsia" w:ascii="Times New Roman" w:hAnsi="Times New Roman" w:cs="Times New Roman" w:eastAsia="黑体"/>
          <w:b/>
          <w:color w:val="000000"/>
          <w:sz w:val="24"/>
        </w:rPr>
        <w:t xml:space="preserve">图题（图件由作者按修改要求重新提交）</w:t>
      </w:r>
    </w:p>
    <w:p>
      <w:pPr>
        <w:pStyle w:val="FirstParagraph"/>
        <w:spacing w:line="360" w:lineRule="auto" w:after="60"/>
        <w:ind w:firstLine="420"/>
      </w:pPr>
      <w:r>
        <w:rPr>
          <w:rFonts w:hint="eastAsia" w:ascii="Times New Roman" w:hAnsi="Times New Roman" w:cs="Times New Roman" w:eastAsia="宋体"/>
          <w:b/>
          <w:bCs/>
          <w:sz w:val="21"/>
        </w:rPr>
        <w:t xml:space="preserve">图1</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基线GerdQ总分分布（A）、各条目得分（B）及条目-总分相关性（C）</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（原稿图1；B、C图中"上腹痛""恶心"须标注为反向计分条目）</w:t>
      </w:r>
    </w:p>
    <w:p>
      <w:pPr>
        <w:pStyle w:val="BodyText"/>
        <w:spacing w:line="360" w:lineRule="auto" w:after="60"/>
      </w:pPr>
      <w:r>
        <w:rPr>
          <w:rFonts w:hint="eastAsia" w:ascii="Times New Roman" w:hAnsi="Times New Roman" w:cs="Times New Roman" w:eastAsia="宋体"/>
          <w:b/>
          <w:bCs/>
          <w:sz w:val="21"/>
        </w:rPr>
        <w:t xml:space="preserve">图2</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不同肥胖程度组基线GerdQ总分比较（A）及BMI与基线GerdQ总分的关系（B）</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（原稿图3）</w:t>
      </w:r>
    </w:p>
    <w:p>
      <w:pPr>
        <w:pStyle w:val="BodyText"/>
        <w:spacing w:line="360" w:lineRule="auto" w:after="60"/>
      </w:pPr>
      <w:r>
        <w:rPr>
          <w:rFonts w:hint="eastAsia" w:ascii="Times New Roman" w:hAnsi="Times New Roman" w:cs="Times New Roman" w:eastAsia="宋体"/>
          <w:b/>
          <w:bCs/>
          <w:sz w:val="21"/>
        </w:rPr>
        <w:t xml:space="preserve">图3</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GerdQ总分识别GERD复合诊断（A）和胃镜异常（B）的ROC曲线</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（原稿图4）</w:t>
      </w:r>
    </w:p>
    <w:p>
      <w:pPr>
        <w:pStyle w:val="BodyText"/>
        <w:spacing w:line="360" w:lineRule="auto" w:after="60"/>
      </w:pPr>
      <w:r>
        <w:rPr>
          <w:rFonts w:hint="eastAsia" w:ascii="Times New Roman" w:hAnsi="Times New Roman" w:cs="Times New Roman" w:eastAsia="宋体"/>
          <w:b/>
          <w:bCs/>
          <w:sz w:val="21"/>
        </w:rPr>
        <w:t xml:space="preserve">图4</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治疗前后4GerdQ评分变化（A）及减重幅度与4GerdQ下降值的关系（B）</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（原稿图5）</w:t>
      </w:r>
    </w:p>
    <w:p>
      <w:pPr>
        <w:pStyle w:val="BodyText"/>
        <w:spacing w:line="360" w:lineRule="auto" w:after="60"/>
      </w:pPr>
      <w:r>
        <w:rPr>
          <w:rFonts w:hint="eastAsia" w:ascii="Times New Roman" w:hAnsi="Times New Roman" w:cs="Times New Roman" w:eastAsia="宋体"/>
          <w:b/>
          <w:bCs/>
          <w:sz w:val="21"/>
        </w:rPr>
        <w:t xml:space="preserve">图5</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症状改善相关因素的单因素和多因素分析结果</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（原稿图6；建议改为</w:t>
      </w:r>
      <w:r>
        <w:rPr>
          <w:rFonts w:ascii="Times New Roman" w:hAnsi="Times New Roman" w:cs="Times New Roman" w:eastAsia="宋体"/>
          <w:i/>
          <w:iCs/>
          <w:sz w:val="21"/>
        </w:rPr>
        <w:t xml:space="preserve">OR</w:t>
      </w:r>
      <w:r>
        <w:rPr>
          <w:rFonts w:hint="eastAsia" w:ascii="Times New Roman" w:hAnsi="Times New Roman" w:cs="Times New Roman" w:eastAsia="宋体"/>
          <w:sz w:val="21"/>
        </w:rPr>
        <w:t xml:space="preserve">及95%CI森林图，替代−log₁₀</w:t>
      </w:r>
      <w:r>
        <w:rPr>
          <w:rFonts w:ascii="Times New Roman" w:hAnsi="Times New Roman" w:cs="Times New Roman" w:eastAsia="宋体"/>
          <w:i/>
          <w:iCs/>
          <w:sz w:val="21"/>
        </w:rPr>
        <w:t xml:space="preserve">P</w:t>
      </w:r>
      <w:r>
        <w:rPr>
          <w:rFonts w:hint="eastAsia" w:ascii="Times New Roman" w:hAnsi="Times New Roman" w:cs="Times New Roman" w:eastAsia="宋体"/>
          <w:sz w:val="21"/>
        </w:rPr>
        <w:t xml:space="preserve">条形图）</w:t>
      </w:r>
    </w:p>
    <w:p>
      <w:pPr>
        <w:pStyle w:val="BodyText"/>
        <w:spacing w:line="360" w:lineRule="auto" w:after="60"/>
      </w:pPr>
      <w:r>
        <w:rPr>
          <w:rFonts w:ascii="Times New Roman" w:hAnsi="Times New Roman" w:cs="Times New Roman" w:eastAsia="宋体"/>
          <w:sz w:val="21"/>
        </w:rPr>
        <w:drawing>
          <wp:inline>
            <wp:extent cx="5334000" cy="2133600"/>
            <wp:effectExtent b="0" l="0" r="0" t="0"/>
            <wp:docPr descr="" title="" id="25" name="Picture"/>
            <a:graphic>
              <a:graphicData uri="http://schemas.openxmlformats.org/drawingml/2006/picture">
                <pic:pic>
                  <pic:nvPicPr>
                    <pic:cNvPr descr="data_mining/figures/图A_评分分布与分层似然比.png" id="26" name="Picture"/>
                    <pic:cNvPicPr>
                      <a:picLocks noChangeArrowheads="1" noChangeAspect="1"/>
                    </pic:cNvPicPr>
                  </pic:nvPicPr>
                  <pic:blipFill>
                    <a:blip r:embed="rId24"/>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spacing w:line="360" w:lineRule="auto" w:after="60"/>
        <w:ind w:firstLine="420"/>
      </w:pPr>
      <w:r>
        <w:rPr>
          <w:rFonts w:hint="eastAsia" w:ascii="Times New Roman" w:hAnsi="Times New Roman" w:cs="Times New Roman" w:eastAsia="宋体"/>
          <w:b/>
          <w:bCs/>
          <w:sz w:val="21"/>
        </w:rPr>
        <w:t xml:space="preserve">图6</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基线GerdQ总分在GERD复合诊断阳性与阴性者中的分布（A）及分层似然比（B）</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（新增；各分值例数由表3截断值结果反推，B图误差线为95%CI）</w:t>
      </w:r>
    </w:p>
    <w:p>
      <w:pPr>
        <w:pStyle w:val="BodyText"/>
        <w:spacing w:line="360" w:lineRule="auto" w:after="60"/>
      </w:pPr>
      <w:r>
        <w:rPr>
          <w:rFonts w:ascii="Times New Roman" w:hAnsi="Times New Roman" w:cs="Times New Roman" w:eastAsia="宋体"/>
          <w:sz w:val="21"/>
        </w:rPr>
        <w:drawing>
          <wp:inline>
            <wp:extent cx="5334000" cy="2133600"/>
            <wp:effectExtent b="0" l="0" r="0" t="0"/>
            <wp:docPr descr="" title="" id="28" name="Picture"/>
            <a:graphic>
              <a:graphicData uri="http://schemas.openxmlformats.org/drawingml/2006/picture">
                <pic:pic>
                  <pic:nvPicPr>
                    <pic:cNvPr descr="data_mining/figures/图C_诊断路径与疗效.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spacing w:line="360" w:lineRule="auto" w:after="60"/>
        <w:ind w:firstLine="420"/>
      </w:pPr>
      <w:r>
        <w:rPr>
          <w:rFonts w:hint="eastAsia" w:ascii="Times New Roman" w:hAnsi="Times New Roman" w:cs="Times New Roman" w:eastAsia="宋体"/>
          <w:b/>
          <w:bCs/>
          <w:sz w:val="21"/>
        </w:rPr>
        <w:t xml:space="preserve">图7</w:t>
      </w:r>
      <w:r>
        <w:rPr>
          <w:rFonts w:ascii="Times New Roman" w:hAnsi="Times New Roman" w:cs="Times New Roman" w:eastAsia="宋体"/>
          <w:b/>
          <w:bCs/>
          <w:sz w:val="21"/>
        </w:rPr>
        <w:t xml:space="preserve">　</w:t>
      </w:r>
      <w:r>
        <w:rPr>
          <w:rFonts w:hint="eastAsia" w:ascii="Times New Roman" w:hAnsi="Times New Roman" w:cs="Times New Roman" w:eastAsia="宋体"/>
          <w:b/>
          <w:bCs/>
          <w:sz w:val="21"/>
        </w:rPr>
        <w:t xml:space="preserve">不同诊断路径患者的4周症状改善率（A）及胃镜阴性者PPI试验与4周症状改善的一致性（B）</w:t>
      </w:r>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（新增；A图误差线为Wilson法95%CI）</w:t>
      </w:r>
    </w:p>
    <w:bookmarkEnd w:id="30"/>
    <w:bookmarkStart w:id="31" w:name="参考文献"/>
    <w:p>
      <w:pPr>
        <w:pStyle w:val="Heading2"/>
        <w:spacing w:before="240" w:after="120"/>
      </w:pPr>
      <w:r>
        <w:rPr>
          <w:rFonts w:hint="eastAsia" w:ascii="Times New Roman" w:hAnsi="Times New Roman" w:cs="Times New Roman" w:eastAsia="黑体"/>
          <w:b/>
          <w:color w:val="000000"/>
          <w:sz w:val="24"/>
        </w:rPr>
        <w:t xml:space="preserve">参考文献</w:t>
      </w:r>
    </w:p>
    <w:p>
      <w:pPr>
        <w:pStyle w:val="FirstParagraph"/>
        <w:spacing w:line="300" w:lineRule="auto" w:after="0"/>
        <w:ind w:left="425" w:hanging="425"/>
      </w:pPr>
      <w:r>
        <w:rPr>
          <w:rFonts w:ascii="Times New Roman" w:hAnsi="Times New Roman" w:cs="Times New Roman" w:eastAsia="宋体"/>
          <w:sz w:val="18"/>
        </w:rPr>
        <w:t xml:space="preserve">[1] VAKIL N, VAN ZANTEN S V, KAHRILAS P, et al. The Montreal definition and classification of gastroesophageal reflux disease: a global evidence-based consensus[J]. Am J Gastroenterol, 2006, 101(8): 1900-1920. DOI: 10.1111/j.1572-0241.2006.00630.x.</w:t>
      </w:r>
    </w:p>
    <w:p>
      <w:pPr>
        <w:pStyle w:val="BodyText"/>
        <w:spacing w:line="300" w:lineRule="auto" w:after="0"/>
        <w:ind w:left="425" w:hanging="425"/>
      </w:pPr>
      <w:r>
        <w:rPr>
          <w:rFonts w:ascii="Times New Roman" w:hAnsi="Times New Roman" w:cs="Times New Roman" w:eastAsia="宋体"/>
          <w:sz w:val="18"/>
        </w:rPr>
        <w:t xml:space="preserve">[2] EL-SERAG H B, SWEET S, WINCHESTER C C, et al. Update on the epidemiology of gastro-oesophageal reflux disease: a systematic review[J]. Gut, 2014, 63(6): 871-880. DOI: 10.1136/gutjnl-2012-304269.</w:t>
      </w:r>
    </w:p>
    <w:p>
      <w:pPr>
        <w:pStyle w:val="BodyText"/>
        <w:spacing w:line="300" w:lineRule="auto" w:after="0"/>
        <w:ind w:left="425" w:hanging="425"/>
      </w:pPr>
      <w:r>
        <w:rPr>
          <w:rFonts w:ascii="Times New Roman" w:hAnsi="Times New Roman" w:cs="Times New Roman" w:eastAsia="宋体"/>
          <w:sz w:val="18"/>
        </w:rPr>
        <w:t xml:space="preserve">[3] EUSEBI L H, RATNAKUMARAN R, YUAN Y, et al. Global prevalence of, and risk factors for, gastro-oesophageal reflux symptoms: a meta-analysis[J]. Gut, 2018, 67(3): 430-440. DOI: 10.1136/gutjnl-2016-313589.</w:t>
      </w:r>
    </w:p>
    <w:p>
      <w:pPr>
        <w:pStyle w:val="BodyText"/>
        <w:spacing w:line="300" w:lineRule="auto" w:after="0"/>
        <w:ind w:left="425" w:hanging="425"/>
      </w:pPr>
      <w:r>
        <w:rPr>
          <w:rFonts w:ascii="Times New Roman" w:hAnsi="Times New Roman" w:cs="Times New Roman" w:eastAsia="宋体"/>
          <w:sz w:val="18"/>
        </w:rPr>
        <w:t xml:space="preserve">[4] TACK J, PANDOLFINO J E. Pathophysiology of gastroesophageal reflux disease[J]. Gastroenterology, 2018, 154(2): 277-288. DOI: 10.1053/j.gastro.2017.09.047.</w:t>
      </w:r>
    </w:p>
    <w:p>
      <w:pPr>
        <w:pStyle w:val="BodyText"/>
        <w:spacing w:line="300" w:lineRule="auto" w:after="0"/>
        <w:ind w:left="425" w:hanging="425"/>
      </w:pPr>
      <w:r>
        <w:rPr>
          <w:rFonts w:ascii="Times New Roman" w:hAnsi="Times New Roman" w:cs="Times New Roman" w:eastAsia="宋体"/>
          <w:sz w:val="18"/>
        </w:rPr>
        <w:t xml:space="preserve">[5] HAMPEL H, ABRAHAM N S, EL-SERAG H B. Meta-analysis: obesity and the risk for gastroesophageal reflux disease and its complications[J]. Ann Intern Med, 2005, 143(3): 199-211. DOI: 10.7326/0003-4819-143-3-200508020-00006.</w:t>
      </w:r>
    </w:p>
    <w:p>
      <w:pPr>
        <w:pStyle w:val="BodyText"/>
        <w:spacing w:line="300" w:lineRule="auto" w:after="0"/>
        <w:ind w:left="425" w:hanging="425"/>
      </w:pPr>
      <w:r>
        <w:rPr>
          <w:rFonts w:ascii="Times New Roman" w:hAnsi="Times New Roman" w:cs="Times New Roman" w:eastAsia="宋体"/>
          <w:sz w:val="18"/>
        </w:rPr>
        <w:t xml:space="preserve">[6] EL-SERAG H B, THRIFT A P. Obesity and gastroesophageal reflux disease[M]//RICHTER J E, CASTELL D O, KATZKA D A, et al. The esophagus. 6th ed. Hoboken: Wiley-Blackwell, 2021: 624-632. DOI: 10.1002/9781119599692.ch36.</w:t>
      </w:r>
    </w:p>
    <w:p>
      <w:pPr>
        <w:pStyle w:val="BodyText"/>
        <w:spacing w:line="300" w:lineRule="auto" w:after="0"/>
        <w:ind w:left="425" w:hanging="425"/>
      </w:pPr>
      <w:r>
        <w:rPr>
          <w:rFonts w:ascii="Times New Roman" w:hAnsi="Times New Roman" w:cs="Times New Roman" w:eastAsia="宋体"/>
          <w:sz w:val="18"/>
        </w:rPr>
        <w:t xml:space="preserve">[7] SINGH S, SHARMA A N, MURAD M H, et al. Central adiposity is associated with increased risk of esophageal inflammation, metaplasia, and adenocarcinoma: a systematic review and meta-analysis[J]. Clin Gastroenterol Hepatol, 2013, 11(11): 1399-1412.e7. DOI: 10.1016/j.cgh.2013.05.009.</w:t>
      </w:r>
    </w:p>
    <w:p>
      <w:pPr>
        <w:pStyle w:val="BodyText"/>
        <w:spacing w:line="300" w:lineRule="auto" w:after="0"/>
        <w:ind w:left="425" w:hanging="425"/>
      </w:pPr>
      <w:r>
        <w:rPr>
          <w:rFonts w:ascii="Times New Roman" w:hAnsi="Times New Roman" w:cs="Times New Roman" w:eastAsia="宋体"/>
          <w:sz w:val="18"/>
        </w:rPr>
        <w:t xml:space="preserve">[8] ANAND A C, SASHINDRAN V K, MOHAN L. Gastrointestinal problems at high altitude[J]. Trop Gastroenterol, 2006, 27(4): 147-153.</w:t>
      </w:r>
    </w:p>
    <w:p>
      <w:pPr>
        <w:pStyle w:val="BodyText"/>
        <w:spacing w:line="300" w:lineRule="auto" w:after="0"/>
        <w:ind w:left="425" w:hanging="425"/>
      </w:pPr>
      <w:r>
        <w:rPr>
          <w:rFonts w:ascii="Times New Roman" w:hAnsi="Times New Roman" w:cs="Times New Roman" w:eastAsia="宋体"/>
          <w:sz w:val="18"/>
        </w:rPr>
        <w:t xml:space="preserve">[9] MCKENNA Z J, GORINI PEREIRA F, GILLUM T L, et al. High-altitude exposures and intestinal barrier dysfunction[J]. Am J Physiol Regul Integr Comp Physiol, 2022, 322(3): R192-R203. DOI: 10.1152/ajpregu.00270.2021.</w:t>
      </w:r>
    </w:p>
    <w:p>
      <w:pPr>
        <w:pStyle w:val="BodyText"/>
        <w:spacing w:line="300" w:lineRule="auto" w:after="0"/>
        <w:ind w:left="425" w:hanging="425"/>
      </w:pPr>
      <w:r>
        <w:rPr>
          <w:rFonts w:ascii="Times New Roman" w:hAnsi="Times New Roman" w:cs="Times New Roman" w:eastAsia="宋体"/>
          <w:sz w:val="18"/>
        </w:rPr>
        <w:t xml:space="preserve">[10] ZHOU C, LI M, LIU L, et al. Food consumption and dietary patterns of local adults living on the Tibetan Plateau: results from 14 countries along the Yarlung Tsangpo River[J]. Nutrients, 2021, 13(7): 2444. DOI: 10.3390/nu13072444.</w:t>
      </w:r>
    </w:p>
    <w:p>
      <w:pPr>
        <w:pStyle w:val="BodyText"/>
        <w:spacing w:line="300" w:lineRule="auto" w:after="0"/>
        <w:ind w:left="425" w:hanging="425"/>
      </w:pPr>
      <w:r>
        <w:rPr>
          <w:rFonts w:ascii="Times New Roman" w:hAnsi="Times New Roman" w:cs="Times New Roman" w:eastAsia="宋体"/>
          <w:sz w:val="18"/>
        </w:rPr>
        <w:t xml:space="preserve">[11] </w:t>
      </w:r>
      <w:r>
        <w:rPr>
          <w:rFonts w:hint="eastAsia" w:ascii="Times New Roman" w:hAnsi="Times New Roman" w:cs="Times New Roman" w:eastAsia="宋体"/>
          <w:sz w:val="18"/>
        </w:rPr>
        <w:t xml:space="preserve">姚小军,</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王晨,</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程传斌,</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等.</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格尔木地区居民胃食管反流病流行病学调查分析[J].</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中华全科医学,</w:t>
      </w:r>
      <w:r>
        <w:rPr>
          <w:rFonts w:ascii="Times New Roman" w:hAnsi="Times New Roman" w:cs="Times New Roman" w:eastAsia="宋体"/>
          <w:sz w:val="18"/>
        </w:rPr>
        <w:t xml:space="preserve"> 2018, 16(8): 1386-1388. DOI: 10.16766/j.cnki.issn.1674-4152.000379.</w:t>
      </w:r>
    </w:p>
    <w:p>
      <w:pPr>
        <w:pStyle w:val="BodyText"/>
        <w:spacing w:line="300" w:lineRule="auto" w:after="0"/>
        <w:ind w:left="425" w:hanging="425"/>
      </w:pPr>
      <w:r>
        <w:rPr>
          <w:rFonts w:ascii="Times New Roman" w:hAnsi="Times New Roman" w:cs="Times New Roman" w:eastAsia="宋体"/>
          <w:sz w:val="18"/>
        </w:rPr>
        <w:t xml:space="preserve">[12] </w:t>
      </w:r>
      <w:r>
        <w:rPr>
          <w:rFonts w:hint="eastAsia" w:ascii="Times New Roman" w:hAnsi="Times New Roman" w:cs="Times New Roman" w:eastAsia="宋体"/>
          <w:sz w:val="18"/>
        </w:rPr>
        <w:t xml:space="preserve">蒋艳,</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马英,</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付伟,</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等.</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营养状态对进入高原后短期内胃食管反流症状的影响[J].</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临床医学研究与实践,</w:t>
      </w:r>
      <w:r>
        <w:rPr>
          <w:rFonts w:ascii="Times New Roman" w:hAnsi="Times New Roman" w:cs="Times New Roman" w:eastAsia="宋体"/>
          <w:sz w:val="18"/>
        </w:rPr>
        <w:t xml:space="preserve"> 2025, 10(28): 49-52. DOI: 10.19347/j.cnki.2096-1413.202528013.</w:t>
      </w:r>
    </w:p>
    <w:p>
      <w:pPr>
        <w:pStyle w:val="BodyText"/>
        <w:spacing w:line="300" w:lineRule="auto" w:after="0"/>
        <w:ind w:left="425" w:hanging="425"/>
      </w:pPr>
      <w:r>
        <w:rPr>
          <w:rFonts w:ascii="Times New Roman" w:hAnsi="Times New Roman" w:cs="Times New Roman" w:eastAsia="宋体"/>
          <w:sz w:val="18"/>
        </w:rPr>
        <w:t xml:space="preserve">[13] JONES R, JUNGHARD O, DENT J, et al. Development of the GerdQ, a tool for the diagnosis and management of gastro-oesophageal reflux disease in primary care[J]. Aliment Pharmacol Ther, 2009, 30(10): 1030-1038. DOI: 10.1111/j.1365-2036.2009.04142.x.</w:t>
      </w:r>
    </w:p>
    <w:p>
      <w:pPr>
        <w:pStyle w:val="BodyText"/>
        <w:spacing w:line="300" w:lineRule="auto" w:after="0"/>
        <w:ind w:left="425" w:hanging="425"/>
      </w:pPr>
      <w:r>
        <w:rPr>
          <w:rFonts w:ascii="Times New Roman" w:hAnsi="Times New Roman" w:cs="Times New Roman" w:eastAsia="宋体"/>
          <w:sz w:val="18"/>
        </w:rPr>
        <w:t xml:space="preserve">[14] SAKURAI K, SUDA H, FUJIE S, et al. Short-term symptomatic relief in gastroesophageal reflux disease: a comparative study of esomeprazole and vonoprazan[J]. Dig Dis Sci, 2019, 64(3): 815-822. DOI: 10.1007/s10620-018-5365-0.</w:t>
      </w:r>
    </w:p>
    <w:p>
      <w:pPr>
        <w:pStyle w:val="BodyText"/>
        <w:spacing w:line="300" w:lineRule="auto" w:after="0"/>
        <w:ind w:left="425" w:hanging="425"/>
      </w:pPr>
      <w:r>
        <w:rPr>
          <w:rFonts w:ascii="Times New Roman" w:hAnsi="Times New Roman" w:cs="Times New Roman" w:eastAsia="宋体"/>
          <w:sz w:val="18"/>
        </w:rPr>
        <w:t xml:space="preserve">[15] SUZUKI H, MATSUZAKI J, OKADA S, et al. Validation of the GerdQ questionnaire for the management of gastro-oesophageal reflux disease in Japan[J]. United European Gastroenterol J, 2013, 1(3): 175-183. DOI: 10.1177/2050640613485238.</w:t>
      </w:r>
    </w:p>
    <w:p>
      <w:pPr>
        <w:pStyle w:val="BodyText"/>
        <w:spacing w:line="300" w:lineRule="auto" w:after="0"/>
        <w:ind w:left="425" w:hanging="425"/>
      </w:pPr>
      <w:r>
        <w:rPr>
          <w:rFonts w:ascii="Times New Roman" w:hAnsi="Times New Roman" w:cs="Times New Roman" w:eastAsia="宋体"/>
          <w:sz w:val="18"/>
        </w:rPr>
        <w:t xml:space="preserve">[16] GONG E J, JUNG K W, MIN Y W, et al. Validation of the Korean version of the gastroesophageal reflux disease questionnaire for the diagnosis of gastroesophageal reflux disease[J]. J Neurogastroenterol Motil, 2019, 25(1): 91-99. DOI: 10.5056/jnm18133.</w:t>
      </w:r>
    </w:p>
    <w:p>
      <w:pPr>
        <w:pStyle w:val="BodyText"/>
        <w:spacing w:line="300" w:lineRule="auto" w:after="0"/>
        <w:ind w:left="425" w:hanging="425"/>
      </w:pPr>
      <w:r>
        <w:rPr>
          <w:rFonts w:ascii="Times New Roman" w:hAnsi="Times New Roman" w:cs="Times New Roman" w:eastAsia="宋体"/>
          <w:sz w:val="18"/>
        </w:rPr>
        <w:t xml:space="preserve">[17] BAI Y, DU Y, ZOU D, et al. Gastroesophageal Reflux Disease Questionnaire (GerdQ) in real-world practice: a national multicenter survey on 8065 patients[J]. J Gastroenterol Hepatol, 2013, 28(4): 626-631. DOI: 10.1111/jgh.12125.</w:t>
      </w:r>
    </w:p>
    <w:p>
      <w:pPr>
        <w:pStyle w:val="BodyText"/>
        <w:spacing w:line="300" w:lineRule="auto" w:after="0"/>
        <w:ind w:left="425" w:hanging="425"/>
      </w:pPr>
      <w:r>
        <w:rPr>
          <w:rFonts w:ascii="Times New Roman" w:hAnsi="Times New Roman" w:cs="Times New Roman" w:eastAsia="宋体"/>
          <w:sz w:val="18"/>
        </w:rPr>
        <w:t xml:space="preserve">[18] </w:t>
      </w:r>
      <w:r>
        <w:rPr>
          <w:rFonts w:hint="eastAsia" w:ascii="Times New Roman" w:hAnsi="Times New Roman" w:cs="Times New Roman" w:eastAsia="宋体"/>
          <w:sz w:val="18"/>
        </w:rPr>
        <w:t xml:space="preserve">中华医学会消化病学分会.</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2020年中国胃食管反流病专家共识[J].</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中华消化杂志,</w:t>
      </w:r>
      <w:r>
        <w:rPr>
          <w:rFonts w:ascii="Times New Roman" w:hAnsi="Times New Roman" w:cs="Times New Roman" w:eastAsia="宋体"/>
          <w:sz w:val="18"/>
        </w:rPr>
        <w:t xml:space="preserve"> 2020, 40(10): 649-663. DOI: 10.3760/cma.j.cn311367-20200918-00558.</w:t>
      </w:r>
    </w:p>
    <w:p>
      <w:pPr>
        <w:pStyle w:val="BodyText"/>
        <w:spacing w:line="300" w:lineRule="auto" w:after="0"/>
        <w:ind w:left="425" w:hanging="425"/>
      </w:pPr>
      <w:r>
        <w:rPr>
          <w:rFonts w:ascii="Times New Roman" w:hAnsi="Times New Roman" w:cs="Times New Roman" w:eastAsia="宋体"/>
          <w:sz w:val="18"/>
        </w:rPr>
        <w:t xml:space="preserve">[19] </w:t>
      </w:r>
      <w:r>
        <w:rPr>
          <w:rFonts w:hint="eastAsia" w:ascii="Times New Roman" w:hAnsi="Times New Roman" w:cs="Times New Roman" w:eastAsia="宋体"/>
          <w:sz w:val="18"/>
        </w:rPr>
        <w:t xml:space="preserve">黎丽群,</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谢胜,</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陈明冰,</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等.</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GerdQ量表对胃食管反流性疾病诊断价值的Meta分析[J].</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中国循证医学杂志,</w:t>
      </w:r>
      <w:r>
        <w:rPr>
          <w:rFonts w:ascii="Times New Roman" w:hAnsi="Times New Roman" w:cs="Times New Roman" w:eastAsia="宋体"/>
          <w:sz w:val="18"/>
        </w:rPr>
        <w:t xml:space="preserve"> 2019, 19(8): 915-923. DOI: 10.7507/1672-2531.201804030.</w:t>
      </w:r>
    </w:p>
    <w:p>
      <w:pPr>
        <w:pStyle w:val="BodyText"/>
        <w:spacing w:line="300" w:lineRule="auto" w:after="0"/>
        <w:ind w:left="425" w:hanging="425"/>
      </w:pPr>
      <w:r>
        <w:rPr>
          <w:rFonts w:ascii="Times New Roman" w:hAnsi="Times New Roman" w:cs="Times New Roman" w:eastAsia="宋体"/>
          <w:sz w:val="18"/>
        </w:rPr>
        <w:t xml:space="preserve">[20] SIMADIBRATA D M, NGADIONO E, SINURAYA F A G, et al. Diagnostic accuracy of gastroesophageal reflux disease questionnaire for gastroesophageal reflux disease: a systematic review and meta-analysis[J]. Neurogastroenterol Motil, 2023, 35(12): e14619. DOI: 10.1111/nmo.14619.</w:t>
      </w:r>
    </w:p>
    <w:p>
      <w:pPr>
        <w:pStyle w:val="BodyText"/>
        <w:spacing w:line="300" w:lineRule="auto" w:after="0"/>
        <w:ind w:left="425" w:hanging="425"/>
      </w:pPr>
      <w:r>
        <w:rPr>
          <w:rFonts w:ascii="Times New Roman" w:hAnsi="Times New Roman" w:cs="Times New Roman" w:eastAsia="宋体"/>
          <w:sz w:val="18"/>
        </w:rPr>
        <w:t xml:space="preserve">[21] </w:t>
      </w:r>
      <w:r>
        <w:rPr>
          <w:rFonts w:hint="eastAsia" w:ascii="Times New Roman" w:hAnsi="Times New Roman" w:cs="Times New Roman" w:eastAsia="宋体"/>
          <w:sz w:val="18"/>
        </w:rPr>
        <w:t xml:space="preserve">中华人民共和国国家卫生和计划生育委员会.</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成人体重判定:</w:t>
      </w:r>
      <w:r>
        <w:rPr>
          <w:rFonts w:ascii="Times New Roman" w:hAnsi="Times New Roman" w:cs="Times New Roman" w:eastAsia="宋体"/>
          <w:sz w:val="18"/>
        </w:rPr>
        <w:t xml:space="preserve"> WS/T 428—2013[S]. </w:t>
      </w:r>
      <w:r>
        <w:rPr>
          <w:rFonts w:hint="eastAsia" w:ascii="Times New Roman" w:hAnsi="Times New Roman" w:cs="Times New Roman" w:eastAsia="宋体"/>
          <w:sz w:val="18"/>
        </w:rPr>
        <w:t xml:space="preserve">北京:</w:t>
      </w:r>
      <w:r>
        <w:rPr>
          <w:rFonts w:ascii="Times New Roman" w:hAnsi="Times New Roman" w:cs="Times New Roman" w:eastAsia="宋体"/>
          <w:sz w:val="18"/>
        </w:rPr>
        <w:t xml:space="preserve"> </w:t>
      </w:r>
      <w:r>
        <w:rPr>
          <w:rFonts w:hint="eastAsia" w:ascii="Times New Roman" w:hAnsi="Times New Roman" w:cs="Times New Roman" w:eastAsia="宋体"/>
          <w:sz w:val="18"/>
        </w:rPr>
        <w:t xml:space="preserve">中国标准出版社,</w:t>
      </w:r>
      <w:r>
        <w:rPr>
          <w:rFonts w:ascii="Times New Roman" w:hAnsi="Times New Roman" w:cs="Times New Roman" w:eastAsia="宋体"/>
          <w:sz w:val="18"/>
        </w:rPr>
        <w:t xml:space="preserve"> 2013.</w:t>
      </w:r>
    </w:p>
    <w:p>
      <w:pPr>
        <w:pStyle w:val="BodyText"/>
        <w:spacing w:line="300" w:lineRule="auto" w:after="0"/>
        <w:ind w:left="425" w:hanging="425"/>
      </w:pPr>
      <w:r>
        <w:rPr>
          <w:rFonts w:ascii="Times New Roman" w:hAnsi="Times New Roman" w:cs="Times New Roman" w:eastAsia="宋体"/>
          <w:sz w:val="18"/>
        </w:rPr>
        <w:t xml:space="preserve">[22] LUNDELL L R, DENT J, BENNETT J R, et al. Endoscopic assessment of oesophagitis: clinical and functional correlates and further validation of the Los Angeles classification[J]. Gut, 1999, 45(2): 172-180. DOI: 10.1136/gut.45.2.172.</w:t>
      </w:r>
    </w:p>
    <w:p>
      <w:pPr>
        <w:pStyle w:val="BodyText"/>
        <w:spacing w:line="300" w:lineRule="auto" w:after="0"/>
        <w:ind w:left="425" w:hanging="425"/>
      </w:pPr>
      <w:r>
        <w:rPr>
          <w:rFonts w:ascii="Times New Roman" w:hAnsi="Times New Roman" w:cs="Times New Roman" w:eastAsia="宋体"/>
          <w:sz w:val="18"/>
        </w:rPr>
        <w:t xml:space="preserve">[23] GYAWALI C P, YADLAPATI R, FASS R, et al. Updates to the modern diagnosis of GERD: Lyon consensus 2.0[J]. Gut, 2024, 73(2): 361-371. DOI: 10.1136/gutjnl-2023-330616.</w:t>
      </w:r>
    </w:p>
    <w:p>
      <w:pPr>
        <w:pStyle w:val="BodyText"/>
        <w:spacing w:line="300" w:lineRule="auto" w:after="0"/>
        <w:ind w:left="425" w:hanging="425"/>
      </w:pPr>
      <w:r>
        <w:rPr>
          <w:rFonts w:ascii="Times New Roman" w:hAnsi="Times New Roman" w:cs="Times New Roman" w:eastAsia="宋体"/>
          <w:sz w:val="18"/>
        </w:rPr>
        <w:t xml:space="preserve">[24] KATZ P O, DUNBAR K B, SCHNOLL-SUSSMAN F H, et al. ACG clinical guideline for the diagnosis and management of gastroesophageal reflux disease[J]. Am J Gastroenterol, 2022, 117(1): 27-56. DOI: 10.14309/ajg.0000000000001538.</w:t>
      </w:r>
    </w:p>
    <w:p>
      <w:pPr>
        <w:pStyle w:val="BodyText"/>
        <w:spacing w:line="300" w:lineRule="auto" w:after="0"/>
        <w:ind w:left="425" w:hanging="425"/>
      </w:pPr>
      <w:r>
        <w:rPr>
          <w:rFonts w:ascii="Times New Roman" w:hAnsi="Times New Roman" w:cs="Times New Roman" w:eastAsia="宋体"/>
          <w:sz w:val="18"/>
        </w:rPr>
        <w:t xml:space="preserve">[25] YADLAPATI R, GYAWALI C P, PANDOLFINO J E, et al. AGA clinical practice update on the personalized approach to the evaluation and management of GERD: expert review[J]. Clin Gastroenterol Hepatol, 2022, 20(5): 984-994.e1. DOI: 10.1016/j.cgh.2022.01.025.</w:t>
      </w:r>
    </w:p>
    <w:p>
      <w:pPr>
        <w:pStyle w:val="BodyText"/>
        <w:spacing w:line="300" w:lineRule="auto" w:after="0"/>
        <w:ind w:left="425" w:hanging="425"/>
      </w:pPr>
      <w:r>
        <w:rPr>
          <w:rFonts w:ascii="Times New Roman" w:hAnsi="Times New Roman" w:cs="Times New Roman" w:eastAsia="宋体"/>
          <w:sz w:val="18"/>
        </w:rPr>
        <w:t xml:space="preserve">[26] FASS R. Symptom assessment tools for gastroesophageal reflux disease (GERD) treatment[J]. J Clin Gastroenterol, 2007, 41(5): 437-444. DOI: 10.1097/MCG.0b013e31802e849f.</w:t>
      </w:r>
    </w:p>
    <w:p>
      <w:pPr>
        <w:pStyle w:val="BodyText"/>
        <w:spacing w:line="300" w:lineRule="auto" w:after="0"/>
        <w:ind w:left="425" w:hanging="425"/>
      </w:pPr>
      <w:r>
        <w:rPr>
          <w:rFonts w:ascii="Times New Roman" w:hAnsi="Times New Roman" w:cs="Times New Roman" w:eastAsia="宋体"/>
          <w:sz w:val="18"/>
        </w:rPr>
        <w:t xml:space="preserve">[27] DE BORTOLI N, GUIDI G, MARTINUCCI I, et al. Voluntary and controlled weight loss can reduce symptoms and proton pump inhibitor use and dosage in patients with gastroesophageal reflux disease: a comparative study[J]. Dis Esophagus, 2016, 29(2): 197-204. DOI: 10.1111/dote.12319.</w:t>
      </w:r>
    </w:p>
    <w:p>
      <w:pPr>
        <w:pStyle w:val="BodyText"/>
        <w:spacing w:line="300" w:lineRule="auto" w:after="0"/>
        <w:ind w:left="425" w:hanging="425"/>
      </w:pPr>
      <w:r>
        <w:rPr>
          <w:rFonts w:ascii="Times New Roman" w:hAnsi="Times New Roman" w:cs="Times New Roman" w:eastAsia="宋体"/>
          <w:sz w:val="18"/>
        </w:rPr>
        <w:t xml:space="preserve">[28] TACK J, TALLEY N J, CAMILLERI M, et al. Functional gastroduodenal disorders[J]. Gastroenterology, 2006, 130(5): 1466-1479. DOI: 10.1053/j.gastro.2005.11.059.</w:t>
      </w:r>
    </w:p>
    <w:bookmarkEnd w:id="31"/>
    <w:bookmarkEnd w:id="32"/>
    <w:sectPr>
      <w:footnotePr>
        <w:numRestart w:val="eachSect"/>
      </w:footnotePr>
      <w:pgSz w:h="16838" w:w="11906"/>
      <w:pgMar w:top="1440" w:bottom="1440"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宋体"/>
      <w:sz w:val="21"/>
    </w:rPr>
  </w:style>
  <w:style w:styleId="BodyText" w:type="paragraph">
    <w:name w:val="Body Text"/>
    <w:basedOn w:val="Normal"/>
    <w:link w:val="BodyTextChar"/>
    <w:qFormat/>
    <w:pPr>
      <w:spacing w:after="180" w:before="180"/>
    </w:pPr>
    <w:rPr>
      <w:rFonts w:ascii="Times New Roman" w:hAnsi="Times New Roman" w:eastAsia="宋体"/>
      <w:sz w:val="21"/>
    </w:rPr>
  </w:style>
  <w:style w:customStyle="1" w:styleId="FirstParagraph" w:type="paragraph">
    <w:name w:val="First Paragraph"/>
    <w:basedOn w:val="BodyText"/>
    <w:next w:val="BodyText"/>
    <w:qFormat/>
    <w:rPr>
      <w:rFonts w:ascii="Times New Roman" w:hAnsi="Times New Roman" w:eastAsia="宋体"/>
      <w:sz w:val="21"/>
    </w:rPr>
  </w:style>
  <w:style w:customStyle="1" w:styleId="Compact" w:type="paragraph">
    <w:name w:val="Compact"/>
    <w:basedOn w:val="BodyText"/>
    <w:qFormat/>
    <w:pPr>
      <w:spacing w:after="36" w:before="36"/>
    </w:pPr>
    <w:rPr>
      <w:rFonts w:ascii="Times New Roman" w:hAnsi="Times New Roman" w:eastAsia="宋体"/>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png"/><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2026-10-14T00:33:42Z</dcterms:created>
  <dcterms:modified xsi:type="dcterms:W3CDTF">2026-10-14T00:33:42Z</dcterms:modified>
</cp:coreProperties>
</file>

<file path=docProps/custom.xml><?xml version="1.0" encoding="utf-8"?>
<Properties xmlns="http://schemas.openxmlformats.org/officeDocument/2006/custom-properties" xmlns:vt="http://schemas.openxmlformats.org/officeDocument/2006/docPropsVTypes"/>
</file>