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erdq高原肥胖gerd研究基于现有资料的数据分析与数据挖掘报告"/>
    <w:p>
      <w:pPr>
        <w:pStyle w:val="Heading1"/>
        <w:spacing w:before="240" w:after="120"/>
        <w:jc w:val="center"/>
      </w:pPr>
      <w:r>
        <w:rPr>
          <w:rFonts w:hint="eastAsia" w:ascii="Times New Roman" w:hAnsi="Times New Roman" w:cs="Times New Roman" w:eastAsia="黑体"/>
          <w:b/>
          <w:color w:val="000000"/>
          <w:sz w:val="32"/>
        </w:rPr>
        <w:t xml:space="preserve">GerdQ高原肥胖GERD研究：基于现有资料的数据分析与数据挖掘报告</w:t>
      </w:r>
    </w:p>
    <w:bookmarkStart w:id="9" w:name="一分析依据与方法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一、分析依据与方法</w:t>
      </w:r>
    </w:p>
    <w:p>
      <w:pPr>
        <w:pStyle w:val="FirstParagraph"/>
        <w:spacing w:line="360" w:lineRule="auto" w:after="60"/>
        <w:ind w:firstLine="420"/>
      </w:pPr>
      <w:r>
        <w:rPr>
          <w:rFonts w:hint="eastAsia" w:ascii="Times New Roman" w:hAnsi="Times New Roman" w:cs="Times New Roman" w:eastAsia="宋体"/>
          <w:sz w:val="21"/>
        </w:rPr>
        <w:t xml:space="preserve">作者确认，本研究可用的数据就是稿件已报告的内容，没有原始个体数据、LA分级明细或筛查记录。因此，本报告只做汇总水平的分析：</w:t>
      </w:r>
    </w:p>
    <w:p>
      <w:pPr>
        <w:pStyle w:val="Compact"/>
        <w:numPr>
          <w:ilvl w:val="0"/>
          <w:numId w:val="1001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一致性核查</w:t>
      </w:r>
      <w:r>
        <w:rPr>
          <w:rFonts w:hint="eastAsia" w:ascii="Times New Roman" w:hAnsi="Times New Roman" w:cs="Times New Roman" w:eastAsia="宋体"/>
          <w:sz w:val="21"/>
        </w:rPr>
        <w:t xml:space="preserve">：用稿件报告的频数、百分比、均数和回归系数，反推其余报告值，检查全文数据是否自洽。</w:t>
      </w:r>
    </w:p>
    <w:p>
      <w:pPr>
        <w:pStyle w:val="Compact"/>
        <w:numPr>
          <w:ilvl w:val="0"/>
          <w:numId w:val="1001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精确重建</w:t>
      </w:r>
      <w:r>
        <w:rPr>
          <w:rFonts w:hint="eastAsia" w:ascii="Times New Roman" w:hAnsi="Times New Roman" w:cs="Times New Roman" w:eastAsia="宋体"/>
          <w:sz w:val="21"/>
        </w:rPr>
        <w:t xml:space="preserve">：截断值表中的灵敏度、特异度、阳性预测值（PPV）和阴性预测值（NPV）可以唯一反推出各分值段的例数。其他表格中的百分比同样可以反推出交叉表。每一项重建都与原文全部报告值逐一核对，均相符。</w:t>
      </w:r>
    </w:p>
    <w:p>
      <w:pPr>
        <w:pStyle w:val="Compact"/>
        <w:numPr>
          <w:ilvl w:val="0"/>
          <w:numId w:val="1001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二次分析</w:t>
      </w:r>
      <w:r>
        <w:rPr>
          <w:rFonts w:hint="eastAsia" w:ascii="Times New Roman" w:hAnsi="Times New Roman" w:cs="Times New Roman" w:eastAsia="宋体"/>
          <w:sz w:val="21"/>
        </w:rPr>
        <w:t xml:space="preserve">：在重建的列联表上进行以下分析：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分层似然比（stratum-specific</w:t>
      </w:r>
      <w:r>
        <w:rPr>
          <w:rFonts w:ascii="Times New Roman" w:hAnsi="Times New Roman" w:cs="Times New Roman" w:eastAsia="宋体"/>
          <w:sz w:val="21"/>
        </w:rPr>
        <w:t xml:space="preserve"> likelihood </w:t>
      </w:r>
      <w:r>
        <w:rPr>
          <w:rFonts w:hint="eastAsia" w:ascii="Times New Roman" w:hAnsi="Times New Roman" w:cs="Times New Roman" w:eastAsia="宋体"/>
          <w:sz w:val="21"/>
        </w:rPr>
        <w:t xml:space="preserve">ratio，SSLR）和验后概率；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胃镜阴性亚组的分析；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不同诊断路径患者的疗效梯度（Cochran-Armitage趋势检验）；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PPI试验与4周疗效的一致性（Cohen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κ）；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症状变化的分解；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混杂敏感性分析（E值）；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模型区分度的置信区间重估（Hanley-McNeil法）；</w:t>
      </w:r>
    </w:p>
    <w:p>
      <w:pPr>
        <w:pStyle w:val="Compact"/>
        <w:numPr>
          <w:ilvl w:val="1"/>
          <w:numId w:val="100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后续研究的样本量估算。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全部计算由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data_mining/analysis.py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完成，可重复运行。各项结果分别见：</w:t>
      </w:r>
    </w:p>
    <w:p>
      <w:pPr>
        <w:pStyle w:val="Compact"/>
        <w:numPr>
          <w:ilvl w:val="0"/>
          <w:numId w:val="1003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核查明细：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data_mining/results/consistency_audit.csv</w:t>
      </w:r>
      <w:r>
        <w:rPr>
          <w:rFonts w:hint="eastAsia" w:ascii="Times New Roman" w:hAnsi="Times New Roman" w:cs="Times New Roman" w:eastAsia="宋体"/>
          <w:sz w:val="21"/>
        </w:rPr>
        <w:t xml:space="preserve">；</w:t>
      </w:r>
    </w:p>
    <w:p>
      <w:pPr>
        <w:pStyle w:val="Compact"/>
        <w:numPr>
          <w:ilvl w:val="0"/>
          <w:numId w:val="1003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重建的评分分布：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data_mining/results/reconstructed_score_by_gerd.csv</w:t>
      </w:r>
      <w:r>
        <w:rPr>
          <w:rFonts w:hint="eastAsia" w:ascii="Times New Roman" w:hAnsi="Times New Roman" w:cs="Times New Roman" w:eastAsia="宋体"/>
          <w:sz w:val="21"/>
        </w:rPr>
        <w:t xml:space="preserve">；</w:t>
      </w:r>
    </w:p>
    <w:p>
      <w:pPr>
        <w:pStyle w:val="Compact"/>
        <w:numPr>
          <w:ilvl w:val="0"/>
          <w:numId w:val="1003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全部数值结果：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data_mining/results/results.json</w:t>
      </w:r>
      <w:r>
        <w:rPr>
          <w:rFonts w:hint="eastAsia" w:ascii="Times New Roman" w:hAnsi="Times New Roman" w:cs="Times New Roman" w:eastAsia="宋体"/>
          <w:sz w:val="21"/>
        </w:rPr>
        <w:t xml:space="preserve">；</w:t>
      </w:r>
    </w:p>
    <w:p>
      <w:pPr>
        <w:pStyle w:val="Compact"/>
        <w:numPr>
          <w:ilvl w:val="0"/>
          <w:numId w:val="1003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图件：</w:t>
      </w:r>
      <w:r>
        <w:rPr>
          <w:rStyle w:val="VerbatimChar"/>
          <w:rFonts w:ascii="Times New Roman" w:hAnsi="Times New Roman" w:cs="Times New Roman" w:eastAsia="宋体"/>
          <w:sz w:val="21"/>
        </w:rPr>
        <w:t xml:space="preserve">data_mining/figures/</w:t>
      </w:r>
      <w:r>
        <w:rPr>
          <w:rFonts w:ascii="Times New Roman" w:hAnsi="Times New Roman" w:cs="Times New Roman" w:eastAsia="宋体"/>
          <w:sz w:val="21"/>
        </w:rPr>
        <w:t xml:space="preserve">。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本报告未做、也不能做的分析</w:t>
      </w:r>
      <w:r>
        <w:rPr>
          <w:rFonts w:hint="eastAsia" w:ascii="Times New Roman" w:hAnsi="Times New Roman" w:cs="Times New Roman" w:eastAsia="宋体"/>
          <w:sz w:val="21"/>
        </w:rPr>
        <w:t xml:space="preserve">：</w:t>
      </w:r>
    </w:p>
    <w:p>
      <w:pPr>
        <w:pStyle w:val="Compact"/>
        <w:numPr>
          <w:ilvl w:val="0"/>
          <w:numId w:val="1004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未虚构任何个体数据；</w:t>
      </w:r>
    </w:p>
    <w:p>
      <w:pPr>
        <w:pStyle w:val="Compact"/>
        <w:numPr>
          <w:ilvl w:val="0"/>
          <w:numId w:val="1004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不能重新拟合多因素模型；</w:t>
      </w:r>
    </w:p>
    <w:p>
      <w:pPr>
        <w:pStyle w:val="Compact"/>
        <w:numPr>
          <w:ilvl w:val="0"/>
          <w:numId w:val="1004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不能计算LA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B~D级例数、4GerdQ下降≥3分例数，以及SAKURAI标准的缓解率。</w:t>
      </w:r>
    </w:p>
    <w:bookmarkEnd w:id="9"/>
    <w:bookmarkStart w:id="10" w:name="二主要结论摘要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二、主要结论（摘要）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数据内部一致性良好。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共核查85项报告值，经四舍五入后全部相符。这说明稿件的统计结果彼此自洽，数据可信度较高。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GerdQ的诊断信息集中在两端。</w:t>
      </w:r>
    </w:p>
    <w:p>
      <w:pPr>
        <w:pStyle w:val="Compact"/>
        <w:numPr>
          <w:ilvl w:val="1"/>
          <w:numId w:val="1006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7分：分层似然比0.22，GERD概率由76.7%降至41.7%；</w:t>
      </w:r>
    </w:p>
    <w:p>
      <w:pPr>
        <w:pStyle w:val="Compact"/>
        <w:numPr>
          <w:ilvl w:val="1"/>
          <w:numId w:val="1006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8~9分：分层似然比0.76，95%CI跨过1，基本不提供诊断信息；</w:t>
      </w:r>
    </w:p>
    <w:p>
      <w:pPr>
        <w:pStyle w:val="Compact"/>
        <w:numPr>
          <w:ilvl w:val="1"/>
          <w:numId w:val="1006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≥10分：分层似然比2.13，GERD概率升至87.5%。</w:t>
      </w:r>
    </w:p>
    <w:p>
      <w:pPr>
        <w:pStyle w:val="Compact"/>
        <w:numPr>
          <w:ilvl w:val="1"/>
          <w:numId w:val="1006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因此，推荐界值≥8分在本人群中没有判别价值。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GerdQ≥10分的比例随诊断路径呈梯度变化。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胃镜异常者、胃镜阴性且PPI试验阳性者、两者均阴性者分别为71.8%、52.5%和29.2%（趋势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P</w:t>
      </w:r>
      <w:r>
        <w:rPr>
          <w:rFonts w:hint="eastAsia" w:ascii="Times New Roman" w:hAnsi="Times New Roman" w:cs="Times New Roman" w:eastAsia="宋体"/>
          <w:sz w:val="21"/>
        </w:rPr>
        <w:t xml:space="preserve">&lt;0.001）。即使只看胃镜阴性者，以GerdQ≥10分预测PPI试验阳性的灵敏度也仅52.5%，判别力有限。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4周症状改善率随诊断路径呈梯度变化。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上述三组分别为84.6%、65.0%和54.2%（趋势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P</w:t>
      </w:r>
      <w:r>
        <w:rPr>
          <w:rFonts w:hint="eastAsia" w:ascii="Times New Roman" w:hAnsi="Times New Roman" w:cs="Times New Roman" w:eastAsia="宋体"/>
          <w:sz w:val="21"/>
        </w:rPr>
        <w:t xml:space="preserve">=0.008）。这是原稿未报告的新发现，支持"酸相关表型对抑酸联合减重治疗反应更好"的解释。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PPI试验与4周疗效判断几乎不一致。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在胃镜阴性的64例中，κ=0.11（95%CI：−0.15~0.36）：</w:t>
      </w:r>
    </w:p>
    <w:p>
      <w:pPr>
        <w:pStyle w:val="Compact"/>
        <w:numPr>
          <w:ilvl w:val="1"/>
          <w:numId w:val="100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14例2周PPI试验阳性者，4周时4GerdQ下降为0；</w:t>
      </w:r>
    </w:p>
    <w:p>
      <w:pPr>
        <w:pStyle w:val="Compact"/>
        <w:numPr>
          <w:ilvl w:val="1"/>
          <w:numId w:val="100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13例PPI试验阴性者，4周时症状改善。</w:t>
      </w:r>
    </w:p>
    <w:p>
      <w:pPr>
        <w:pStyle w:val="Compact"/>
        <w:numPr>
          <w:ilvl w:val="1"/>
          <w:numId w:val="100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这提示两次评价所用的工具或时间点不同，或PPI试验本身信度不足，需要在方法中说明，并写入局限性。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症状下降几乎全部来自反流相关条目。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上腹痛与恶心两条的合计分数在治疗前后基本不变（3.95分对3.90分）。这支持以4GerdQ作为疗效指标。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减重和胃镜异常与疗效的关联，在面对未测混杂时较脆弱。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二者95%CI下限对应的E值仅1.38和1.32，中等强度的未测混杂（如依从性）即可使关联不再显著。</w:t>
      </w:r>
    </w:p>
    <w:p>
      <w:pPr>
        <w:pStyle w:val="Compact"/>
        <w:numPr>
          <w:ilvl w:val="0"/>
          <w:numId w:val="100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原稿列线图的验证指标需要更正。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原稿报告的"校正AUC</w:t>
      </w:r>
      <w:r>
        <w:rPr>
          <w:rFonts w:ascii="Times New Roman" w:hAnsi="Times New Roman" w:cs="Times New Roman" w:eastAsia="宋体"/>
          <w:sz w:val="21"/>
        </w:rPr>
        <w:t xml:space="preserve"> 95%CI </w:t>
      </w:r>
      <w:r>
        <w:rPr>
          <w:rFonts w:hint="eastAsia" w:ascii="Times New Roman" w:hAnsi="Times New Roman" w:cs="Times New Roman" w:eastAsia="宋体"/>
          <w:sz w:val="21"/>
        </w:rPr>
        <w:t xml:space="preserve">0.705~0.730"不是有效的置信区间，按Hanley-McNeil法重估约为0.61~0.82。事件数与候选变量数之比（EPV）为3.9，且减重幅度是治疗后才能获得的变量。因此维持修改稿的处理：删除列线图，仅报告关联分析。</w:t>
      </w:r>
    </w:p>
    <w:bookmarkEnd w:id="10"/>
    <w:bookmarkStart w:id="11" w:name="三数据一致性核查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三、数据一致性核查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3443"/>
        <w:gridCol w:w="1475"/>
        <w:gridCol w:w="3811"/>
      </w:tblGrid>
      <w:tr>
        <w:trPr>
          <w:tblHeader w:val="on"/>
        </w:trPr>
        <w:tc>
          <w:tcPr>
            <w:tcW w:type="dxa" w:w="344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核查内容</w:t>
            </w:r>
          </w:p>
        </w:tc>
        <w:tc>
          <w:tcPr>
            <w:tcW w:type="dxa" w:w="1476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核查项数</w:t>
            </w:r>
          </w:p>
        </w:tc>
        <w:tc>
          <w:tcPr>
            <w:tcW w:type="dxa" w:w="381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结果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截断值表（≥8~≥12分）的灵敏度、特异度、PPV、NPV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20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全部一致，可唯一反推各分值段例数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U值与AUC（AUC=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U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/(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n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₁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n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₀)=1 330/1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896=0.7015）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一致；按重建分布计算的AUC为0.700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≥10分的阳性和阴性似然比（2.13、0.54）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胃镜异常为结局时的灵敏度和特异度，以及两种结局下≥10分总人数（均为56例）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各条目频数表推算的均数和标准差（6个条目）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12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4GerdQ均数和总分均数等于各条目均数之和（6.11、10.06）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由条目方差推算的Cronbach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α（0.278、0.518；原文为0.281、0.515）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配对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t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值、下降值95%CI、6个Wilson置信区间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15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一致（CI相差0.01，属舍入误差）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改善组与GERD诊断交叉推算（72−59=13例，13/24=54.2%）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各肥胖组下降值和减重的加权合计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OR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及其95%CI、常数项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P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值、列线图赋分与概率范围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11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表1中5个χ²值、表5中2个连续性校正χ²值、胃镜和GERD与疗效的χ²值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一致；表1为未校正χ²，2×2表为连续性校正χ²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GerdQ≥8分人数（91例）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改善组与未改善组减重的加权均数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一致</w:t>
            </w:r>
          </w:p>
        </w:tc>
      </w:tr>
      <w:tr>
        <w:tc>
          <w:tcPr>
            <w:tcW w:type="dxa" w:w="34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bCs/>
                <w:sz w:val="18"/>
              </w:rPr>
              <w:t xml:space="preserve">合计</w:t>
            </w:r>
          </w:p>
        </w:tc>
        <w:tc>
          <w:tcPr>
            <w:tcW w:type="dxa" w:w="1476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bCs/>
                <w:sz w:val="18"/>
              </w:rPr>
              <w:t xml:space="preserve">85</w:t>
            </w:r>
          </w:p>
        </w:tc>
        <w:tc>
          <w:tcPr>
            <w:tcW w:type="dxa" w:w="381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bCs/>
                <w:sz w:val="18"/>
              </w:rPr>
              <w:t xml:space="preserve">全部一致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另有两项需在方法中说明，但不是数据错误：</w:t>
      </w:r>
    </w:p>
    <w:p>
      <w:pPr>
        <w:pStyle w:val="Compact"/>
        <w:numPr>
          <w:ilvl w:val="0"/>
          <w:numId w:val="1008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PPI试验人数</w:t>
      </w:r>
      <w:r>
        <w:rPr>
          <w:rFonts w:hint="eastAsia" w:ascii="Times New Roman" w:hAnsi="Times New Roman" w:cs="Times New Roman" w:eastAsia="宋体"/>
          <w:sz w:val="21"/>
        </w:rPr>
        <w:t xml:space="preserve">：PPI试验阳性共57例，而胃镜阴性且PPI试验阳性者为40例。可见胃镜异常者中至少有17例也做了PPI试验。若39例胃镜异常者都接受了试验，其阳性率只有43.6%，与其4周改善率84.6%明显不符。这一点需要在方法中说明。</w:t>
      </w:r>
    </w:p>
    <w:p>
      <w:pPr>
        <w:pStyle w:val="Compact"/>
        <w:numPr>
          <w:ilvl w:val="0"/>
          <w:numId w:val="1008"/>
        </w:numPr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上腹痛、恶心的计分方向</w:t>
      </w:r>
      <w:r>
        <w:rPr>
          <w:rFonts w:hint="eastAsia" w:ascii="Times New Roman" w:hAnsi="Times New Roman" w:cs="Times New Roman" w:eastAsia="宋体"/>
          <w:sz w:val="21"/>
        </w:rPr>
        <w:t xml:space="preserve">：这两条与反流条目呈弱负相关（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r</w:t>
      </w:r>
      <w:r>
        <w:rPr>
          <w:rFonts w:hint="eastAsia" w:ascii="Times New Roman" w:hAnsi="Times New Roman" w:cs="Times New Roman" w:eastAsia="宋体"/>
          <w:sz w:val="21"/>
        </w:rPr>
        <w:t xml:space="preserve">ₛ=−0.240~0.113）。如果按GerdQ标准反向计分（高分表示症状天数少），这一结果意味着反流症状越多的患者上腹痛、恶心也越多，符合症状重叠的一般规律，与反向计分相符。但这只是间接证据，计分方向仍需作者确认。</w:t>
      </w:r>
    </w:p>
    <w:bookmarkEnd w:id="11"/>
    <w:bookmarkStart w:id="15" w:name="四诊断效能的挖掘结果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四、诊断效能的挖掘结果</w:t>
      </w:r>
    </w:p>
    <w:bookmarkStart w:id="12" w:name="由截断值表精确重建的评分分布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4.1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由截断值表精确重建的评分分布</w:t>
      </w:r>
    </w:p>
    <w:p>
      <w:pPr>
        <w:pStyle w:val="FirstParagraph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表A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基线GerdQ总分与GERD复合诊断的交叉分布（由截断值表反推）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2091"/>
        <w:gridCol w:w="1699"/>
        <w:gridCol w:w="1699"/>
        <w:gridCol w:w="1568"/>
        <w:gridCol w:w="1672"/>
      </w:tblGrid>
      <w:tr>
        <w:trPr>
          <w:tblHeader w:val="on"/>
        </w:trPr>
        <w:tc>
          <w:tcPr>
            <w:tcW w:type="dxa" w:w="209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GerdQ总分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GERD阳性（例）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GERD阴性（例）</w:t>
            </w:r>
          </w:p>
        </w:tc>
        <w:tc>
          <w:tcPr>
            <w:tcW w:type="dxa" w:w="156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合计（例）</w:t>
            </w:r>
          </w:p>
        </w:tc>
        <w:tc>
          <w:tcPr>
            <w:tcW w:type="dxa" w:w="167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GERD比例（%）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12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41.7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12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75.0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16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23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69.6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15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17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88.2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11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77.8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≥12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27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30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90.0</w:t>
            </w:r>
          </w:p>
        </w:tc>
      </w:tr>
      <w:tr>
        <w:tc>
          <w:tcPr>
            <w:tcW w:type="dxa" w:w="209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合计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79</w:t>
            </w:r>
          </w:p>
        </w:tc>
        <w:tc>
          <w:tcPr>
            <w:tcW w:type="dxa" w:w="169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24</w:t>
            </w:r>
          </w:p>
        </w:tc>
        <w:tc>
          <w:tcPr>
            <w:tcW w:type="dxa" w:w="156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103</w:t>
            </w:r>
          </w:p>
        </w:tc>
        <w:tc>
          <w:tcPr>
            <w:tcW w:type="dxa" w:w="167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76.7</w:t>
            </w:r>
          </w:p>
        </w:tc>
      </w:tr>
    </w:tbl>
    <w:p>
      <w:pPr>
        <w:pStyle w:val="BodyText"/>
        <w:spacing w:line="360" w:lineRule="auto" w:after="60"/>
        <w:ind w:firstLine="420"/>
      </w:pPr>
      <w:r>
        <w:rPr>
          <w:rFonts w:hint="eastAsia" w:ascii="Times New Roman" w:hAnsi="Times New Roman" w:cs="Times New Roman" w:eastAsia="宋体"/>
          <w:sz w:val="21"/>
        </w:rPr>
        <w:t xml:space="preserve">重建分布的中位数为10分，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Q</w:t>
      </w:r>
      <w:r>
        <w:rPr>
          <w:rFonts w:hint="eastAsia" w:ascii="Times New Roman" w:hAnsi="Times New Roman" w:cs="Times New Roman" w:eastAsia="宋体"/>
          <w:sz w:val="21"/>
        </w:rPr>
        <w:t xml:space="preserve">₁为9分，与原文报告的“10（9，12）分”一致。GERD比例随分值升高而增加（趋势χ²=9.12，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P</w:t>
      </w:r>
      <w:r>
        <w:rPr>
          <w:rFonts w:hint="eastAsia" w:ascii="Times New Roman" w:hAnsi="Times New Roman" w:cs="Times New Roman" w:eastAsia="宋体"/>
          <w:sz w:val="21"/>
        </w:rPr>
        <w:t xml:space="preserve">=0.003）。按重建分布计算的AUC为0.700，DeLong法95%CI为0.579~0.821，与原文Bootstrap所得的0.580~0.819几乎相同。</w:t>
      </w:r>
    </w:p>
    <w:bookmarkEnd w:id="12"/>
    <w:bookmarkStart w:id="13" w:name="分层似然比与验后概率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4.2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分层似然比与验后概率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GerdQ逐分的似然比不单调，例如10分为2.28，11分为1.06，原因是各分值例数很少。因此合并为3个区间计算。</w:t>
      </w:r>
    </w:p>
    <w:p>
      <w:pPr>
        <w:pStyle w:val="BodyText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表B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GerdQ分层似然比及不同验前概率下的验后概率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580"/>
        <w:gridCol w:w="1619"/>
        <w:gridCol w:w="1975"/>
        <w:gridCol w:w="1185"/>
        <w:gridCol w:w="1185"/>
        <w:gridCol w:w="1185"/>
      </w:tblGrid>
      <w:tr>
        <w:trPr>
          <w:tblHeader w:val="on"/>
        </w:trPr>
        <w:tc>
          <w:tcPr>
            <w:tcW w:type="dxa" w:w="158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GerdQ区间</w:t>
            </w:r>
          </w:p>
        </w:tc>
        <w:tc>
          <w:tcPr>
            <w:tcW w:type="dxa" w:w="162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GERD阳性/阴性（例）</w:t>
            </w:r>
          </w:p>
        </w:tc>
        <w:tc>
          <w:tcPr>
            <w:tcW w:type="dxa" w:w="197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分层似然比（95%CI）</w:t>
            </w:r>
          </w:p>
        </w:tc>
        <w:tc>
          <w:tcPr>
            <w:tcW w:type="dxa" w:w="118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本组验后概率</w:t>
            </w:r>
          </w:p>
        </w:tc>
        <w:tc>
          <w:tcPr>
            <w:tcW w:type="dxa" w:w="118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验前30%时</w:t>
            </w:r>
          </w:p>
        </w:tc>
        <w:tc>
          <w:tcPr>
            <w:tcW w:type="dxa" w:w="1185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验前50%时</w:t>
            </w:r>
          </w:p>
        </w:tc>
      </w:tr>
      <w:tr>
        <w:tc>
          <w:tcPr>
            <w:tcW w:type="dxa" w:w="158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7分</w:t>
            </w:r>
          </w:p>
        </w:tc>
        <w:tc>
          <w:tcPr>
            <w:tcW w:type="dxa" w:w="162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5/7</w:t>
            </w:r>
          </w:p>
        </w:tc>
        <w:tc>
          <w:tcPr>
            <w:tcW w:type="dxa" w:w="197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0.22（0.08~0.62）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41.7%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8.5%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17.8%</w:t>
            </w:r>
          </w:p>
        </w:tc>
      </w:tr>
      <w:tr>
        <w:tc>
          <w:tcPr>
            <w:tcW w:type="dxa" w:w="158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8~9分</w:t>
            </w:r>
          </w:p>
        </w:tc>
        <w:tc>
          <w:tcPr>
            <w:tcW w:type="dxa" w:w="162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25/10</w:t>
            </w:r>
          </w:p>
        </w:tc>
        <w:tc>
          <w:tcPr>
            <w:tcW w:type="dxa" w:w="197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0.76（0.43~1.35）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71.4%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24.6%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43.2%</w:t>
            </w:r>
          </w:p>
        </w:tc>
      </w:tr>
      <w:tr>
        <w:tc>
          <w:tcPr>
            <w:tcW w:type="dxa" w:w="158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≥10分</w:t>
            </w:r>
          </w:p>
        </w:tc>
        <w:tc>
          <w:tcPr>
            <w:tcW w:type="dxa" w:w="162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49/7</w:t>
            </w:r>
          </w:p>
        </w:tc>
        <w:tc>
          <w:tcPr>
            <w:tcW w:type="dxa" w:w="197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2.13（1.11~4.06）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87.5%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47.7%</w:t>
            </w:r>
          </w:p>
        </w:tc>
        <w:tc>
          <w:tcPr>
            <w:tcW w:type="dxa" w:w="1185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68.0%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解读：</w:t>
      </w:r>
    </w:p>
    <w:p>
      <w:pPr>
        <w:pStyle w:val="Compact"/>
        <w:numPr>
          <w:ilvl w:val="0"/>
          <w:numId w:val="1009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≥8分这一推荐界值把8~9分患者也归为阳性，但这一区间的似然比95%CI跨过1，不提供有效诊断信息。这是≥8分特异度只有29.2%的直接原因。</w:t>
      </w:r>
    </w:p>
    <w:p>
      <w:pPr>
        <w:pStyle w:val="Compact"/>
        <w:numPr>
          <w:ilvl w:val="0"/>
          <w:numId w:val="1009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本人群的GerdQ更适合按三档解读：</w:t>
      </w:r>
    </w:p>
    <w:p>
      <w:pPr>
        <w:pStyle w:val="Compact"/>
        <w:numPr>
          <w:ilvl w:val="1"/>
          <w:numId w:val="1010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≤7分时GERD可能性明显降低；</w:t>
      </w:r>
    </w:p>
    <w:p>
      <w:pPr>
        <w:pStyle w:val="Compact"/>
        <w:numPr>
          <w:ilvl w:val="1"/>
          <w:numId w:val="1010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8~9分为灰区，需要结合胃镜和PPI试验判断；</w:t>
      </w:r>
    </w:p>
    <w:p>
      <w:pPr>
        <w:pStyle w:val="Compact"/>
        <w:numPr>
          <w:ilvl w:val="1"/>
          <w:numId w:val="1010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≥10分时GERD可能性升高。</w:t>
      </w:r>
    </w:p>
    <w:p>
      <w:pPr>
        <w:pStyle w:val="Compact"/>
        <w:numPr>
          <w:ilvl w:val="0"/>
          <w:numId w:val="1009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由于入组要求GerdQ≥7分，7分组只有12例，上述似然比的置信区间较宽，需要外部验证。</w:t>
      </w:r>
    </w:p>
    <w:bookmarkEnd w:id="13"/>
    <w:bookmarkStart w:id="14" w:name="按诊断路径的分层与胃镜阴性亚组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4.3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按诊断路径的分层与胃镜阴性亚组</w:t>
      </w:r>
    </w:p>
    <w:p>
      <w:pPr>
        <w:pStyle w:val="FirstParagraph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表C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不同诊断路径患者中GerdQ≥10分的比例</w:t>
      </w:r>
    </w:p>
    <w:tbl>
      <w:tblPr>
        <w:jc w:val="center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2901"/>
        <w:gridCol w:w="2652"/>
        <w:gridCol w:w="3177"/>
      </w:tblGrid>
      <w:tr>
        <w:trPr>
          <w:tblHeader w:val="on"/>
        </w:trPr>
        <w:tc>
          <w:tcPr>
            <w:tcW w:type="dxa" w:w="290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诊断路径</w:t>
            </w:r>
          </w:p>
        </w:tc>
        <w:tc>
          <w:tcPr>
            <w:tcW w:type="dxa" w:w="265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GerdQ≥10分（例/总数）</w:t>
            </w:r>
          </w:p>
        </w:tc>
        <w:tc>
          <w:tcPr>
            <w:tcW w:type="dxa" w:w="317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比例（95%CI）</w:t>
            </w:r>
          </w:p>
        </w:tc>
      </w:tr>
      <w:tr>
        <w:tc>
          <w:tcPr>
            <w:tcW w:type="dxa" w:w="29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</w:t>
            </w:r>
          </w:p>
        </w:tc>
        <w:tc>
          <w:tcPr>
            <w:tcW w:type="dxa" w:w="265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28/39</w:t>
            </w:r>
          </w:p>
        </w:tc>
        <w:tc>
          <w:tcPr>
            <w:tcW w:type="dxa" w:w="3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71.8%（56.2%~83.5%）</w:t>
            </w:r>
          </w:p>
        </w:tc>
      </w:tr>
      <w:tr>
        <w:tc>
          <w:tcPr>
            <w:tcW w:type="dxa" w:w="29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胃镜阴性、PPI试验阳性</w:t>
            </w:r>
          </w:p>
        </w:tc>
        <w:tc>
          <w:tcPr>
            <w:tcW w:type="dxa" w:w="265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21/40</w:t>
            </w:r>
          </w:p>
        </w:tc>
        <w:tc>
          <w:tcPr>
            <w:tcW w:type="dxa" w:w="3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52.5%（37.5%~67.1%）</w:t>
            </w:r>
          </w:p>
        </w:tc>
      </w:tr>
      <w:tr>
        <w:tc>
          <w:tcPr>
            <w:tcW w:type="dxa" w:w="290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胃镜阴性、PPI试验阴性</w:t>
            </w:r>
          </w:p>
        </w:tc>
        <w:tc>
          <w:tcPr>
            <w:tcW w:type="dxa" w:w="265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7/24</w:t>
            </w:r>
          </w:p>
        </w:tc>
        <w:tc>
          <w:tcPr>
            <w:tcW w:type="dxa" w:w="317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29.2%（14.9%~49.2%）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三组比例呈梯度下降（Cochran-Armitage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Z</w:t>
      </w:r>
      <w:r>
        <w:rPr>
          <w:rFonts w:hint="eastAsia" w:ascii="Times New Roman" w:hAnsi="Times New Roman" w:cs="Times New Roman" w:eastAsia="宋体"/>
          <w:sz w:val="21"/>
        </w:rPr>
        <w:t xml:space="preserve">=3.31，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P</w:t>
      </w:r>
      <w:r>
        <w:rPr>
          <w:rFonts w:hint="eastAsia" w:ascii="Times New Roman" w:hAnsi="Times New Roman" w:cs="Times New Roman" w:eastAsia="宋体"/>
          <w:sz w:val="21"/>
        </w:rPr>
        <w:t xml:space="preserve">&lt;0.001）。</w:t>
      </w:r>
    </w:p>
    <w:p>
      <w:pPr>
        <w:pStyle w:val="BodyText"/>
        <w:spacing w:line="360" w:lineRule="auto" w:after="60"/>
        <w:ind w:firstLine="420"/>
      </w:pPr>
      <w:r>
        <w:rPr>
          <w:rFonts w:hint="eastAsia" w:ascii="Times New Roman" w:hAnsi="Times New Roman" w:cs="Times New Roman" w:eastAsia="宋体"/>
          <w:sz w:val="21"/>
        </w:rPr>
        <w:t xml:space="preserve">在胃镜阴性的64例中，所有患者都走同一条确诊路径（PPI试验），因此可以避免"胃镜阳性者不再做PPI试验"带来的部分偏倚。在这一亚组中，以GerdQ≥10分识别PPI试验阳性：</w:t>
      </w:r>
    </w:p>
    <w:p>
      <w:pPr>
        <w:pStyle w:val="Compact"/>
        <w:numPr>
          <w:ilvl w:val="0"/>
          <w:numId w:val="1011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灵敏度52.5%（95%CI：37.5%~67.1%）；</w:t>
      </w:r>
    </w:p>
    <w:p>
      <w:pPr>
        <w:pStyle w:val="Compact"/>
        <w:numPr>
          <w:ilvl w:val="0"/>
          <w:numId w:val="1011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特异度70.8%（95%CI：50.8%~85.1%）；</w:t>
      </w:r>
    </w:p>
    <w:p>
      <w:pPr>
        <w:pStyle w:val="Compact"/>
        <w:numPr>
          <w:ilvl w:val="0"/>
          <w:numId w:val="1011"/>
        </w:numPr>
        <w:spacing w:line="360" w:lineRule="auto" w:after="60"/>
      </w:pPr>
      <w:r>
        <w:rPr>
          <w:rFonts w:ascii="Times New Roman" w:hAnsi="Times New Roman" w:cs="Times New Roman" w:eastAsia="宋体"/>
          <w:i/>
          <w:iCs/>
          <w:sz w:val="21"/>
        </w:rPr>
        <w:t xml:space="preserve">OR</w:t>
      </w:r>
      <w:r>
        <w:rPr>
          <w:rFonts w:hint="eastAsia" w:ascii="Times New Roman" w:hAnsi="Times New Roman" w:cs="Times New Roman" w:eastAsia="宋体"/>
          <w:sz w:val="21"/>
        </w:rPr>
        <w:t xml:space="preserve">=2.68，Fisher确切概率法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P</w:t>
      </w:r>
      <w:r>
        <w:rPr>
          <w:rFonts w:ascii="Times New Roman" w:hAnsi="Times New Roman" w:cs="Times New Roman" w:eastAsia="宋体"/>
          <w:sz w:val="21"/>
        </w:rPr>
        <w:t xml:space="preserve">=0.077。</w:t>
      </w:r>
    </w:p>
    <w:p>
      <w:pPr>
        <w:pStyle w:val="FirstParagraph"/>
        <w:spacing w:line="360" w:lineRule="auto" w:after="60"/>
        <w:ind w:firstLine="420"/>
      </w:pPr>
      <w:r>
        <w:rPr>
          <w:rFonts w:hint="eastAsia" w:ascii="Times New Roman" w:hAnsi="Times New Roman" w:cs="Times New Roman" w:eastAsia="宋体"/>
          <w:sz w:val="21"/>
        </w:rPr>
        <w:t xml:space="preserve">这说明在胃镜阴性者中，GerdQ对酸相关症状的识别能力更弱。全人群AUC=0.701，其中相当一部分来自胃镜异常者的高评分。</w:t>
      </w:r>
    </w:p>
    <w:bookmarkEnd w:id="14"/>
    <w:bookmarkEnd w:id="15"/>
    <w:bookmarkStart w:id="21" w:name="五疗效相关的挖掘结果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五、疗效相关的挖掘结果</w:t>
      </w:r>
    </w:p>
    <w:bookmarkStart w:id="16" w:name="不同诊断路径的4周症状改善率新发现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5.1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不同诊断路径的4周症状改善率（新发现）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改善组72例中，GERD阳性59例，其中胃镜异常33例。由此可推出：</w:t>
      </w:r>
    </w:p>
    <w:p>
      <w:pPr>
        <w:pStyle w:val="Compact"/>
        <w:numPr>
          <w:ilvl w:val="0"/>
          <w:numId w:val="101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胃镜阴性且PPI试验阳性者中改善26例（59−33）；</w:t>
      </w:r>
    </w:p>
    <w:p>
      <w:pPr>
        <w:pStyle w:val="Compact"/>
        <w:numPr>
          <w:ilvl w:val="0"/>
          <w:numId w:val="1012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GERD阴性者中改善13例（72−59）。</w:t>
      </w:r>
    </w:p>
    <w:p>
      <w:pPr>
        <w:pStyle w:val="FirstParagraph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表D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不同诊断路径患者4周症状改善率</w:t>
      </w:r>
    </w:p>
    <w:tbl>
      <w:tblPr>
        <w:jc w:val="center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3250"/>
        <w:gridCol w:w="1919"/>
        <w:gridCol w:w="3560"/>
      </w:tblGrid>
      <w:tr>
        <w:trPr>
          <w:tblHeader w:val="on"/>
        </w:trPr>
        <w:tc>
          <w:tcPr>
            <w:tcW w:type="dxa" w:w="325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诊断路径</w:t>
            </w:r>
          </w:p>
        </w:tc>
        <w:tc>
          <w:tcPr>
            <w:tcW w:type="dxa" w:w="192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改善（例/总数）</w:t>
            </w:r>
          </w:p>
        </w:tc>
        <w:tc>
          <w:tcPr>
            <w:tcW w:type="dxa" w:w="356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改善率（95%CI）</w:t>
            </w:r>
          </w:p>
        </w:tc>
      </w:tr>
      <w:tr>
        <w:tc>
          <w:tcPr>
            <w:tcW w:type="dxa" w:w="325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</w:t>
            </w:r>
          </w:p>
        </w:tc>
        <w:tc>
          <w:tcPr>
            <w:tcW w:type="dxa" w:w="192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33/39</w:t>
            </w:r>
          </w:p>
        </w:tc>
        <w:tc>
          <w:tcPr>
            <w:tcW w:type="dxa" w:w="356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84.6%（70.3%~92.8%）</w:t>
            </w:r>
          </w:p>
        </w:tc>
      </w:tr>
      <w:tr>
        <w:tc>
          <w:tcPr>
            <w:tcW w:type="dxa" w:w="325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胃镜阴性、PPI试验阳性</w:t>
            </w:r>
          </w:p>
        </w:tc>
        <w:tc>
          <w:tcPr>
            <w:tcW w:type="dxa" w:w="192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26/40</w:t>
            </w:r>
          </w:p>
        </w:tc>
        <w:tc>
          <w:tcPr>
            <w:tcW w:type="dxa" w:w="356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65.0%（49.5%~77.9%）</w:t>
            </w:r>
          </w:p>
        </w:tc>
      </w:tr>
      <w:tr>
        <w:tc>
          <w:tcPr>
            <w:tcW w:type="dxa" w:w="325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胃镜阴性、PPI试验阴性</w:t>
            </w:r>
          </w:p>
        </w:tc>
        <w:tc>
          <w:tcPr>
            <w:tcW w:type="dxa" w:w="192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13/24</w:t>
            </w:r>
          </w:p>
        </w:tc>
        <w:tc>
          <w:tcPr>
            <w:tcW w:type="dxa" w:w="356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54.2%（35.1%~72.1%）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三组改善率呈梯度下降（Cochran-Armitage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Z</w:t>
      </w:r>
      <w:r>
        <w:rPr>
          <w:rFonts w:hint="eastAsia" w:ascii="Times New Roman" w:hAnsi="Times New Roman" w:cs="Times New Roman" w:eastAsia="宋体"/>
          <w:sz w:val="21"/>
        </w:rPr>
        <w:t xml:space="preserve">=2.66，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P</w:t>
      </w:r>
      <w:r>
        <w:rPr>
          <w:rFonts w:hint="eastAsia" w:ascii="Times New Roman" w:hAnsi="Times New Roman" w:cs="Times New Roman" w:eastAsia="宋体"/>
          <w:sz w:val="21"/>
        </w:rPr>
        <w:t xml:space="preserve">=0.008）。胃镜异常与症状改善的关联如下：</w:t>
      </w:r>
    </w:p>
    <w:p>
      <w:pPr>
        <w:pStyle w:val="Compact"/>
        <w:numPr>
          <w:ilvl w:val="0"/>
          <w:numId w:val="1013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粗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OR</w:t>
      </w:r>
      <w:r>
        <w:rPr>
          <w:rFonts w:hint="eastAsia" w:ascii="Times New Roman" w:hAnsi="Times New Roman" w:cs="Times New Roman" w:eastAsia="宋体"/>
          <w:sz w:val="21"/>
        </w:rPr>
        <w:t xml:space="preserve">=3.53，改善率之比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RR</w:t>
      </w:r>
      <w:r>
        <w:rPr>
          <w:rFonts w:hint="eastAsia" w:ascii="Times New Roman" w:hAnsi="Times New Roman" w:cs="Times New Roman" w:eastAsia="宋体"/>
          <w:sz w:val="21"/>
        </w:rPr>
        <w:t xml:space="preserve">=1.39；</w:t>
      </w:r>
    </w:p>
    <w:p>
      <w:pPr>
        <w:pStyle w:val="Compact"/>
        <w:numPr>
          <w:ilvl w:val="0"/>
          <w:numId w:val="1013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调整减重幅度后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OR</w:t>
      </w:r>
      <w:r>
        <w:rPr>
          <w:rFonts w:hint="eastAsia" w:ascii="Times New Roman" w:hAnsi="Times New Roman" w:cs="Times New Roman" w:eastAsia="宋体"/>
          <w:sz w:val="21"/>
        </w:rPr>
        <w:t xml:space="preserve">=3.20，说明减重幅度对这一关联的混杂很小。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PPI试验阴性的24例中仍有54.2%在4周时改善，可能反映以下因素：</w:t>
      </w:r>
    </w:p>
    <w:p>
      <w:pPr>
        <w:pStyle w:val="Compact"/>
        <w:numPr>
          <w:ilvl w:val="0"/>
          <w:numId w:val="1014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安慰剂效应和回归均值；</w:t>
      </w:r>
    </w:p>
    <w:p>
      <w:pPr>
        <w:pStyle w:val="Compact"/>
        <w:numPr>
          <w:ilvl w:val="0"/>
          <w:numId w:val="1014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减重或饮食调整的作用；</w:t>
      </w:r>
    </w:p>
    <w:p>
      <w:pPr>
        <w:pStyle w:val="Compact"/>
        <w:numPr>
          <w:ilvl w:val="0"/>
          <w:numId w:val="1014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4GerdQ下降≥1分这一标准过于宽松。</w:t>
      </w:r>
    </w:p>
    <w:bookmarkEnd w:id="16"/>
    <w:bookmarkStart w:id="17" w:name="ppi试验与4周疗效的一致性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5.2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PPI试验与4周疗效的一致性</w:t>
      </w:r>
    </w:p>
    <w:p>
      <w:pPr>
        <w:pStyle w:val="FirstParagraph"/>
        <w:spacing w:line="360" w:lineRule="auto" w:after="60"/>
        <w:jc w:val="center"/>
      </w:pP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表E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　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胃镜阴性者14</w:t>
      </w:r>
      <w:r>
        <w:rPr>
          <w:rFonts w:ascii="Times New Roman" w:hAnsi="Times New Roman" w:cs="Times New Roman" w:eastAsia="黑体"/>
          <w:b/>
          <w:bCs/>
          <w:sz w:val="18"/>
        </w:rPr>
        <w:t xml:space="preserve"> d 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PPI试验结果与4周症状改善的交叉表（</w:t>
      </w:r>
      <w:r>
        <w:rPr>
          <w:rFonts w:ascii="Times New Roman" w:hAnsi="Times New Roman" w:cs="Times New Roman" w:eastAsia="黑体"/>
          <w:b/>
          <w:bCs/>
          <w:i/>
          <w:iCs/>
          <w:sz w:val="18"/>
        </w:rPr>
        <w:t xml:space="preserve">n</w:t>
      </w:r>
      <w:r>
        <w:rPr>
          <w:rFonts w:hint="eastAsia" w:ascii="Times New Roman" w:hAnsi="Times New Roman" w:cs="Times New Roman" w:eastAsia="黑体"/>
          <w:b/>
          <w:bCs/>
          <w:sz w:val="18"/>
        </w:rPr>
        <w:t xml:space="preserve">=64）</w:t>
      </w:r>
    </w:p>
    <w:tbl>
      <w:tblPr>
        <w:jc w:val="center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3492"/>
        <w:gridCol w:w="2619"/>
        <w:gridCol w:w="2619"/>
      </w:tblGrid>
      <w:tr>
        <w:trPr>
          <w:tblHeader w:val="on"/>
        </w:trPr>
        <w:tc>
          <w:tcPr>
            <w:tcW w:type="dxa" w:w="3492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</w:p>
        </w:tc>
        <w:tc>
          <w:tcPr>
            <w:tcW w:type="dxa" w:w="261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4周改善</w:t>
            </w:r>
          </w:p>
        </w:tc>
        <w:tc>
          <w:tcPr>
            <w:tcW w:type="dxa" w:w="2619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4周未改善</w:t>
            </w:r>
          </w:p>
        </w:tc>
      </w:tr>
      <w:tr>
        <w:tc>
          <w:tcPr>
            <w:tcW w:type="dxa" w:w="349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PPI试验阳性</w:t>
            </w:r>
          </w:p>
        </w:tc>
        <w:tc>
          <w:tcPr>
            <w:tcW w:type="dxa" w:w="261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26</w:t>
            </w:r>
          </w:p>
        </w:tc>
        <w:tc>
          <w:tcPr>
            <w:tcW w:type="dxa" w:w="261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14</w:t>
            </w:r>
          </w:p>
        </w:tc>
      </w:tr>
      <w:tr>
        <w:tc>
          <w:tcPr>
            <w:tcW w:type="dxa" w:w="3492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PPI试验阴性</w:t>
            </w:r>
          </w:p>
        </w:tc>
        <w:tc>
          <w:tcPr>
            <w:tcW w:type="dxa" w:w="261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13</w:t>
            </w:r>
          </w:p>
        </w:tc>
        <w:tc>
          <w:tcPr>
            <w:tcW w:type="dxa" w:w="2619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11</w:t>
            </w:r>
          </w:p>
        </w:tc>
      </w:tr>
    </w:tbl>
    <w:p>
      <w:pPr>
        <w:pStyle w:val="BodyText"/>
        <w:spacing w:line="360" w:lineRule="auto" w:after="60"/>
        <w:ind w:firstLine="420"/>
      </w:pPr>
      <w:r>
        <w:rPr>
          <w:rFonts w:hint="eastAsia" w:ascii="Times New Roman" w:hAnsi="Times New Roman" w:cs="Times New Roman" w:eastAsia="宋体"/>
          <w:sz w:val="21"/>
        </w:rPr>
        <w:t xml:space="preserve">两次判断的一致率为57.8%，κ=0.11（95%CI：−0.15~0.36），一致性很差。最需要解释的是14例患者：PPI试验阳性（2周时症状改善≥50%），但4周时4GerdQ下降为0。可能的原因包括：</w:t>
      </w:r>
    </w:p>
    <w:p>
      <w:pPr>
        <w:pStyle w:val="Compact"/>
        <w:numPr>
          <w:ilvl w:val="0"/>
          <w:numId w:val="101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PPI试验与4周疗效采用了不同的评价工具；</w:t>
      </w:r>
    </w:p>
    <w:p>
      <w:pPr>
        <w:pStyle w:val="Compact"/>
        <w:numPr>
          <w:ilvl w:val="0"/>
          <w:numId w:val="101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基线4GerdQ的评估时间点在PPI试验之后；</w:t>
      </w:r>
    </w:p>
    <w:p>
      <w:pPr>
        <w:pStyle w:val="Compact"/>
        <w:numPr>
          <w:ilvl w:val="0"/>
          <w:numId w:val="1015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症状评价的测量信度不足。4条目α=0.518，条目间平均相关只有0.22。</w:t>
      </w:r>
    </w:p>
    <w:p>
      <w:pPr>
        <w:pStyle w:val="FirstParagraph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建议在方法中写明PPI试验的评价工具和基线评估时间点，并把这一不一致写入局限性。修改稿已在讨论中写入。</w:t>
      </w:r>
    </w:p>
    <w:bookmarkEnd w:id="17"/>
    <w:bookmarkStart w:id="18" w:name="症状变化的分解与效应量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5.3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症状变化的分解与效应量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4143"/>
        <w:gridCol w:w="4587"/>
      </w:tblGrid>
      <w:tr>
        <w:trPr>
          <w:tblHeader w:val="on"/>
        </w:trPr>
        <w:tc>
          <w:tcPr>
            <w:tcW w:type="dxa" w:w="414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指标</w:t>
            </w:r>
          </w:p>
        </w:tc>
        <w:tc>
          <w:tcPr>
            <w:tcW w:type="dxa" w:w="458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结果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4GerdQ下降值（全体）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1.65±1.67分；配对效应量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d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_z=0.99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改善组的下降值（未改善者均为0分）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2.36±1.52分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上腹痛+恶心两条合计（治疗前→治疗后）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3.95分→3.90分（变化0.05分）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无患者评分升高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Wilcoxon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W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=0，与"未改善者下降值均为0"一致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下降≥3分的例数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无法确定。在已知总和与平方和的约束下，可能取值为4~44例，因此不在修改稿中报告具体数值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GerdQ总分的下降（1.70分）几乎全部由4个阳性预测条目贡献（1.65分），上腹痛和恶心条目基本不变。这一结果：</w:t>
      </w:r>
    </w:p>
    <w:p>
      <w:pPr>
        <w:pStyle w:val="Compact"/>
        <w:numPr>
          <w:ilvl w:val="0"/>
          <w:numId w:val="1016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与GerdQ的设计一致：上腹痛和恶心用于识别非反流症状，不随抑酸治疗变化；</w:t>
      </w:r>
    </w:p>
    <w:p>
      <w:pPr>
        <w:pStyle w:val="Compact"/>
        <w:numPr>
          <w:ilvl w:val="0"/>
          <w:numId w:val="1016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也说明以4GerdQ而非总分评价疗效是合适的。</w:t>
      </w:r>
    </w:p>
    <w:bookmarkEnd w:id="18"/>
    <w:bookmarkStart w:id="19" w:name="减重与胃镜异常的效应量与e值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5.4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减重与胃镜异常的效应量与E值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1689"/>
        <w:gridCol w:w="1877"/>
        <w:gridCol w:w="2910"/>
        <w:gridCol w:w="1126"/>
        <w:gridCol w:w="1126"/>
      </w:tblGrid>
      <w:tr>
        <w:trPr>
          <w:tblHeader w:val="on"/>
        </w:trPr>
        <w:tc>
          <w:tcPr>
            <w:tcW w:type="dxa" w:w="169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因素</w:t>
            </w:r>
          </w:p>
        </w:tc>
        <w:tc>
          <w:tcPr>
            <w:tcW w:type="dxa" w:w="1878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b/>
                <w:i/>
                <w:iCs/>
                <w:sz w:val="18"/>
              </w:rPr>
              <w:t xml:space="preserve">OR</w:t>
            </w: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（95%CI）</w:t>
            </w:r>
          </w:p>
        </w:tc>
        <w:tc>
          <w:tcPr>
            <w:tcW w:type="dxa" w:w="291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效应量</w:t>
            </w:r>
          </w:p>
        </w:tc>
        <w:tc>
          <w:tcPr>
            <w:tcW w:type="dxa" w:w="112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E值（点估计）</w:t>
            </w:r>
          </w:p>
        </w:tc>
        <w:tc>
          <w:tcPr>
            <w:tcW w:type="dxa" w:w="112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E值（CI下限）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减重幅度（每1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kg）</w:t>
            </w:r>
          </w:p>
        </w:tc>
        <w:tc>
          <w:tcPr>
            <w:tcW w:type="dxa" w:w="18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1.82（1.17~2.82）</w:t>
            </w:r>
          </w:p>
        </w:tc>
        <w:tc>
          <w:tcPr>
            <w:tcW w:type="dxa" w:w="291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Hedges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g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=0.66（kg），0.73（%）</w:t>
            </w:r>
          </w:p>
        </w:tc>
        <w:tc>
          <w:tcPr>
            <w:tcW w:type="dxa" w:w="11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2.03</w:t>
            </w:r>
          </w:p>
        </w:tc>
        <w:tc>
          <w:tcPr>
            <w:tcW w:type="dxa" w:w="11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1.38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胃镜异常</w:t>
            </w:r>
          </w:p>
        </w:tc>
        <w:tc>
          <w:tcPr>
            <w:tcW w:type="dxa" w:w="1878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3.20（1.13~9.10）</w:t>
            </w:r>
          </w:p>
        </w:tc>
        <w:tc>
          <w:tcPr>
            <w:tcW w:type="dxa" w:w="291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—</w:t>
            </w:r>
          </w:p>
        </w:tc>
        <w:tc>
          <w:tcPr>
            <w:tcW w:type="dxa" w:w="11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2.98</w:t>
            </w:r>
          </w:p>
        </w:tc>
        <w:tc>
          <w:tcPr>
            <w:tcW w:type="dxa" w:w="112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1.32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18"/>
        </w:rPr>
        <w:t xml:space="preserve">注：本组结局（症状改善）常见，E值按VanderWeele法先以√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OR</w:t>
      </w:r>
      <w:r>
        <w:rPr>
          <w:rFonts w:hint="eastAsia" w:ascii="Times New Roman" w:hAnsi="Times New Roman" w:cs="Times New Roman" w:eastAsia="宋体"/>
          <w:sz w:val="18"/>
        </w:rPr>
        <w:t xml:space="preserve">近似换算为</w:t>
      </w:r>
      <w:r>
        <w:rPr>
          <w:rFonts w:ascii="Times New Roman" w:hAnsi="Times New Roman" w:cs="Times New Roman" w:eastAsia="宋体"/>
          <w:i/>
          <w:iCs/>
          <w:sz w:val="18"/>
        </w:rPr>
        <w:t xml:space="preserve">RR</w:t>
      </w:r>
      <w:r>
        <w:rPr>
          <w:rFonts w:hint="eastAsia" w:ascii="Times New Roman" w:hAnsi="Times New Roman" w:cs="Times New Roman" w:eastAsia="宋体"/>
          <w:sz w:val="18"/>
        </w:rPr>
        <w:t xml:space="preserve">再计算</w:t>
      </w:r>
    </w:p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b/>
          <w:bCs/>
          <w:sz w:val="21"/>
        </w:rPr>
        <w:t xml:space="preserve">解读：</w:t>
      </w:r>
    </w:p>
    <w:p>
      <w:pPr>
        <w:pStyle w:val="Compact"/>
        <w:numPr>
          <w:ilvl w:val="0"/>
          <w:numId w:val="101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未测混杂因素需要与暴露和结局都有约2~3倍的关联（以</w:t>
      </w:r>
      <w:r>
        <w:rPr>
          <w:rFonts w:ascii="Times New Roman" w:hAnsi="Times New Roman" w:cs="Times New Roman" w:eastAsia="宋体"/>
          <w:i/>
          <w:iCs/>
          <w:sz w:val="21"/>
        </w:rPr>
        <w:t xml:space="preserve">RR</w:t>
      </w:r>
      <w:r>
        <w:rPr>
          <w:rFonts w:hint="eastAsia" w:ascii="Times New Roman" w:hAnsi="Times New Roman" w:cs="Times New Roman" w:eastAsia="宋体"/>
          <w:sz w:val="21"/>
        </w:rPr>
        <w:t xml:space="preserve">计），才能完全解释点估计。</w:t>
      </w:r>
    </w:p>
    <w:p>
      <w:pPr>
        <w:pStyle w:val="Compact"/>
        <w:numPr>
          <w:ilvl w:val="0"/>
          <w:numId w:val="101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只要约1.3~1.4倍的关联，就能使置信区间包含1。</w:t>
      </w:r>
    </w:p>
    <w:p>
      <w:pPr>
        <w:pStyle w:val="Compact"/>
        <w:numPr>
          <w:ilvl w:val="0"/>
          <w:numId w:val="101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依从性同时影响减重幅度和症状改善，完全可能达到这一强度。因此，减重与疗效的关系应表述为"相关"，而非"因果"或"预测"。</w:t>
      </w:r>
    </w:p>
    <w:p>
      <w:pPr>
        <w:pStyle w:val="Compact"/>
        <w:numPr>
          <w:ilvl w:val="0"/>
          <w:numId w:val="1017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按回归系数换算，胃镜异常带来的疗效优势约等于多减重1.95</w:t>
      </w:r>
      <w:r>
        <w:rPr>
          <w:rFonts w:ascii="Times New Roman" w:hAnsi="Times New Roman" w:cs="Times New Roman" w:eastAsia="宋体"/>
          <w:sz w:val="21"/>
        </w:rPr>
        <w:t xml:space="preserve"> </w:t>
      </w:r>
      <w:r>
        <w:rPr>
          <w:rFonts w:hint="eastAsia" w:ascii="Times New Roman" w:hAnsi="Times New Roman" w:cs="Times New Roman" w:eastAsia="宋体"/>
          <w:sz w:val="21"/>
        </w:rPr>
        <w:t xml:space="preserve">kg（1.164/0.597）。</w:t>
      </w:r>
    </w:p>
    <w:bookmarkEnd w:id="19"/>
    <w:bookmarkStart w:id="20" w:name="原列线图模型的重新评估"/>
    <w:p>
      <w:pPr>
        <w:pStyle w:val="Heading3"/>
        <w:spacing w:before="120" w:after="120"/>
      </w:pPr>
      <w:r>
        <w:rPr>
          <w:rFonts w:ascii="Times New Roman" w:hAnsi="Times New Roman" w:cs="Times New Roman" w:eastAsia="黑体"/>
          <w:b/>
          <w:color w:val="000000"/>
          <w:sz w:val="21"/>
        </w:rPr>
        <w:t xml:space="preserve">5.5　</w:t>
      </w:r>
      <w:r>
        <w:rPr>
          <w:rFonts w:hint="eastAsia" w:ascii="Times New Roman" w:hAnsi="Times New Roman" w:cs="Times New Roman" w:eastAsia="黑体"/>
          <w:b/>
          <w:color w:val="000000"/>
          <w:sz w:val="21"/>
        </w:rPr>
        <w:t xml:space="preserve">原列线图模型的重新评估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4143"/>
        <w:gridCol w:w="4587"/>
      </w:tblGrid>
      <w:tr>
        <w:trPr>
          <w:tblHeader w:val="on"/>
        </w:trPr>
        <w:tc>
          <w:tcPr>
            <w:tcW w:type="dxa" w:w="414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问题</w:t>
            </w:r>
          </w:p>
        </w:tc>
        <w:tc>
          <w:tcPr>
            <w:tcW w:type="dxa" w:w="458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结果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事件数与候选变量数之比（EPV）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31/8=3.9，远低于常用的10~20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表观AUC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0.728的95%CI（Hanley-McNeil法）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0.629~0.827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校正AUC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0.714的95%CI（Hanley-McNeil法）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ascii="Times New Roman" w:hAnsi="Times New Roman" w:cs="Times New Roman" w:eastAsia="宋体"/>
                <w:sz w:val="18"/>
              </w:rPr>
              <w:t xml:space="preserve">0.613~0.815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原文"校正AUC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95%CI 0.705~0.730"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是Bootstrap乐观度估计的波动范围，不是AUC的置信区间，不能这样报告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校准斜率1.00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用建模数据计算时，Logistic回归的表观校准斜率恒等于1，不能作为校准良好的证据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预测变量的时间顺序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减重幅度在治疗结束时才能获得，不能用于治疗前预测</w:t>
            </w:r>
          </w:p>
        </w:tc>
      </w:tr>
    </w:tbl>
    <w:p>
      <w:pPr>
        <w:pStyle w:val="BodyText"/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因此，修改稿维持删除列线图的处理，并将减重和胃镜异常的结果表述为"关联"。</w:t>
      </w:r>
    </w:p>
    <w:bookmarkEnd w:id="20"/>
    <w:bookmarkEnd w:id="21"/>
    <w:bookmarkStart w:id="22" w:name="六对后续研究的样本量建议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六、对后续研究的样本量建议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3809"/>
        <w:gridCol w:w="4920"/>
      </w:tblGrid>
      <w:tr>
        <w:trPr>
          <w:tblHeader w:val="on"/>
        </w:trPr>
        <w:tc>
          <w:tcPr>
            <w:tcW w:type="dxa" w:w="3810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研究目标</w:t>
            </w:r>
          </w:p>
        </w:tc>
        <w:tc>
          <w:tcPr>
            <w:tcW w:type="dxa" w:w="4921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所需样本量</w:t>
            </w:r>
          </w:p>
        </w:tc>
      </w:tr>
      <w:tr>
        <w:tc>
          <w:tcPr>
            <w:tcW w:type="dxa" w:w="381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特异度预期30%，精度±10%</w:t>
            </w:r>
          </w:p>
        </w:tc>
        <w:tc>
          <w:tcPr>
            <w:tcW w:type="dxa" w:w="49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需要非GERD患者81例；按本组患病率76.7%，共约350例</w:t>
            </w:r>
          </w:p>
        </w:tc>
      </w:tr>
      <w:tr>
        <w:tc>
          <w:tcPr>
            <w:tcW w:type="dxa" w:w="381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灵敏度预期90%，精度±5%</w:t>
            </w:r>
          </w:p>
        </w:tc>
        <w:tc>
          <w:tcPr>
            <w:tcW w:type="dxa" w:w="49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需要GERD患者139例，共约180例</w:t>
            </w:r>
          </w:p>
        </w:tc>
      </w:tr>
      <w:tr>
        <w:tc>
          <w:tcPr>
            <w:tcW w:type="dxa" w:w="381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疗效预测模型的外部验证</w:t>
            </w:r>
          </w:p>
        </w:tc>
        <w:tc>
          <w:tcPr>
            <w:tcW w:type="dxa" w:w="49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一般要求结局事件与非事件各≥100例；按未改善率30%，约需333例</w:t>
            </w:r>
          </w:p>
        </w:tc>
      </w:tr>
      <w:tr>
        <w:tc>
          <w:tcPr>
            <w:tcW w:type="dxa" w:w="3810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区分高原和肥胖本身的作用</w:t>
            </w:r>
          </w:p>
        </w:tc>
        <w:tc>
          <w:tcPr>
            <w:tcW w:type="dxa" w:w="4921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需要设立平原地区或非肥胖对照组，并采用24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h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pH-阻抗监测作为参考标准</w:t>
            </w:r>
          </w:p>
        </w:tc>
      </w:tr>
    </w:tbl>
    <w:bookmarkEnd w:id="22"/>
    <w:bookmarkStart w:id="23" w:name="七修改稿据此所做的调整"/>
    <w:p>
      <w:pPr>
        <w:pStyle w:val="Heading2"/>
        <w:spacing w:before="240" w:after="120"/>
      </w:pPr>
      <w:r>
        <w:rPr>
          <w:rFonts w:hint="eastAsia" w:ascii="Times New Roman" w:hAnsi="Times New Roman" w:cs="Times New Roman" w:eastAsia="黑体"/>
          <w:b/>
          <w:color w:val="000000"/>
          <w:sz w:val="24"/>
        </w:rPr>
        <w:t xml:space="preserve">七、修改稿据此所做的调整</w:t>
      </w:r>
    </w:p>
    <w:p>
      <w:pPr>
        <w:pStyle w:val="Compact"/>
        <w:numPr>
          <w:ilvl w:val="0"/>
          <w:numId w:val="1018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结果中新增3项内容：GerdQ分层似然比（新表4、新图6），不同诊断路径的GerdQ≥10分比例和症状改善率（新图7），以及PPI试验与4周疗效的一致性分析。</w:t>
      </w:r>
    </w:p>
    <w:p>
      <w:pPr>
        <w:pStyle w:val="Compact"/>
        <w:numPr>
          <w:ilvl w:val="0"/>
          <w:numId w:val="1018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原留给作者补充的数据项按以下方式处理：</w:t>
      </w:r>
    </w:p>
    <w:tbl>
      <w:tblPr>
        <w:jc w:val="center"/>
        <w:tblLayout w:type="fixed"/>
        <w:tblLook w:firstRow="1" w:lastRow="0" w:firstColumn="0" w:lastColumn="0" w:noHBand="0" w:noVBand="0" w:val="002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W w:w="8730" w:type="dxa"/>
        <w:tblLayout w:type="fixed"/>
      </w:tblPr>
      <w:tblGrid>
        <w:gridCol w:w="4143"/>
        <w:gridCol w:w="4587"/>
      </w:tblGrid>
      <w:tr>
        <w:trPr>
          <w:tblHeader w:val="on"/>
        </w:trPr>
        <w:tc>
          <w:tcPr>
            <w:tcW w:type="dxa" w:w="4143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待补充项</w:t>
            </w:r>
          </w:p>
        </w:tc>
        <w:tc>
          <w:tcPr>
            <w:tcW w:type="dxa" w:w="4587"/>
            <w:tcBorders>
              <w:bottom w:val="single" w:sz="6" w:space="0" w:color="000000"/>
            </w:tcBorders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b/>
                <w:sz w:val="18"/>
              </w:rPr>
              <w:t xml:space="preserve">处理方式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无患者评分升高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由Wilcoxon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ascii="Times New Roman" w:hAnsi="Times New Roman" w:cs="Times New Roman" w:eastAsia="宋体"/>
                <w:i/>
                <w:iCs/>
                <w:sz w:val="18"/>
              </w:rPr>
              <w:t xml:space="preserve">W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=0证实，已删除标注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PPI试验阳性57例与40例的关系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已据数据改写为"胃镜异常者中PPI试验阳性17例，结果不参与复合诊断"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知情同意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按原稿纳入标准改写为"患者同意将临床资料用于研究"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肥胖分组切点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按表1中各组BMI均数和标准差推定，与28.0~29.9、30.0~34.9、≥35.0</w:t>
            </w:r>
            <w:r>
              <w:rPr>
                <w:rFonts w:ascii="Times New Roman" w:hAnsi="Times New Roman" w:cs="Times New Roman" w:eastAsia="宋体"/>
                <w:sz w:val="18"/>
              </w:rPr>
              <w:t xml:space="preserve"> </w:t>
            </w: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kg/m²相符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筛查和排除例数、LA分级明细、下降≥3分例数、SAKURAI缓解率</w:t>
            </w:r>
          </w:p>
        </w:tc>
        <w:tc>
          <w:tcPr>
            <w:tcW w:type="dxa" w:w="4587"/>
          </w:tcPr>
          <w:p>
            <w:pPr>
              <w:pStyle w:val="Compact"/>
              <w:spacing w:line="276" w:lineRule="auto" w:after="0"/>
              <w:ind w:firstLine="0" w:left="0"/>
              <w:jc w:val="center"/>
            </w:pPr>
            <w:r>
              <w:rPr>
                <w:rFonts w:hint="eastAsia" w:ascii="Times New Roman" w:hAnsi="Times New Roman" w:cs="Times New Roman" w:eastAsia="宋体"/>
                <w:sz w:val="18"/>
              </w:rPr>
              <w:t xml:space="preserve">数据无法获得，已删除相应内容，并写入局限性</w:t>
            </w:r>
          </w:p>
        </w:tc>
      </w:tr>
    </w:tbl>
    <w:p>
      <w:pPr>
        <w:pStyle w:val="Compact"/>
        <w:numPr>
          <w:ilvl w:val="0"/>
          <w:numId w:val="1019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修改稿仅保留2处</w:t>
      </w:r>
      <w:r>
        <w:rPr>
          <w:rFonts w:hint="eastAsia" w:ascii="Times New Roman" w:hAnsi="Times New Roman" w:cs="Times New Roman" w:eastAsia="宋体"/>
          <w:sz w:val="21"/>
          <w:highlight w:val="yellow"/>
        </w:rPr>
        <w:t xml:space="preserve">【</w:t>
      </w:r>
      <w:r>
        <w:rPr>
          <w:rFonts w:hint="eastAsia" w:ascii="Times New Roman" w:hAnsi="Times New Roman" w:cs="Times New Roman" w:eastAsia="宋体"/>
          <w:sz w:val="21"/>
          <w:highlight w:val="yellow"/>
        </w:rPr>
        <w:t xml:space="preserve">作者确认</w:t>
      </w:r>
      <w:r>
        <w:rPr>
          <w:rFonts w:hint="eastAsia" w:ascii="Times New Roman" w:hAnsi="Times New Roman" w:cs="Times New Roman" w:eastAsia="宋体"/>
          <w:sz w:val="21"/>
          <w:highlight w:val="yellow"/>
        </w:rPr>
        <w:t xml:space="preserve">】</w:t>
      </w:r>
      <w:r>
        <w:rPr>
          <w:rFonts w:hint="eastAsia" w:ascii="Times New Roman" w:hAnsi="Times New Roman" w:cs="Times New Roman" w:eastAsia="宋体"/>
          <w:sz w:val="21"/>
        </w:rPr>
        <w:t xml:space="preserve">，都是只有作者本人能回答的事实问题，不需要补充数据：</w:t>
      </w:r>
    </w:p>
    <w:p>
      <w:pPr>
        <w:pStyle w:val="Compact"/>
        <w:numPr>
          <w:ilvl w:val="1"/>
          <w:numId w:val="1020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上腹痛和恶心是否反向计分。这一点决定全部总分分析是否成立。</w:t>
      </w:r>
    </w:p>
    <w:p>
      <w:pPr>
        <w:pStyle w:val="Compact"/>
        <w:numPr>
          <w:ilvl w:val="1"/>
          <w:numId w:val="1020"/>
        </w:numPr>
        <w:spacing w:line="360" w:lineRule="auto" w:after="60"/>
      </w:pPr>
      <w:r>
        <w:rPr>
          <w:rFonts w:hint="eastAsia" w:ascii="Times New Roman" w:hAnsi="Times New Roman" w:cs="Times New Roman" w:eastAsia="宋体"/>
          <w:sz w:val="21"/>
        </w:rPr>
        <w:t xml:space="preserve">PPI试验症状改善的评价工具，以及基线4GerdQ的评估时间点。</w:t>
      </w:r>
    </w:p>
    <w:bookmarkEnd w:id="23"/>
    <w:bookmarkEnd w:id="24"/>
    <w:sectPr>
      <w:footnotePr>
        <w:numRestart w:val="eachSect"/>
      </w:footnotePr>
      <w:pgSz w:h="16838" w:w="11906"/>
      <w:pgMar w:top="1440" w:bottom="1440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宋体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宋体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宋体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2026-10-14T00:33:00Z</dcterms:created>
  <dcterms:modified xsi:type="dcterms:W3CDTF">2026-10-14T00:33:00Z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