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实用医学杂志稿件审稿意见"/>
    <w:p>
      <w:pPr>
        <w:pStyle w:val="Heading1"/>
        <w:spacing w:before="240" w:after="120"/>
        <w:jc w:val="center"/>
      </w:pPr>
      <w:r>
        <w:rPr>
          <w:rFonts w:hint="eastAsia" w:ascii="Times New Roman" w:hAnsi="Times New Roman" w:cs="Times New Roman" w:eastAsia="黑体"/>
          <w:b/>
          <w:color w:val="000000"/>
          <w:sz w:val="32"/>
        </w:rPr>
        <w:t xml:space="preserve">《实用医学杂志》稿件审稿意见</w:t>
      </w:r>
    </w:p>
    <w:p>
      <w:pPr>
        <w:pStyle w:val="FirstParagraph"/>
        <w:spacing w:line="360" w:lineRule="auto" w:after="60"/>
        <w:ind w:firstLine="420"/>
      </w:pPr>
      <w:r>
        <w:rPr>
          <w:rFonts w:hint="eastAsia" w:ascii="Times New Roman" w:hAnsi="Times New Roman" w:cs="Times New Roman" w:eastAsia="宋体"/>
          <w:b/>
          <w:bCs/>
          <w:sz w:val="21"/>
        </w:rPr>
        <w:t xml:space="preserve">稿件题目：</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GerdQ量表在高原肥胖合并胃食管反流病的应用研究</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稿件类型：</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论著（临床研究）</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审稿日期：</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2026年10月13日</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审稿结论：</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大修后再审</w:t>
      </w:r>
    </w:p>
    <w:p>
      <w:pPr>
        <w:spacing w:line="360" w:lineRule="auto" w:after="60"/>
      </w:pPr>
      <w:r>
        <w:rPr>
          <w:rFonts w:ascii="Times New Roman" w:hAnsi="Times New Roman" w:cs="Times New Roman" w:eastAsia="宋体"/>
          <w:sz w:val="21"/>
        </w:rPr>
        <w:pict>
          <v:rect style="width:0;height:1.5pt" o:hralign="center" o:hrstd="t" o:hr="t"/>
        </w:pict>
      </w:r>
    </w:p>
    <w:bookmarkStart w:id="12" w:name="一编辑初审意见形式与规范"/>
    <w:p>
      <w:pPr>
        <w:pStyle w:val="Heading2"/>
        <w:spacing w:before="240" w:after="120"/>
      </w:pPr>
      <w:r>
        <w:rPr>
          <w:rFonts w:hint="eastAsia" w:ascii="Times New Roman" w:hAnsi="Times New Roman" w:cs="Times New Roman" w:eastAsia="黑体"/>
          <w:b/>
          <w:color w:val="000000"/>
          <w:sz w:val="24"/>
        </w:rPr>
        <w:t xml:space="preserve">一、编辑初审意见（形式与规范）</w:t>
      </w:r>
    </w:p>
    <w:bookmarkStart w:id="9" w:name="总体评价"/>
    <w:p>
      <w:pPr>
        <w:pStyle w:val="Heading3"/>
        <w:spacing w:before="120" w:after="120"/>
      </w:pPr>
      <w:r>
        <w:rPr>
          <w:rFonts w:ascii="Times New Roman" w:hAnsi="Times New Roman" w:cs="Times New Roman" w:eastAsia="黑体"/>
          <w:b/>
          <w:color w:val="000000"/>
          <w:sz w:val="21"/>
        </w:rPr>
        <w:t xml:space="preserve">1.1 </w:t>
      </w:r>
      <w:r>
        <w:rPr>
          <w:rFonts w:hint="eastAsia" w:ascii="Times New Roman" w:hAnsi="Times New Roman" w:cs="Times New Roman" w:eastAsia="黑体"/>
          <w:b/>
          <w:color w:val="000000"/>
          <w:sz w:val="21"/>
        </w:rPr>
        <w:t xml:space="preserve">总体评价</w:t>
      </w:r>
    </w:p>
    <w:p>
      <w:pPr>
        <w:pStyle w:val="FirstParagraph"/>
        <w:spacing w:line="360" w:lineRule="auto" w:after="60"/>
        <w:ind w:firstLine="420"/>
      </w:pPr>
      <w:r>
        <w:rPr>
          <w:rFonts w:hint="eastAsia" w:ascii="Times New Roman" w:hAnsi="Times New Roman" w:cs="Times New Roman" w:eastAsia="宋体"/>
          <w:sz w:val="21"/>
        </w:rPr>
        <w:t xml:space="preserve">选题有地域特色。高原地区长期居住的肥胖人群中，GERD症状问卷的适用性和减重干预的效果，国内少有系统报道，对高原地区基层诊疗有一定参考价值，符合本刊"实用、面向临床"的定位。数据完整，统计分析较规范。但稿件在研究设计表述、结果与结论的匹配、参考文献准确性和编排规范等方面问题较多，需大修。</w:t>
      </w:r>
    </w:p>
    <w:bookmarkEnd w:id="9"/>
    <w:bookmarkStart w:id="10" w:name="形式审查问题"/>
    <w:p>
      <w:pPr>
        <w:pStyle w:val="Heading3"/>
        <w:spacing w:before="120" w:after="120"/>
      </w:pPr>
      <w:r>
        <w:rPr>
          <w:rFonts w:ascii="Times New Roman" w:hAnsi="Times New Roman" w:cs="Times New Roman" w:eastAsia="黑体"/>
          <w:b/>
          <w:color w:val="000000"/>
          <w:sz w:val="21"/>
        </w:rPr>
        <w:t xml:space="preserve">1.2 </w:t>
      </w:r>
      <w:r>
        <w:rPr>
          <w:rFonts w:hint="eastAsia" w:ascii="Times New Roman" w:hAnsi="Times New Roman" w:cs="Times New Roman" w:eastAsia="黑体"/>
          <w:b/>
          <w:color w:val="000000"/>
          <w:sz w:val="21"/>
        </w:rPr>
        <w:t xml:space="preserve">形式审查问题</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1790"/>
        <w:gridCol w:w="3469"/>
        <w:gridCol w:w="3469"/>
      </w:tblGrid>
      <w:tr>
        <w:trPr>
          <w:tblHeader w:val="on"/>
        </w:trPr>
        <w:tc>
          <w:tcPr>
            <w:tcW w:type="dxa" w:w="179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序号</w:t>
            </w:r>
          </w:p>
        </w:tc>
        <w:tc>
          <w:tcPr>
            <w:tcW w:type="dxa" w:w="3470"/>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问题</w:t>
            </w:r>
          </w:p>
        </w:tc>
        <w:tc>
          <w:tcPr>
            <w:tcW w:type="dxa" w:w="3470"/>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要求</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1</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题名中"高原肥胖合并胃食管反流病"不准确：研究对象是"肥胖伴反流症状的就诊者"，其中23.3%未确诊GERD</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题名改为"GerdQ量表对高原地区肥胖患者胃食管反流病的诊断价值及短期疗效相关因素分析"或类似表述</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2</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中英文摘要内容不一致。英文摘要报告了Cronbach's</w:t>
            </w:r>
            <w:r>
              <w:rPr>
                <w:rFonts w:ascii="Times New Roman" w:hAnsi="Times New Roman" w:cs="Times New Roman" w:eastAsia="宋体"/>
                <w:sz w:val="18"/>
              </w:rPr>
              <w:t xml:space="preserve"> α=0.281、McDonald's </w:t>
            </w:r>
            <w:r>
              <w:rPr>
                <w:rFonts w:hint="eastAsia" w:ascii="Times New Roman" w:hAnsi="Times New Roman" w:cs="Times New Roman" w:eastAsia="宋体"/>
                <w:sz w:val="18"/>
              </w:rPr>
              <w:t xml:space="preserve">ω=0.422，中文摘要和正文均未报告</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中英文摘要须一一对应；见专家意见第8条</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3</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表、图编号不连续：表格编号缺"表3"，由表2直接跳至表4；正文"见表2、图2"实际对应图1，缺图2</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按出现顺序连续编号，修改稿已重排为表1~6、图1~5</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4</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删去列线图后，原表7"列线图赋值"列、表8、图7、图8不再保留</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见专家意见第6条</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5</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局限性中提到"机器学习模型"，但方法和结果中并未开展</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删除</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6</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统计软件厂商有误：SPSS</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28.0属IBM</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Corp.（Armonk,</w:t>
            </w:r>
            <w:r>
              <w:rPr>
                <w:rFonts w:ascii="Times New Roman" w:hAnsi="Times New Roman" w:cs="Times New Roman" w:eastAsia="宋体"/>
                <w:sz w:val="18"/>
              </w:rPr>
              <w:t xml:space="preserve"> NY, </w:t>
            </w:r>
            <w:r>
              <w:rPr>
                <w:rFonts w:hint="eastAsia" w:ascii="Times New Roman" w:hAnsi="Times New Roman" w:cs="Times New Roman" w:eastAsia="宋体"/>
                <w:sz w:val="18"/>
              </w:rPr>
              <w:t xml:space="preserve">USA），不是SPSS</w:t>
            </w:r>
            <w:r>
              <w:rPr>
                <w:rFonts w:ascii="Times New Roman" w:hAnsi="Times New Roman" w:cs="Times New Roman" w:eastAsia="宋体"/>
                <w:sz w:val="18"/>
              </w:rPr>
              <w:t xml:space="preserve"> Inc.</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已更正</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7</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计量单位和符号格式不统一，如"40mg""14d""3000m"等数字与单位之间缺空格，</w:t>
            </w:r>
            <w:r>
              <w:rPr>
                <w:rFonts w:ascii="Times New Roman" w:hAnsi="Times New Roman" w:cs="Times New Roman" w:eastAsia="宋体"/>
                <w:i/>
                <w:iCs/>
                <w:sz w:val="18"/>
              </w:rPr>
              <w:t xml:space="preserve">P</w:t>
            </w:r>
            <w:r>
              <w:rPr>
                <w:rFonts w:ascii="Times New Roman" w:hAnsi="Times New Roman" w:cs="Times New Roman" w:eastAsia="宋体"/>
                <w:sz w:val="18"/>
              </w:rPr>
              <w:t xml:space="preserve">、</w:t>
            </w:r>
            <w:r>
              <w:rPr>
                <w:rFonts w:ascii="Times New Roman" w:hAnsi="Times New Roman" w:cs="Times New Roman" w:eastAsia="宋体"/>
                <w:i/>
                <w:iCs/>
                <w:sz w:val="18"/>
              </w:rPr>
              <w:t xml:space="preserve">t</w:t>
            </w:r>
            <w:r>
              <w:rPr>
                <w:rFonts w:ascii="Times New Roman" w:hAnsi="Times New Roman" w:cs="Times New Roman" w:eastAsia="宋体"/>
                <w:sz w:val="18"/>
              </w:rPr>
              <w:t xml:space="preserve">、</w:t>
            </w:r>
            <w:r>
              <w:rPr>
                <w:rFonts w:ascii="Times New Roman" w:hAnsi="Times New Roman" w:cs="Times New Roman" w:eastAsia="宋体"/>
                <w:i/>
                <w:iCs/>
                <w:sz w:val="18"/>
              </w:rPr>
              <w:t xml:space="preserve">OR</w:t>
            </w:r>
            <w:r>
              <w:rPr>
                <w:rFonts w:hint="eastAsia" w:ascii="Times New Roman" w:hAnsi="Times New Roman" w:cs="Times New Roman" w:eastAsia="宋体"/>
                <w:sz w:val="18"/>
              </w:rPr>
              <w:t xml:space="preserve">等统计符号未用斜体</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按GB/T</w:t>
            </w:r>
            <w:r>
              <w:rPr>
                <w:rFonts w:ascii="Times New Roman" w:hAnsi="Times New Roman" w:cs="Times New Roman" w:eastAsia="宋体"/>
                <w:sz w:val="18"/>
              </w:rPr>
              <w:t xml:space="preserve"> 3101、GB/T </w:t>
            </w:r>
            <w:r>
              <w:rPr>
                <w:rFonts w:hint="eastAsia" w:ascii="Times New Roman" w:hAnsi="Times New Roman" w:cs="Times New Roman" w:eastAsia="宋体"/>
                <w:sz w:val="18"/>
              </w:rPr>
              <w:t xml:space="preserve">15835规范统一</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8</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参考文献著录格式不统一：第14条为APA格式，其余为温哥华格式；部分条目信息有误</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按GB/T</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7714—2015统一，详见《参考文献核查表》</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9</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术语不统一："反酸"与GerdQ中文版的"反流"（regurgitation）混用；"胃镜阳性""胃镜异常"混用；"疗效""治疗有效"与实际定义（4GerdQ下降≥1分）不匹配</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统一为"反流""胃镜异常""症状改善"</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10</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伦理部分只写了"同意将其临床资料用于研究"，未说明是否签署知情同意书</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补充知情同意形式</w:t>
            </w:r>
          </w:p>
        </w:tc>
      </w:tr>
      <w:tr>
        <w:tc>
          <w:tcPr>
            <w:tcW w:type="dxa" w:w="1791"/>
          </w:tcPr>
          <w:p>
            <w:pPr>
              <w:pStyle w:val="Compact"/>
              <w:spacing w:line="276" w:lineRule="auto" w:after="0"/>
              <w:ind w:firstLine="0" w:left="0"/>
              <w:jc w:val="center"/>
            </w:pPr>
            <w:r>
              <w:rPr>
                <w:rFonts w:ascii="Times New Roman" w:hAnsi="Times New Roman" w:cs="Times New Roman" w:eastAsia="宋体"/>
                <w:sz w:val="18"/>
              </w:rPr>
              <w:t xml:space="preserve">11</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作者单位著录格式</w:t>
            </w:r>
          </w:p>
        </w:tc>
        <w:tc>
          <w:tcPr>
            <w:tcW w:type="dxa" w:w="3470"/>
          </w:tcPr>
          <w:p>
            <w:pPr>
              <w:pStyle w:val="Compact"/>
              <w:spacing w:line="276" w:lineRule="auto" w:after="0"/>
              <w:ind w:firstLine="0" w:left="0"/>
              <w:jc w:val="center"/>
            </w:pPr>
            <w:r>
              <w:rPr>
                <w:rFonts w:hint="eastAsia" w:ascii="Times New Roman" w:hAnsi="Times New Roman" w:cs="Times New Roman" w:eastAsia="宋体"/>
                <w:sz w:val="18"/>
              </w:rPr>
              <w:t xml:space="preserve">按本刊格式改为"单位全称（城市</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邮编）"</w:t>
            </w:r>
          </w:p>
        </w:tc>
      </w:tr>
    </w:tbl>
    <w:bookmarkEnd w:id="10"/>
    <w:bookmarkStart w:id="11" w:name="编辑部要求"/>
    <w:p>
      <w:pPr>
        <w:pStyle w:val="Heading3"/>
        <w:spacing w:before="120" w:after="120"/>
      </w:pPr>
      <w:r>
        <w:rPr>
          <w:rFonts w:ascii="Times New Roman" w:hAnsi="Times New Roman" w:cs="Times New Roman" w:eastAsia="黑体"/>
          <w:b/>
          <w:color w:val="000000"/>
          <w:sz w:val="21"/>
        </w:rPr>
        <w:t xml:space="preserve">1.3 </w:t>
      </w:r>
      <w:r>
        <w:rPr>
          <w:rFonts w:hint="eastAsia" w:ascii="Times New Roman" w:hAnsi="Times New Roman" w:cs="Times New Roman" w:eastAsia="黑体"/>
          <w:b/>
          <w:color w:val="000000"/>
          <w:sz w:val="21"/>
        </w:rPr>
        <w:t xml:space="preserve">编辑部要求</w:t>
      </w:r>
    </w:p>
    <w:p>
      <w:pPr>
        <w:pStyle w:val="Compact"/>
        <w:numPr>
          <w:ilvl w:val="0"/>
          <w:numId w:val="1001"/>
        </w:numPr>
        <w:spacing w:line="360" w:lineRule="auto" w:after="60"/>
      </w:pPr>
      <w:r>
        <w:rPr>
          <w:rFonts w:hint="eastAsia" w:ascii="Times New Roman" w:hAnsi="Times New Roman" w:cs="Times New Roman" w:eastAsia="宋体"/>
          <w:sz w:val="21"/>
        </w:rPr>
        <w:t xml:space="preserve">作者须逐条回复专家意见，回复中注明修改位置（页码、行号）。</w:t>
      </w:r>
    </w:p>
    <w:p>
      <w:pPr>
        <w:pStyle w:val="Compact"/>
        <w:numPr>
          <w:ilvl w:val="0"/>
          <w:numId w:val="1001"/>
        </w:numPr>
        <w:spacing w:line="360" w:lineRule="auto" w:after="60"/>
      </w:pPr>
      <w:r>
        <w:rPr>
          <w:rFonts w:hint="eastAsia" w:ascii="Times New Roman" w:hAnsi="Times New Roman" w:cs="Times New Roman" w:eastAsia="宋体"/>
          <w:sz w:val="21"/>
        </w:rPr>
        <w:t xml:space="preserve">所有"</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highlight w:val="yellow"/>
        </w:rPr>
        <w:t xml:space="preserve">作者补充</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rPr>
        <w:t xml:space="preserve">"处须以原始数据填写，不得估算。</w:t>
      </w:r>
    </w:p>
    <w:p>
      <w:pPr>
        <w:pStyle w:val="Compact"/>
        <w:numPr>
          <w:ilvl w:val="0"/>
          <w:numId w:val="1001"/>
        </w:numPr>
        <w:spacing w:line="360" w:lineRule="auto" w:after="60"/>
      </w:pPr>
      <w:r>
        <w:rPr>
          <w:rFonts w:hint="eastAsia" w:ascii="Times New Roman" w:hAnsi="Times New Roman" w:cs="Times New Roman" w:eastAsia="宋体"/>
          <w:sz w:val="21"/>
        </w:rPr>
        <w:t xml:space="preserve">参考文献须逐条核对原文，确保引用内容与原文一致。</w:t>
      </w:r>
    </w:p>
    <w:p>
      <w:pPr>
        <w:pStyle w:val="Compact"/>
        <w:numPr>
          <w:ilvl w:val="0"/>
          <w:numId w:val="1001"/>
        </w:numPr>
        <w:spacing w:line="360" w:lineRule="auto" w:after="60"/>
      </w:pPr>
      <w:r>
        <w:rPr>
          <w:rFonts w:hint="eastAsia" w:ascii="Times New Roman" w:hAnsi="Times New Roman" w:cs="Times New Roman" w:eastAsia="宋体"/>
          <w:sz w:val="21"/>
        </w:rPr>
        <w:t xml:space="preserve">修改稿请同时提交修订痕迹版和清洁版。</w:t>
      </w:r>
    </w:p>
    <w:p>
      <w:pPr>
        <w:spacing w:line="360" w:lineRule="auto" w:after="60"/>
      </w:pPr>
      <w:r>
        <w:rPr>
          <w:rFonts w:ascii="Times New Roman" w:hAnsi="Times New Roman" w:cs="Times New Roman" w:eastAsia="宋体"/>
          <w:sz w:val="21"/>
        </w:rPr>
        <w:pict>
          <v:rect style="width:0;height:1.5pt" o:hralign="center" o:hrstd="t" o:hr="t"/>
        </w:pict>
      </w:r>
    </w:p>
    <w:bookmarkEnd w:id="11"/>
    <w:bookmarkEnd w:id="12"/>
    <w:bookmarkStart w:id="17" w:name="二同行专家审稿意见胃食管反流病专业"/>
    <w:p>
      <w:pPr>
        <w:pStyle w:val="Heading2"/>
        <w:spacing w:before="240" w:after="120"/>
      </w:pPr>
      <w:r>
        <w:rPr>
          <w:rFonts w:hint="eastAsia" w:ascii="Times New Roman" w:hAnsi="Times New Roman" w:cs="Times New Roman" w:eastAsia="黑体"/>
          <w:b/>
          <w:color w:val="000000"/>
          <w:sz w:val="24"/>
        </w:rPr>
        <w:t xml:space="preserve">二、同行专家审稿意见（胃食管反流病专业）</w:t>
      </w:r>
    </w:p>
    <w:bookmarkStart w:id="13" w:name="总体评价-1"/>
    <w:p>
      <w:pPr>
        <w:pStyle w:val="Heading3"/>
        <w:spacing w:before="120" w:after="120"/>
      </w:pPr>
      <w:r>
        <w:rPr>
          <w:rFonts w:ascii="Times New Roman" w:hAnsi="Times New Roman" w:cs="Times New Roman" w:eastAsia="黑体"/>
          <w:b/>
          <w:color w:val="000000"/>
          <w:sz w:val="21"/>
        </w:rPr>
        <w:t xml:space="preserve">2.1 </w:t>
      </w:r>
      <w:r>
        <w:rPr>
          <w:rFonts w:hint="eastAsia" w:ascii="Times New Roman" w:hAnsi="Times New Roman" w:cs="Times New Roman" w:eastAsia="黑体"/>
          <w:b/>
          <w:color w:val="000000"/>
          <w:sz w:val="21"/>
        </w:rPr>
        <w:t xml:space="preserve">总体评价</w:t>
      </w:r>
    </w:p>
    <w:p>
      <w:pPr>
        <w:pStyle w:val="FirstParagraph"/>
        <w:spacing w:line="360" w:lineRule="auto" w:after="60"/>
        <w:ind w:firstLine="420"/>
      </w:pPr>
      <w:r>
        <w:rPr>
          <w:rFonts w:hint="eastAsia" w:ascii="Times New Roman" w:hAnsi="Times New Roman" w:cs="Times New Roman" w:eastAsia="宋体"/>
          <w:sz w:val="21"/>
        </w:rPr>
        <w:t xml:space="preserve">本研究在高原肥胖就诊人群中评价GerdQ的诊断效能，并观察PPI联合减重的短期症状变化，有一定临床意义。作者对诊断效能的解读较客观，指出了≥8分界值在该人群中特异度低。统计方法总体规范：报告了Bootstrap置信区间、Holm校正，并以HC3稳健标准误做了敏感性分析。但存在以下需要解决的问题，部分涉及结论能否成立。</w:t>
      </w:r>
    </w:p>
    <w:bookmarkEnd w:id="13"/>
    <w:bookmarkStart w:id="14" w:name="主要问题"/>
    <w:p>
      <w:pPr>
        <w:pStyle w:val="Heading3"/>
        <w:spacing w:before="120" w:after="120"/>
      </w:pPr>
      <w:r>
        <w:rPr>
          <w:rFonts w:ascii="Times New Roman" w:hAnsi="Times New Roman" w:cs="Times New Roman" w:eastAsia="黑体"/>
          <w:b/>
          <w:color w:val="000000"/>
          <w:sz w:val="21"/>
        </w:rPr>
        <w:t xml:space="preserve">2.2 </w:t>
      </w:r>
      <w:r>
        <w:rPr>
          <w:rFonts w:hint="eastAsia" w:ascii="Times New Roman" w:hAnsi="Times New Roman" w:cs="Times New Roman" w:eastAsia="黑体"/>
          <w:b/>
          <w:color w:val="000000"/>
          <w:sz w:val="21"/>
        </w:rPr>
        <w:t xml:space="preserve">主要问题</w:t>
      </w:r>
    </w:p>
    <w:p>
      <w:pPr>
        <w:pStyle w:val="FirstParagraph"/>
        <w:spacing w:line="360" w:lineRule="auto" w:after="60"/>
        <w:ind w:firstLine="420"/>
      </w:pPr>
      <w:r>
        <w:rPr>
          <w:rFonts w:ascii="Times New Roman" w:hAnsi="Times New Roman" w:cs="Times New Roman" w:eastAsia="宋体"/>
          <w:b/>
          <w:bCs/>
          <w:sz w:val="21"/>
        </w:rPr>
        <w:t xml:space="preserve">1. </w:t>
      </w:r>
      <w:r>
        <w:rPr>
          <w:rFonts w:hint="eastAsia" w:ascii="Times New Roman" w:hAnsi="Times New Roman" w:cs="Times New Roman" w:eastAsia="宋体"/>
          <w:b/>
          <w:bCs/>
          <w:sz w:val="21"/>
        </w:rPr>
        <w:t xml:space="preserve">GerdQ计分方法描述有误（关键问题）。</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原稿写"各条目按症状出现频率计0~3分（0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d=0分，1</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d=1分，2~3</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d=2分，4~7</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d=3分）"，对6个条目一律正向计分。按JONES等的原始设计及各国验证研究，上腹痛和恶心是阴性预测条目，应反向计分（0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d=3分，4~7</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d=0分）。韩国验证研究和SAKURAI等研究均明确描述了这一点。请作者确认实际计分方法：</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如已反向计分，须在方法中写明，并在表2、图1中注明。</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如未反向计分，GerdQ总分、全部诊断效能分析和分组比较均须重新计算。</w:t>
      </w:r>
    </w:p>
    <w:p>
      <w:pPr>
        <w:pStyle w:val="BodyText"/>
        <w:spacing w:line="360" w:lineRule="auto" w:after="60"/>
      </w:pPr>
      <w:r>
        <w:rPr>
          <w:rFonts w:hint="eastAsia" w:ascii="Times New Roman" w:hAnsi="Times New Roman" w:cs="Times New Roman" w:eastAsia="宋体"/>
          <w:sz w:val="21"/>
        </w:rPr>
        <w:t xml:space="preserve">此外，原文"上腹痛与恶心……与GerdQ将二者设为负性预测条目的设计一致"的推论，须在确认计分方向后重新表述。</w:t>
      </w:r>
    </w:p>
    <w:p>
      <w:pPr>
        <w:pStyle w:val="BodyText"/>
        <w:spacing w:line="360" w:lineRule="auto" w:after="60"/>
        <w:ind w:firstLine="420"/>
      </w:pPr>
      <w:r>
        <w:rPr>
          <w:rFonts w:ascii="Times New Roman" w:hAnsi="Times New Roman" w:cs="Times New Roman" w:eastAsia="宋体"/>
          <w:b/>
          <w:bCs/>
          <w:sz w:val="21"/>
        </w:rPr>
        <w:t xml:space="preserve">2. </w:t>
      </w:r>
      <w:r>
        <w:rPr>
          <w:rFonts w:hint="eastAsia" w:ascii="Times New Roman" w:hAnsi="Times New Roman" w:cs="Times New Roman" w:eastAsia="宋体"/>
          <w:b/>
          <w:bCs/>
          <w:sz w:val="21"/>
        </w:rPr>
        <w:t xml:space="preserve">"胃镜阳性"定义与所引里昂共识2.0矛盾。</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方法中将"LA分级≥A级或存在食管裂孔疝"定义为胃镜阳性，同时又引用里昂共识2.0，称"将LA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B、C、D级食管炎视为确证性内镜证据"，两者自相矛盾。按里昂共识2.0，LA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A级食管炎和食管裂孔疝只是支持性证据，不能确诊GERD。现定义会高估复合诊断的GERD例数，并影响全部诊断效能和疗效分析。局限性中称"未分别报告LA分级与食管裂孔疝"，但这是基本的内镜数据。要求：</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报告LA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A、B、C、D各级例数和食管裂孔疝例数。</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以LA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B~D级为确证标准做敏感性分析。</w:t>
      </w:r>
    </w:p>
    <w:p>
      <w:pPr>
        <w:pStyle w:val="BodyText"/>
        <w:spacing w:line="360" w:lineRule="auto" w:after="60"/>
        <w:ind w:firstLine="420"/>
      </w:pPr>
      <w:r>
        <w:rPr>
          <w:rFonts w:ascii="Times New Roman" w:hAnsi="Times New Roman" w:cs="Times New Roman" w:eastAsia="宋体"/>
          <w:b/>
          <w:bCs/>
          <w:sz w:val="21"/>
        </w:rPr>
        <w:t xml:space="preserve">3. </w:t>
      </w:r>
      <w:r>
        <w:rPr>
          <w:rFonts w:hint="eastAsia" w:ascii="Times New Roman" w:hAnsi="Times New Roman" w:cs="Times New Roman" w:eastAsia="宋体"/>
          <w:b/>
          <w:bCs/>
          <w:sz w:val="21"/>
        </w:rPr>
        <w:t xml:space="preserve">复合参考标准、验证路径和治疗时间线不清。</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方法称胃镜阴性者才做PPI试验，讨论称"胃镜阳性者不再接受PPI试验"。但表1中PPI试验阳性57例，多于"胃镜阴性且PPI试验阳性"的40例，说明至少17例胃镜异常者也做了PPI试验，请说明。</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PPI试验（艾司奥美拉唑40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mg/d，14</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d）与随后"4周标准剂量PPI治疗"的时间关系不明：14</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d是否计入4周？基线4GerdQ在何时评估？如果先做PPI试验再开始4周治疗，"基线"评分已受PPI影响。</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PPI试验"症状改善≥50%"用什么工具评价？如果用GerdQ，指数试验（GerdQ）与参考标准（PPI试验）存在合并偏倚，会高估GerdQ的诊断效能。</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PPI试验本身特异度有限：韩国验证研究中，以PPI治疗后任何症状改善诊断GERD，特异度仅48.6%。讨论中应就复合参考标准的不完美性作专门讨论。</w:t>
      </w:r>
    </w:p>
    <w:p>
      <w:pPr>
        <w:pStyle w:val="BodyText"/>
        <w:spacing w:line="360" w:lineRule="auto" w:after="60"/>
        <w:ind w:firstLine="420"/>
      </w:pPr>
      <w:r>
        <w:rPr>
          <w:rFonts w:ascii="Times New Roman" w:hAnsi="Times New Roman" w:cs="Times New Roman" w:eastAsia="宋体"/>
          <w:b/>
          <w:bCs/>
          <w:sz w:val="21"/>
        </w:rPr>
        <w:t xml:space="preserve">4. </w:t>
      </w:r>
      <w:r>
        <w:rPr>
          <w:rFonts w:hint="eastAsia" w:ascii="Times New Roman" w:hAnsi="Times New Roman" w:cs="Times New Roman" w:eastAsia="宋体"/>
          <w:b/>
          <w:bCs/>
          <w:sz w:val="21"/>
        </w:rPr>
        <w:t xml:space="preserve">谱偏倚，以及"临床特点"结论缺乏对照依据。</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入组要求门诊GerdQ≥7分，所以：</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GerdQ≥8分者占88.3%，是入组标准的直接结果，不能作为"高原肥胖合并GERD患者反流症状负荷重"的依据。</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无法评价GerdQ≤7分时的诊断效能，ROC曲线实际只覆盖7~14分。</w:t>
      </w:r>
    </w:p>
    <w:p>
      <w:pPr>
        <w:pStyle w:val="BodyText"/>
        <w:spacing w:line="360" w:lineRule="auto" w:after="60"/>
        <w:ind w:firstLine="420"/>
      </w:pPr>
      <w:r>
        <w:rPr>
          <w:rFonts w:hint="eastAsia" w:ascii="Times New Roman" w:hAnsi="Times New Roman" w:cs="Times New Roman" w:eastAsia="宋体"/>
          <w:sz w:val="21"/>
        </w:rPr>
        <w:t xml:space="preserve">研究未设平原地区或非肥胖对照组，摘要和结论中的"高原肥胖合并GERD患者以反流症状负荷重、治疗期减重幅度小、治疗后残余症状多为特点"不能成立。尤其"减重幅度小"是干预强度的结果，不是疾病特点。修改稿已删除这一结论。</w:t>
      </w:r>
    </w:p>
    <w:p>
      <w:pPr>
        <w:pStyle w:val="BodyText"/>
        <w:spacing w:line="360" w:lineRule="auto" w:after="60"/>
        <w:ind w:firstLine="420"/>
      </w:pPr>
      <w:r>
        <w:rPr>
          <w:rFonts w:ascii="Times New Roman" w:hAnsi="Times New Roman" w:cs="Times New Roman" w:eastAsia="宋体"/>
          <w:b/>
          <w:bCs/>
          <w:sz w:val="21"/>
        </w:rPr>
        <w:t xml:space="preserve">5. </w:t>
      </w:r>
      <w:r>
        <w:rPr>
          <w:rFonts w:hint="eastAsia" w:ascii="Times New Roman" w:hAnsi="Times New Roman" w:cs="Times New Roman" w:eastAsia="宋体"/>
          <w:b/>
          <w:bCs/>
          <w:sz w:val="21"/>
        </w:rPr>
        <w:t xml:space="preserve">疗效定义阈值过低，疗效分析混入非GERD患者。</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以"4GerdQ下降≥1分"定义"治疗有效"阈值过低。4GerdQ范围0~12分，1分相当于一个条目的症状天数降一档，GerdQ也尚无公认的最小临床重要差值。建议：</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改称"症状改善"；</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补充SAKURAI等的标准，即治疗后第1、2、5、6条均≤1分定义为症状充分缓解；</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补充严格标准（下降≥3分）的结果。</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疗效分析纳入了24例复合诊断阴性者。修改稿已据表6数据补充分层结果：GERD组改善59/79（74.7%），非GERD组改善13/24（54.2%）。建议以GERD确诊者为主要分析人群。</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本研究为无对照的单组前后比较，评分下降可能部分来自回归均值、安慰剂效应和自然病程，结论中应予说明。</w:t>
      </w:r>
      <w:r>
        <w:rPr>
          <w:rFonts w:ascii="Times New Roman" w:hAnsi="Times New Roman" w:cs="Times New Roman" w:eastAsia="宋体"/>
          <w:sz w:val="21"/>
        </w:rPr>
        <w:t xml:space="preserve"> </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表5报告Wilcoxon</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W</w:t>
      </w:r>
      <w:r>
        <w:rPr>
          <w:rFonts w:hint="eastAsia" w:ascii="Times New Roman" w:hAnsi="Times New Roman" w:cs="Times New Roman" w:eastAsia="宋体"/>
          <w:sz w:val="21"/>
        </w:rPr>
        <w:t xml:space="preserve">=0，意味着无一例患者评分升高，请核实并在正文中说明。</w:t>
      </w:r>
    </w:p>
    <w:p>
      <w:pPr>
        <w:pStyle w:val="BodyText"/>
        <w:spacing w:line="360" w:lineRule="auto" w:after="60"/>
        <w:ind w:firstLine="420"/>
      </w:pPr>
      <w:r>
        <w:rPr>
          <w:rFonts w:ascii="Times New Roman" w:hAnsi="Times New Roman" w:cs="Times New Roman" w:eastAsia="宋体"/>
          <w:b/>
          <w:bCs/>
          <w:sz w:val="21"/>
        </w:rPr>
        <w:t xml:space="preserve">6. </w:t>
      </w:r>
      <w:r>
        <w:rPr>
          <w:rFonts w:hint="eastAsia" w:ascii="Times New Roman" w:hAnsi="Times New Roman" w:cs="Times New Roman" w:eastAsia="宋体"/>
          <w:b/>
          <w:bCs/>
          <w:sz w:val="21"/>
        </w:rPr>
        <w:t xml:space="preserve">列线图预测模型不应保留（关键问题）。</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减重幅度不是基线变量。</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它是治疗期间与结局同步测得的变量，治疗开始前无法获得，因此不能用于"个体化疗效预估"。以此构建的列线图在概念上不成立。</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样本量不足。</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未改善组仅31例，候选变量8个，事件数与变量数之比（EPV）约3.9，远低于通常要求的10~20。后退法筛选也会进一步加重过拟合。</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区分度置信区间不合理。</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校正AUC为0.714，但其95%CI报告为0.705~0.730。在103例、31例事件的样本中，这一区间明显过窄。按Hanley-McNeil法近似估计应约为0.61~0.82。疑为对乐观度校正值本身取了Bootstrap分位数，而不是AUC的抽样不确定性。</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校准斜率无意义。</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在建模数据上，Logistic回归的表观校准斜率恒为1.00，必须报告乐观度校正后的校准斜率。校准曲线"按四分位分组"，但各组例数为38、19、33、13，并非四分位。</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决策曲线分析不适用。</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结局为4GerdQ下降≥1分，无对应的临床决策阈值。</w:t>
      </w:r>
    </w:p>
    <w:p>
      <w:pPr>
        <w:pStyle w:val="BodyText"/>
        <w:spacing w:line="360" w:lineRule="auto" w:after="60"/>
        <w:ind w:firstLine="420"/>
      </w:pPr>
      <w:r>
        <w:rPr>
          <w:rFonts w:hint="eastAsia" w:ascii="Times New Roman" w:hAnsi="Times New Roman" w:cs="Times New Roman" w:eastAsia="宋体"/>
          <w:sz w:val="21"/>
        </w:rPr>
        <w:t xml:space="preserve">建议删除列线图、校准曲线和决策曲线（原表7赋值列、表8、图7、图8），将多因素分析定位为"相关因素分析"。修改稿已据此调整。如作者坚持建立预测模型，只能使用基线可获得的变量，并须满足样本量要求和外部验证。</w:t>
      </w:r>
    </w:p>
    <w:p>
      <w:pPr>
        <w:pStyle w:val="BodyText"/>
        <w:spacing w:line="360" w:lineRule="auto" w:after="60"/>
        <w:ind w:firstLine="420"/>
      </w:pPr>
      <w:r>
        <w:rPr>
          <w:rFonts w:ascii="Times New Roman" w:hAnsi="Times New Roman" w:cs="Times New Roman" w:eastAsia="宋体"/>
          <w:b/>
          <w:bCs/>
          <w:sz w:val="21"/>
        </w:rPr>
        <w:t xml:space="preserve">7. </w:t>
      </w:r>
      <w:r>
        <w:rPr>
          <w:rFonts w:hint="eastAsia" w:ascii="Times New Roman" w:hAnsi="Times New Roman" w:cs="Times New Roman" w:eastAsia="宋体"/>
          <w:b/>
          <w:bCs/>
          <w:sz w:val="21"/>
        </w:rPr>
        <w:t xml:space="preserve">多处引文与原文不符（关键问题）。</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本审稿人逐条核对了原文，问题如下：</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内部一致性系数。</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"报告的内部一致性系数多在0.70~0.86[16,17]"：第16条（Suzuki</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2013）摘要未报告内部一致性；第17条（Gong</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2019）报告的是重测信度，组内相关系数（ICC）为0.651。该数值没有出处，应删除。</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高原对下食管括约肌的影响。</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"高原环境低压低氧可抑制胃肠动力、降低下食管括约肌压力，并影响胃酸分泌节律[8,9]"：第8条（Anand</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2006）是高原消化道问题综述，未涉及下食管括约肌压力；第9条（McKenna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2022）讨论的是肠屏障功能障碍。两条均不支持该论述，应改为与原文一致的表述。</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高原饮食。</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"高脂、高热量、少蔬果"[10]：第10条是对西藏雅鲁藏布江沿岸居民的调查，结果显示肉类摄入超过推荐量，蔬菜、水果摄入不足，并未评估"高脂、高热量"，应准确转述。</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Meta分析的引用。</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"既往Meta分析报道GerdQ……合并AUC约0.70~0.79[17,18]"：第17条是韩国验证研究，不是Meta分析。两项Meta分析为第18条（黎丽群等，SROC</w:t>
      </w:r>
      <w:r>
        <w:rPr>
          <w:rFonts w:ascii="Times New Roman" w:hAnsi="Times New Roman" w:cs="Times New Roman" w:eastAsia="宋体"/>
          <w:sz w:val="21"/>
        </w:rPr>
        <w:t xml:space="preserve"> AUC </w:t>
      </w:r>
      <w:r>
        <w:rPr>
          <w:rFonts w:hint="eastAsia" w:ascii="Times New Roman" w:hAnsi="Times New Roman" w:cs="Times New Roman" w:eastAsia="宋体"/>
          <w:sz w:val="21"/>
        </w:rPr>
        <w:t xml:space="preserve">0.789）和第19条（Simadibrata等，AUC</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0.705），应引[18,19]。</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ACG指南的引用。</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"ACG指南亦建议超重或肥胖的GERD患者减重[22]"：第22条是Bai等的中国多中心研究，应为第23条（Katz等2022</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ACG指南）。</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Bai等研究的转述。</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"Bai等……提示GerdQ的表现受人群症状负荷影响明显"：Bai等的结论是"反流性食管炎检出率随GerdQ评分升高而增加，但低分不能排除反流性食管炎"，原稿转述不准确。</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PPI有效率。</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"一般GERD人群PPI有效率（50%~70%）[24]"：第24条（AGA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2022）的表述是"多达半数疑似GERD患者不能从抑酸治疗中获益"，应如实转述。</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对照研究的对比。</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第25条（de</w:t>
      </w:r>
      <w:r>
        <w:rPr>
          <w:rFonts w:ascii="Times New Roman" w:hAnsi="Times New Roman" w:cs="Times New Roman" w:eastAsia="宋体"/>
          <w:sz w:val="21"/>
        </w:rPr>
        <w:t xml:space="preserve"> Bortoli </w:t>
      </w:r>
      <w:r>
        <w:rPr>
          <w:rFonts w:hint="eastAsia" w:ascii="Times New Roman" w:hAnsi="Times New Roman" w:cs="Times New Roman" w:eastAsia="宋体"/>
          <w:sz w:val="21"/>
        </w:rPr>
        <w:t xml:space="preserve">2016）研究对象为糜烂性食管炎患者，减重目标为6个月内≥10%。与本研究对比时，应说明两者在减重幅度和观察期上的巨大差异。</w:t>
      </w:r>
      <w:r>
        <w:rPr>
          <w:rFonts w:ascii="Times New Roman" w:hAnsi="Times New Roman" w:cs="Times New Roman" w:eastAsia="宋体"/>
          <w:sz w:val="21"/>
        </w:rPr>
        <w:t xml:space="preserve"> </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"初级医疗人群"的引用。</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"与既往在初级医疗人群中的报告明显不同[17,18,22]"：第17、22条均非初级医疗人群研究。</w:t>
      </w:r>
    </w:p>
    <w:p>
      <w:pPr>
        <w:pStyle w:val="BodyText"/>
        <w:spacing w:line="360" w:lineRule="auto" w:after="60"/>
        <w:ind w:firstLine="420"/>
      </w:pPr>
      <w:r>
        <w:rPr>
          <w:rFonts w:ascii="Times New Roman" w:hAnsi="Times New Roman" w:cs="Times New Roman" w:eastAsia="宋体"/>
          <w:b/>
          <w:bCs/>
          <w:sz w:val="21"/>
        </w:rPr>
        <w:t xml:space="preserve">8. </w:t>
      </w:r>
      <w:r>
        <w:rPr>
          <w:rFonts w:hint="eastAsia" w:ascii="Times New Roman" w:hAnsi="Times New Roman" w:cs="Times New Roman" w:eastAsia="宋体"/>
          <w:b/>
          <w:bCs/>
          <w:sz w:val="21"/>
        </w:rPr>
        <w:t xml:space="preserve">量表信度指标的使用不当。</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英文摘要报告Cronbach's</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α=0.281，但GerdQ同时包含阳性和阴性预测条目，属于形成性诊断指数，不适合用内部一致性评价其信度，α值低是设计使然。建议删除该指标；如需报告信度，应报告重测信度。</w:t>
      </w:r>
    </w:p>
    <w:bookmarkEnd w:id="14"/>
    <w:bookmarkStart w:id="15" w:name="次要问题"/>
    <w:p>
      <w:pPr>
        <w:pStyle w:val="Heading3"/>
        <w:spacing w:before="120" w:after="120"/>
      </w:pPr>
      <w:r>
        <w:rPr>
          <w:rFonts w:ascii="Times New Roman" w:hAnsi="Times New Roman" w:cs="Times New Roman" w:eastAsia="黑体"/>
          <w:b/>
          <w:color w:val="000000"/>
          <w:sz w:val="21"/>
        </w:rPr>
        <w:t xml:space="preserve">2.3 </w:t>
      </w:r>
      <w:r>
        <w:rPr>
          <w:rFonts w:hint="eastAsia" w:ascii="Times New Roman" w:hAnsi="Times New Roman" w:cs="Times New Roman" w:eastAsia="黑体"/>
          <w:b/>
          <w:color w:val="000000"/>
          <w:sz w:val="21"/>
        </w:rPr>
        <w:t xml:space="preserve">次要问题</w:t>
      </w:r>
    </w:p>
    <w:p>
      <w:pPr>
        <w:pStyle w:val="Compact"/>
        <w:numPr>
          <w:ilvl w:val="0"/>
          <w:numId w:val="1002"/>
        </w:numPr>
        <w:spacing w:line="360" w:lineRule="auto" w:after="60"/>
      </w:pPr>
      <w:r>
        <w:rPr>
          <w:rFonts w:hint="eastAsia" w:ascii="Times New Roman" w:hAnsi="Times New Roman" w:cs="Times New Roman" w:eastAsia="宋体"/>
          <w:b/>
          <w:bCs/>
          <w:sz w:val="21"/>
        </w:rPr>
        <w:t xml:space="preserve">样本量与筛选流程：</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补充样本量估算依据，以及筛选、排除的人数和原因，建议附流程图。</w:t>
      </w:r>
    </w:p>
    <w:p>
      <w:pPr>
        <w:pStyle w:val="Compact"/>
        <w:numPr>
          <w:ilvl w:val="0"/>
          <w:numId w:val="1002"/>
        </w:numPr>
        <w:spacing w:line="360" w:lineRule="auto" w:after="60"/>
      </w:pPr>
      <w:r>
        <w:rPr>
          <w:rFonts w:hint="eastAsia" w:ascii="Times New Roman" w:hAnsi="Times New Roman" w:cs="Times New Roman" w:eastAsia="宋体"/>
          <w:b/>
          <w:bCs/>
          <w:sz w:val="21"/>
        </w:rPr>
        <w:t xml:space="preserve">患者来源：</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西宁市海拔约2</w:t>
      </w:r>
      <w:r>
        <w:rPr>
          <w:rFonts w:ascii="Times New Roman" w:hAnsi="Times New Roman" w:cs="Times New Roman" w:eastAsia="宋体"/>
          <w:sz w:val="21"/>
        </w:rPr>
        <w:t xml:space="preserve"> 260 </w:t>
      </w:r>
      <w:r>
        <w:rPr>
          <w:rFonts w:hint="eastAsia" w:ascii="Times New Roman" w:hAnsi="Times New Roman" w:cs="Times New Roman" w:eastAsia="宋体"/>
          <w:sz w:val="21"/>
        </w:rPr>
        <w:t xml:space="preserve">m，请说明患者在"海拔≥3</w:t>
      </w:r>
      <w:r>
        <w:rPr>
          <w:rFonts w:ascii="Times New Roman" w:hAnsi="Times New Roman" w:cs="Times New Roman" w:eastAsia="宋体"/>
          <w:sz w:val="21"/>
        </w:rPr>
        <w:t xml:space="preserve"> 000 </w:t>
      </w:r>
      <w:r>
        <w:rPr>
          <w:rFonts w:hint="eastAsia" w:ascii="Times New Roman" w:hAnsi="Times New Roman" w:cs="Times New Roman" w:eastAsia="宋体"/>
          <w:sz w:val="21"/>
        </w:rPr>
        <w:t xml:space="preserve">m地区居住≥10年"的核实方式，以及来源地区分布。</w:t>
      </w:r>
    </w:p>
    <w:p>
      <w:pPr>
        <w:pStyle w:val="Compact"/>
        <w:numPr>
          <w:ilvl w:val="0"/>
          <w:numId w:val="1002"/>
        </w:numPr>
        <w:spacing w:line="360" w:lineRule="auto" w:after="60"/>
      </w:pPr>
      <w:r>
        <w:rPr>
          <w:rFonts w:hint="eastAsia" w:ascii="Times New Roman" w:hAnsi="Times New Roman" w:cs="Times New Roman" w:eastAsia="宋体"/>
          <w:b/>
          <w:bCs/>
          <w:sz w:val="21"/>
        </w:rPr>
        <w:t xml:space="preserve">肥胖分级：</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补充轻度、中度、重度肥胖的分组切点，并注明BMI≥28</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kg/m²的判定依据（WS/T</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428—2013）。</w:t>
      </w:r>
    </w:p>
    <w:p>
      <w:pPr>
        <w:pStyle w:val="Compact"/>
        <w:numPr>
          <w:ilvl w:val="0"/>
          <w:numId w:val="1002"/>
        </w:numPr>
        <w:spacing w:line="360" w:lineRule="auto" w:after="60"/>
      </w:pPr>
      <w:r>
        <w:rPr>
          <w:rFonts w:hint="eastAsia" w:ascii="Times New Roman" w:hAnsi="Times New Roman" w:cs="Times New Roman" w:eastAsia="宋体"/>
          <w:b/>
          <w:bCs/>
          <w:sz w:val="21"/>
        </w:rPr>
        <w:t xml:space="preserve">PPI试验剂量：</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艾司奥美拉唑40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mg每日1次、疗程14</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d，请说明依据。我国专家共识和多数研究所用方案不尽相同。</w:t>
      </w:r>
    </w:p>
    <w:p>
      <w:pPr>
        <w:pStyle w:val="Compact"/>
        <w:numPr>
          <w:ilvl w:val="0"/>
          <w:numId w:val="1002"/>
        </w:numPr>
        <w:spacing w:line="360" w:lineRule="auto" w:after="60"/>
      </w:pPr>
      <w:r>
        <w:rPr>
          <w:rFonts w:hint="eastAsia" w:ascii="Times New Roman" w:hAnsi="Times New Roman" w:cs="Times New Roman" w:eastAsia="宋体"/>
          <w:b/>
          <w:bCs/>
          <w:sz w:val="21"/>
        </w:rPr>
        <w:t xml:space="preserve">内镜判读：</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补充2名内镜医师判读不一致时的处理方式，建议报告判读一致性（κ值）。</w:t>
      </w:r>
    </w:p>
    <w:p>
      <w:pPr>
        <w:pStyle w:val="Compact"/>
        <w:numPr>
          <w:ilvl w:val="0"/>
          <w:numId w:val="1002"/>
        </w:numPr>
        <w:spacing w:line="360" w:lineRule="auto" w:after="60"/>
      </w:pPr>
      <w:r>
        <w:rPr>
          <w:rFonts w:hint="eastAsia" w:ascii="Times New Roman" w:hAnsi="Times New Roman" w:cs="Times New Roman" w:eastAsia="宋体"/>
          <w:b/>
          <w:bCs/>
          <w:sz w:val="21"/>
        </w:rPr>
        <w:t xml:space="preserve">4GerdQ的出处：</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第14条（SAKURAI等）支持以第1、2、5、6条评价疗效，引用恰当，但该研究的疗效标准是各条目≤1分，与本研究的"下降≥1分"不同，请在方法中说明差异。</w:t>
      </w:r>
    </w:p>
    <w:p>
      <w:pPr>
        <w:pStyle w:val="Compact"/>
        <w:numPr>
          <w:ilvl w:val="0"/>
          <w:numId w:val="1002"/>
        </w:numPr>
        <w:spacing w:line="360" w:lineRule="auto" w:after="60"/>
      </w:pPr>
      <w:r>
        <w:rPr>
          <w:rFonts w:hint="eastAsia" w:ascii="Times New Roman" w:hAnsi="Times New Roman" w:cs="Times New Roman" w:eastAsia="宋体"/>
          <w:b/>
          <w:bCs/>
          <w:sz w:val="21"/>
        </w:rPr>
        <w:t xml:space="preserve">χ²值：</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原表6中2×2表的χ²值经复算为连续性校正值，例如胃镜异常的未校正值为6.46，校正后为5.38，须在统计方法中写明。</w:t>
      </w:r>
    </w:p>
    <w:p>
      <w:pPr>
        <w:pStyle w:val="Compact"/>
        <w:numPr>
          <w:ilvl w:val="0"/>
          <w:numId w:val="1002"/>
        </w:numPr>
        <w:spacing w:line="360" w:lineRule="auto" w:after="60"/>
      </w:pPr>
      <w:r>
        <w:rPr>
          <w:rFonts w:hint="eastAsia" w:ascii="Times New Roman" w:hAnsi="Times New Roman" w:cs="Times New Roman" w:eastAsia="宋体"/>
          <w:b/>
          <w:bCs/>
          <w:sz w:val="21"/>
        </w:rPr>
        <w:t xml:space="preserve">图5：</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建议改为</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及95%CI森林图，替代−log₁₀</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条形图。</w:t>
      </w:r>
    </w:p>
    <w:p>
      <w:pPr>
        <w:pStyle w:val="Compact"/>
        <w:numPr>
          <w:ilvl w:val="0"/>
          <w:numId w:val="1002"/>
        </w:numPr>
        <w:spacing w:line="360" w:lineRule="auto" w:after="60"/>
      </w:pPr>
      <w:r>
        <w:rPr>
          <w:rFonts w:hint="eastAsia" w:ascii="Times New Roman" w:hAnsi="Times New Roman" w:cs="Times New Roman" w:eastAsia="宋体"/>
          <w:b/>
          <w:bCs/>
          <w:sz w:val="21"/>
        </w:rPr>
        <w:t xml:space="preserve">肥胖分组比较：</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中度肥胖组高于轻度组，但重度组不高，且连续BMI无相关性，提示可能是抽样波动。讨论中的"阈值效应"缺乏依据，建议删除。</w:t>
      </w:r>
    </w:p>
    <w:p>
      <w:pPr>
        <w:pStyle w:val="Compact"/>
        <w:numPr>
          <w:ilvl w:val="0"/>
          <w:numId w:val="1002"/>
        </w:numPr>
        <w:spacing w:line="360" w:lineRule="auto" w:after="60"/>
      </w:pPr>
      <w:r>
        <w:rPr>
          <w:rFonts w:hint="eastAsia" w:ascii="Times New Roman" w:hAnsi="Times New Roman" w:cs="Times New Roman" w:eastAsia="宋体"/>
          <w:b/>
          <w:bCs/>
          <w:sz w:val="21"/>
        </w:rPr>
        <w:t xml:space="preserve">结论用词：</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"可作为个体化疗效预估的辅助工具"须删除；GerdQ的判别能力宜表述为"有限"，因AUC</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95%CI下限为0.58。</w:t>
      </w:r>
    </w:p>
    <w:p>
      <w:pPr>
        <w:pStyle w:val="Compact"/>
        <w:numPr>
          <w:ilvl w:val="0"/>
          <w:numId w:val="1002"/>
        </w:numPr>
        <w:spacing w:line="360" w:lineRule="auto" w:after="60"/>
      </w:pPr>
      <w:r>
        <w:rPr>
          <w:rFonts w:hint="eastAsia" w:ascii="Times New Roman" w:hAnsi="Times New Roman" w:cs="Times New Roman" w:eastAsia="宋体"/>
          <w:b/>
          <w:bCs/>
          <w:sz w:val="21"/>
        </w:rPr>
        <w:t xml:space="preserve">第6条参考文献：</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版次和页码有误。</w:t>
      </w:r>
      <w:r>
        <w:rPr>
          <w:rFonts w:ascii="Times New Roman" w:hAnsi="Times New Roman" w:cs="Times New Roman" w:eastAsia="宋体"/>
          <w:i/>
          <w:iCs/>
          <w:sz w:val="21"/>
        </w:rPr>
        <w:t xml:space="preserve">The Esophagus</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2021年版为第6版，该章页码为624-632。</w:t>
      </w:r>
    </w:p>
    <w:bookmarkEnd w:id="15"/>
    <w:bookmarkStart w:id="16" w:name="审稿结论"/>
    <w:p>
      <w:pPr>
        <w:pStyle w:val="Heading3"/>
        <w:spacing w:before="120" w:after="120"/>
      </w:pPr>
      <w:r>
        <w:rPr>
          <w:rFonts w:ascii="Times New Roman" w:hAnsi="Times New Roman" w:cs="Times New Roman" w:eastAsia="黑体"/>
          <w:b/>
          <w:color w:val="000000"/>
          <w:sz w:val="21"/>
        </w:rPr>
        <w:t xml:space="preserve">2.4 </w:t>
      </w:r>
      <w:r>
        <w:rPr>
          <w:rFonts w:hint="eastAsia" w:ascii="Times New Roman" w:hAnsi="Times New Roman" w:cs="Times New Roman" w:eastAsia="黑体"/>
          <w:b/>
          <w:color w:val="000000"/>
          <w:sz w:val="21"/>
        </w:rPr>
        <w:t xml:space="preserve">审稿结论</w:t>
      </w:r>
    </w:p>
    <w:p>
      <w:pPr>
        <w:pStyle w:val="FirstParagraph"/>
        <w:spacing w:line="360" w:lineRule="auto" w:after="60"/>
        <w:ind w:firstLine="420"/>
      </w:pPr>
      <w:r>
        <w:rPr>
          <w:rFonts w:hint="eastAsia" w:ascii="Times New Roman" w:hAnsi="Times New Roman" w:cs="Times New Roman" w:eastAsia="宋体"/>
          <w:sz w:val="21"/>
        </w:rPr>
        <w:t xml:space="preserve">稿件有一定临床价值，但计分方法、内镜诊断定义、参考标准、疗效定义和预测模型存在根本性问题，部分引文与原文不符。建议</w:t>
      </w:r>
      <w:r>
        <w:rPr>
          <w:rFonts w:hint="eastAsia" w:ascii="Times New Roman" w:hAnsi="Times New Roman" w:cs="Times New Roman" w:eastAsia="宋体"/>
          <w:b/>
          <w:bCs/>
          <w:sz w:val="21"/>
        </w:rPr>
        <w:t xml:space="preserve">大修后再审</w:t>
      </w:r>
      <w:r>
        <w:rPr>
          <w:rFonts w:hint="eastAsia" w:ascii="Times New Roman" w:hAnsi="Times New Roman" w:cs="Times New Roman" w:eastAsia="宋体"/>
          <w:sz w:val="21"/>
        </w:rPr>
        <w:t xml:space="preserve">。作者须完成主要问题第1~7条的修改并补充相应原始数据，修改稿须重新送审。</w:t>
      </w:r>
    </w:p>
    <w:p>
      <w:pPr>
        <w:spacing w:line="360" w:lineRule="auto" w:after="60"/>
      </w:pPr>
      <w:r>
        <w:rPr>
          <w:rFonts w:ascii="Times New Roman" w:hAnsi="Times New Roman" w:cs="Times New Roman" w:eastAsia="宋体"/>
          <w:sz w:val="21"/>
        </w:rPr>
        <w:pict>
          <v:rect style="width:0;height:1.5pt" o:hralign="center" o:hrstd="t" o:hr="t"/>
        </w:pict>
      </w:r>
    </w:p>
    <w:bookmarkEnd w:id="16"/>
    <w:bookmarkEnd w:id="17"/>
    <w:bookmarkStart w:id="18" w:name="三对初审意见的复核与修订说明"/>
    <w:p>
      <w:pPr>
        <w:pStyle w:val="Heading2"/>
        <w:spacing w:before="240" w:after="120"/>
      </w:pPr>
      <w:r>
        <w:rPr>
          <w:rFonts w:hint="eastAsia" w:ascii="Times New Roman" w:hAnsi="Times New Roman" w:cs="Times New Roman" w:eastAsia="黑体"/>
          <w:b/>
          <w:color w:val="000000"/>
          <w:sz w:val="24"/>
        </w:rPr>
        <w:t xml:space="preserve">三、对初审意见的复核与修订说明</w:t>
      </w:r>
    </w:p>
    <w:p>
      <w:pPr>
        <w:pStyle w:val="FirstParagraph"/>
        <w:spacing w:line="360" w:lineRule="auto" w:after="60"/>
      </w:pPr>
      <w:r>
        <w:rPr>
          <w:rFonts w:hint="eastAsia" w:ascii="Times New Roman" w:hAnsi="Times New Roman" w:cs="Times New Roman" w:eastAsia="宋体"/>
          <w:sz w:val="21"/>
        </w:rPr>
        <w:t xml:space="preserve">撰写上述意见后，本审稿人对初审意见逐条复核，修订了以下3处，以免对作者提出不当要求：</w:t>
      </w:r>
    </w:p>
    <w:p>
      <w:pPr>
        <w:pStyle w:val="Compact"/>
        <w:numPr>
          <w:ilvl w:val="0"/>
          <w:numId w:val="1003"/>
        </w:numPr>
        <w:spacing w:line="360" w:lineRule="auto" w:after="60"/>
      </w:pPr>
      <w:r>
        <w:rPr>
          <w:rFonts w:hint="eastAsia" w:ascii="Times New Roman" w:hAnsi="Times New Roman" w:cs="Times New Roman" w:eastAsia="宋体"/>
          <w:b/>
          <w:bCs/>
          <w:sz w:val="21"/>
        </w:rPr>
        <w:t xml:space="preserve">4GerdQ的出处：</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初审曾怀疑"4条目GerdQ"缺乏出处。查阅SAKURAI等全文后确认，该研究以第1、2、5、6条评价治疗反应，第14条引用恰当，故改为"引用恰当，但疗效标准不同"（次要问题第6条）。</w:t>
      </w:r>
    </w:p>
    <w:p>
      <w:pPr>
        <w:pStyle w:val="Compact"/>
        <w:numPr>
          <w:ilvl w:val="0"/>
          <w:numId w:val="1003"/>
        </w:numPr>
        <w:spacing w:line="360" w:lineRule="auto" w:after="60"/>
      </w:pPr>
      <w:r>
        <w:rPr>
          <w:rFonts w:hint="eastAsia" w:ascii="Times New Roman" w:hAnsi="Times New Roman" w:cs="Times New Roman" w:eastAsia="宋体"/>
          <w:b/>
          <w:bCs/>
          <w:sz w:val="21"/>
        </w:rPr>
        <w:t xml:space="preserve">χ²检验：</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初审曾质疑表6中χ²=5.38与</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=0.020不匹配。复算确认5.38为连续性校正值，</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值正确，故改为"须在方法中注明连续性校正"（次要问题第7条）。</w:t>
      </w:r>
    </w:p>
    <w:p>
      <w:pPr>
        <w:pStyle w:val="Compact"/>
        <w:numPr>
          <w:ilvl w:val="0"/>
          <w:numId w:val="1003"/>
        </w:numPr>
        <w:spacing w:line="360" w:lineRule="auto" w:after="60"/>
      </w:pPr>
      <w:r>
        <w:rPr>
          <w:rFonts w:hint="eastAsia" w:ascii="Times New Roman" w:hAnsi="Times New Roman" w:cs="Times New Roman" w:eastAsia="宋体"/>
          <w:b/>
          <w:bCs/>
          <w:sz w:val="21"/>
        </w:rPr>
        <w:t xml:space="preserve">诊断效能数据：</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初审曾对诊断四格表数据存疑。复算确认，≥8分和≥10分截断值的灵敏度、特异度、预测值与阳性79例、阴性24例完全吻合，数据内部一致，故删除该意见。</w:t>
      </w:r>
    </w:p>
    <w:bookmarkEnd w:id="18"/>
    <w:bookmarkEnd w:id="19"/>
    <w:sectPr>
      <w:footnotePr>
        <w:numRestart w:val="eachSect"/>
      </w:footnotePr>
      <w:pgSz w:h="16838" w:w="11906"/>
      <w:pgMar w:top="1440" w:bottom="1440"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1"/>
    </w:rPr>
  </w:style>
  <w:style w:styleId="BodyText" w:type="paragraph">
    <w:name w:val="Body Text"/>
    <w:basedOn w:val="Normal"/>
    <w:link w:val="BodyTextChar"/>
    <w:qFormat/>
    <w:pPr>
      <w:spacing w:after="180" w:before="180"/>
    </w:pPr>
    <w:rPr>
      <w:rFonts w:ascii="Times New Roman" w:hAnsi="Times New Roman" w:eastAsia="宋体"/>
      <w:sz w:val="21"/>
    </w:rPr>
  </w:style>
  <w:style w:customStyle="1" w:styleId="FirstParagraph" w:type="paragraph">
    <w:name w:val="First Paragraph"/>
    <w:basedOn w:val="BodyText"/>
    <w:next w:val="BodyText"/>
    <w:qFormat/>
    <w:rPr>
      <w:rFonts w:ascii="Times New Roman" w:hAnsi="Times New Roman" w:eastAsia="宋体"/>
      <w:sz w:val="21"/>
    </w:rPr>
  </w:style>
  <w:style w:customStyle="1" w:styleId="Compact" w:type="paragraph">
    <w:name w:val="Compact"/>
    <w:basedOn w:val="BodyText"/>
    <w:qFormat/>
    <w:pPr>
      <w:spacing w:after="36" w:before="36"/>
    </w:pPr>
    <w:rPr>
      <w:rFonts w:ascii="Times New Roman" w:hAnsi="Times New Roman" w:eastAsia="宋体"/>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2026-10-13T16:02:36Z</dcterms:created>
  <dcterms:modified xsi:type="dcterms:W3CDTF">2026-10-13T16:02:36Z</dcterms:modified>
</cp:coreProperties>
</file>

<file path=docProps/custom.xml><?xml version="1.0" encoding="utf-8"?>
<Properties xmlns="http://schemas.openxmlformats.org/officeDocument/2006/custom-properties" xmlns:vt="http://schemas.openxmlformats.org/officeDocument/2006/docPropsVTypes"/>
</file>