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erdq高原肥胖gerd研究统计图表汇总供核对"/>
    <w:p>
      <w:pPr>
        <w:pStyle w:val="Heading1"/>
        <w:spacing w:before="240" w:after="12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32"/>
        </w:rPr>
        <w:t xml:space="preserve">GerdQ高原肥胖GERD研究：统计图表汇总（供核对）</w:t>
      </w:r>
    </w:p>
    <w:p>
      <w:pPr>
        <w:pStyle w:val="FirstParagraph"/>
        <w:spacing w:line="360" w:lineRule="auto" w:after="60"/>
        <w:ind w:firstLine="420"/>
      </w:pPr>
      <w:r>
        <w:rPr>
          <w:rFonts w:hint="eastAsia" w:ascii="Times New Roman" w:hAnsi="Times New Roman" w:cs="Times New Roman" w:eastAsia="宋体"/>
          <w:sz w:val="21"/>
        </w:rPr>
        <w:t xml:space="preserve">本文件由</w:t>
      </w:r>
      <w:r>
        <w:rPr>
          <w:rStyle w:val="VerbatimChar"/>
          <w:rFonts w:ascii="Times New Roman" w:hAnsi="Times New Roman" w:cs="Times New Roman" w:eastAsia="宋体"/>
          <w:sz w:val="21"/>
        </w:rPr>
        <w:t xml:space="preserve">stats/code/run_all.py</w:t>
      </w:r>
      <w:r>
        <w:rPr>
          <w:rFonts w:hint="eastAsia" w:ascii="Times New Roman" w:hAnsi="Times New Roman" w:cs="Times New Roman" w:eastAsia="宋体"/>
          <w:sz w:val="21"/>
        </w:rPr>
        <w:t xml:space="preserve">自动生成。表中数据均来自</w:t>
      </w:r>
      <w:r>
        <w:rPr>
          <w:rStyle w:val="VerbatimChar"/>
          <w:rFonts w:ascii="Times New Roman" w:hAnsi="Times New Roman" w:cs="Times New Roman" w:eastAsia="宋体"/>
          <w:sz w:val="21"/>
        </w:rPr>
        <w:t xml:space="preserve">stats/inputs/summary_data.json</w:t>
      </w:r>
      <w:r>
        <w:rPr>
          <w:rFonts w:hint="eastAsia" w:ascii="Times New Roman" w:hAnsi="Times New Roman" w:cs="Times New Roman" w:eastAsia="宋体"/>
          <w:sz w:val="21"/>
        </w:rPr>
        <w:t xml:space="preserve">（原稿报告值）及由其精确推算的结果；121项一致性核查见</w:t>
      </w:r>
      <w:r>
        <w:rPr>
          <w:rStyle w:val="VerbatimChar"/>
          <w:rFonts w:hint="eastAsia" w:ascii="Times New Roman" w:hAnsi="Times New Roman" w:cs="Times New Roman" w:eastAsia="宋体"/>
          <w:sz w:val="21"/>
        </w:rPr>
        <w:t xml:space="preserve">stats/output/checks/一致性核查.csv</w:t>
      </w:r>
      <w:r>
        <w:rPr>
          <w:rFonts w:ascii="Times New Roman" w:hAnsi="Times New Roman" w:cs="Times New Roman" w:eastAsia="宋体"/>
          <w:sz w:val="21"/>
        </w:rPr>
        <w:t xml:space="preserve">。</w:t>
      </w:r>
    </w:p>
    <w:bookmarkStart w:id="9" w:name="一正文表格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一、正文表格</w:t>
      </w:r>
    </w:p>
    <w:p>
      <w:pPr>
        <w:pStyle w:val="FirstParagraph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表1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不同肥胖程度组患者基线资料比较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650"/>
        <w:gridCol w:w="1270"/>
        <w:gridCol w:w="1402"/>
        <w:gridCol w:w="1270"/>
        <w:gridCol w:w="1155"/>
        <w:gridCol w:w="990"/>
        <w:gridCol w:w="990"/>
      </w:tblGrid>
      <w:tr>
        <w:trPr>
          <w:tblHeader w:val="on"/>
        </w:trPr>
        <w:tc>
          <w:tcPr>
            <w:tcW w:type="dxa" w:w="165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项目</w:t>
            </w:r>
          </w:p>
        </w:tc>
        <w:tc>
          <w:tcPr>
            <w:tcW w:type="dxa" w:w="127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轻度肥胖组（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n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=63）</w:t>
            </w:r>
          </w:p>
        </w:tc>
        <w:tc>
          <w:tcPr>
            <w:tcW w:type="dxa" w:w="140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中度肥胖组（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n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=26）</w:t>
            </w:r>
          </w:p>
        </w:tc>
        <w:tc>
          <w:tcPr>
            <w:tcW w:type="dxa" w:w="127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重度肥胖组（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n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=14）</w:t>
            </w:r>
          </w:p>
        </w:tc>
        <w:tc>
          <w:tcPr>
            <w:tcW w:type="dxa" w:w="115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合计（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n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=103）</w:t>
            </w:r>
          </w:p>
        </w:tc>
        <w:tc>
          <w:tcPr>
            <w:tcW w:type="dxa" w:w="99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统计量</w:t>
            </w:r>
          </w:p>
        </w:tc>
        <w:tc>
          <w:tcPr>
            <w:tcW w:type="dxa" w:w="99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P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值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年龄（岁，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52.75±11.09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53.27±12.36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41.79±11.88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51.39±12.04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=9.13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0.010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身高（m，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1.66±0.06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1.67±0.09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1.63±0.08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1.66±0.08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=2.10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0.350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体重（kg，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79.61±6.32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88.44±10.53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102.46±13.05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84.94±11.66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=34.51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&lt;0.001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BMI（kg/m²，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28.74±0.54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31.59±1.44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38.46±3.36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30.78±3.60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=76.80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&lt;0.001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男性［例（%）］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38（60.3）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13（50.0）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4（28.6）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55（53.4）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χ²=4.80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0.091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吸烟和（或）饮酒［例（%）］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25（39.7）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7（26.9）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2（14.3）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34（33.0）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χ²=3.92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0.141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胃镜异常［例（%）］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25（39.7）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10（38.5）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4（28.6）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39（37.9）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χ²=0.61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0.738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PPI试验阳性［例（%）］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34（54.0）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13（50.0）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10（71.4）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57（55.3）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χ²=1.81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0.404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GERD复合诊断［例（%）］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48（76.2）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20（76.9）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11（78.6）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79（76.7）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χ²=0.04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0.982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基线GerdQ总分［分，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M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（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Q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₁，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Q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₃）］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9（9，11）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11（10，12.8）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9（8，11.5）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10（9，12）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=8.34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0.016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基线4GerdQ（分，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5.97±1.67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6.38±2.14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6.21±2.01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6.11±1.84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=1.36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0.506</w:t>
            </w:r>
          </w:p>
        </w:tc>
      </w:tr>
      <w:tr>
        <w:tc>
          <w:tcPr>
            <w:tcW w:type="dxa" w:w="165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减重幅度（kg，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1.43±1.07</w:t>
            </w:r>
          </w:p>
        </w:tc>
        <w:tc>
          <w:tcPr>
            <w:tcW w:type="dxa" w:w="140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2.06±1.28</w:t>
            </w:r>
          </w:p>
        </w:tc>
        <w:tc>
          <w:tcPr>
            <w:tcW w:type="dxa" w:w="12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1.68±1.60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1.62±1.22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=4.51</w:t>
            </w:r>
          </w:p>
        </w:tc>
        <w:tc>
          <w:tcPr>
            <w:tcW w:type="dxa" w:w="9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0.105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注：BMI为体质指数；PPI为质子泵抑制剂；GERD为胃食管反流病；4GerdQ为GerdQ第1、2、5、6条得分之和；减重幅度为减重管理后体重较基线的下降值。计数资料组间比较采用χ²检验；计量资料采用Kruskal-Wallis</w:t>
      </w:r>
      <w:r>
        <w:rPr>
          <w:rFonts w:ascii="Times New Roman" w:hAnsi="Times New Roman" w:cs="Times New Roman" w:eastAsia="宋体"/>
          <w:sz w:val="18"/>
        </w:rPr>
        <w:t xml:space="preserve"> 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H</w:t>
      </w:r>
      <w:r>
        <w:rPr>
          <w:rFonts w:hint="eastAsia" w:ascii="Times New Roman" w:hAnsi="Times New Roman" w:cs="Times New Roman" w:eastAsia="宋体"/>
          <w:sz w:val="18"/>
        </w:rPr>
        <w:t xml:space="preserve">检验</w:t>
      </w:r>
    </w:p>
    <w:p>
      <w:pPr>
        <w:pStyle w:val="BodyText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表2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103例患者基线GerdQ各条目得分分布及条目-总分相关性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515"/>
        <w:gridCol w:w="1231"/>
        <w:gridCol w:w="1231"/>
        <w:gridCol w:w="1231"/>
        <w:gridCol w:w="1231"/>
        <w:gridCol w:w="1155"/>
        <w:gridCol w:w="1136"/>
      </w:tblGrid>
      <w:tr>
        <w:trPr>
          <w:tblHeader w:val="on"/>
        </w:trPr>
        <w:tc>
          <w:tcPr>
            <w:tcW w:type="dxa" w:w="151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条目</w:t>
            </w:r>
          </w:p>
        </w:tc>
        <w:tc>
          <w:tcPr>
            <w:tcW w:type="dxa" w:w="123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0分［例（%）］</w:t>
            </w:r>
          </w:p>
        </w:tc>
        <w:tc>
          <w:tcPr>
            <w:tcW w:type="dxa" w:w="123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1分［例（%）］</w:t>
            </w:r>
          </w:p>
        </w:tc>
        <w:tc>
          <w:tcPr>
            <w:tcW w:type="dxa" w:w="123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2分［例（%）］</w:t>
            </w:r>
          </w:p>
        </w:tc>
        <w:tc>
          <w:tcPr>
            <w:tcW w:type="dxa" w:w="123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3分［例（%）］</w:t>
            </w:r>
          </w:p>
        </w:tc>
        <w:tc>
          <w:tcPr>
            <w:tcW w:type="dxa" w:w="115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得分（分，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b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）</w:t>
            </w:r>
          </w:p>
        </w:tc>
        <w:tc>
          <w:tcPr>
            <w:tcW w:type="dxa" w:w="1136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条目-总分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r</w:t>
            </w:r>
            <w:r>
              <w:rPr>
                <w:rFonts w:ascii="Times New Roman" w:hAnsi="Times New Roman" w:cs="Times New Roman" w:eastAsia="宋体"/>
                <w:b/>
                <w:sz w:val="18"/>
              </w:rPr>
              <w:t xml:space="preserve">ₛ</w:t>
            </w:r>
          </w:p>
        </w:tc>
      </w:tr>
      <w:tr>
        <w:tc>
          <w:tcPr>
            <w:tcW w:type="dxa" w:w="151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烧心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0（0.0）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19（18.4）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53（51.5）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31（30.1）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2.12±0.69</w:t>
            </w:r>
          </w:p>
        </w:tc>
        <w:tc>
          <w:tcPr>
            <w:tcW w:type="dxa" w:w="113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0.645</w:t>
            </w:r>
          </w:p>
        </w:tc>
      </w:tr>
      <w:tr>
        <w:tc>
          <w:tcPr>
            <w:tcW w:type="dxa" w:w="151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反流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0（0.0）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15（14.6）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41（39.8）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47（45.6）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2.31±0.71</w:t>
            </w:r>
          </w:p>
        </w:tc>
        <w:tc>
          <w:tcPr>
            <w:tcW w:type="dxa" w:w="113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0.677</w:t>
            </w:r>
          </w:p>
        </w:tc>
      </w:tr>
      <w:tr>
        <w:tc>
          <w:tcPr>
            <w:tcW w:type="dxa" w:w="151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上腹痛*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3（2.9）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20（19.4）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55（53.4）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25（24.3）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1.99±0.75</w:t>
            </w:r>
          </w:p>
        </w:tc>
        <w:tc>
          <w:tcPr>
            <w:tcW w:type="dxa" w:w="113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0.309</w:t>
            </w:r>
          </w:p>
        </w:tc>
      </w:tr>
      <w:tr>
        <w:tc>
          <w:tcPr>
            <w:tcW w:type="dxa" w:w="151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恶心*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1（1.0）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25（24.3）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54（52.4）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23（22.3）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1.96±0.71</w:t>
            </w:r>
          </w:p>
        </w:tc>
        <w:tc>
          <w:tcPr>
            <w:tcW w:type="dxa" w:w="113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0.397</w:t>
            </w:r>
          </w:p>
        </w:tc>
      </w:tr>
      <w:tr>
        <w:tc>
          <w:tcPr>
            <w:tcW w:type="dxa" w:w="151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睡眠障碍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22（21.4）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48（46.6）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23（22.3）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10（9.7）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1.20±0.89</w:t>
            </w:r>
          </w:p>
        </w:tc>
        <w:tc>
          <w:tcPr>
            <w:tcW w:type="dxa" w:w="113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0.508</w:t>
            </w:r>
          </w:p>
        </w:tc>
      </w:tr>
      <w:tr>
        <w:tc>
          <w:tcPr>
            <w:tcW w:type="dxa" w:w="151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额外服药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56（54.4）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45（43.7）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2（1.9）</w:t>
            </w:r>
          </w:p>
        </w:tc>
        <w:tc>
          <w:tcPr>
            <w:tcW w:type="dxa" w:w="123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0（0.0）</w:t>
            </w:r>
          </w:p>
        </w:tc>
        <w:tc>
          <w:tcPr>
            <w:tcW w:type="dxa" w:w="115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0.48±0.54</w:t>
            </w:r>
          </w:p>
        </w:tc>
        <w:tc>
          <w:tcPr>
            <w:tcW w:type="dxa" w:w="113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0.217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18"/>
        </w:rPr>
        <w:t xml:space="preserve">注：*阴性预测条目，反向计分（得分越高表示症状天数越少）；条目-总分相关采用Spearman秩相关</w:t>
      </w:r>
    </w:p>
    <w:p>
      <w:pPr>
        <w:pStyle w:val="BodyText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表3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GerdQ总分不同截断值识别GERD复合诊断的效能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505"/>
        <w:gridCol w:w="1881"/>
        <w:gridCol w:w="1881"/>
        <w:gridCol w:w="1166"/>
        <w:gridCol w:w="1166"/>
        <w:gridCol w:w="1128"/>
      </w:tblGrid>
      <w:tr>
        <w:trPr>
          <w:tblHeader w:val="on"/>
        </w:trPr>
        <w:tc>
          <w:tcPr>
            <w:tcW w:type="dxa" w:w="150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截断值（分）</w:t>
            </w:r>
          </w:p>
        </w:tc>
        <w:tc>
          <w:tcPr>
            <w:tcW w:type="dxa" w:w="188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灵敏度［%（95%CI）］</w:t>
            </w:r>
          </w:p>
        </w:tc>
        <w:tc>
          <w:tcPr>
            <w:tcW w:type="dxa" w:w="188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特异度［%（95%CI）］</w:t>
            </w:r>
          </w:p>
        </w:tc>
        <w:tc>
          <w:tcPr>
            <w:tcW w:type="dxa" w:w="116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阳性预测值（%）</w:t>
            </w:r>
          </w:p>
        </w:tc>
        <w:tc>
          <w:tcPr>
            <w:tcW w:type="dxa" w:w="116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阴性预测值（%）</w:t>
            </w:r>
          </w:p>
        </w:tc>
        <w:tc>
          <w:tcPr>
            <w:tcW w:type="dxa" w:w="112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约登指数</w:t>
            </w:r>
          </w:p>
        </w:tc>
      </w:tr>
      <w:tr>
        <w:tc>
          <w:tcPr>
            <w:tcW w:type="dxa" w:w="15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≥8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93.7（86.0~97.3）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29.2（14.9~49.2）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81.3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58.3</w:t>
            </w:r>
          </w:p>
        </w:tc>
        <w:tc>
          <w:tcPr>
            <w:tcW w:type="dxa" w:w="112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0.228</w:t>
            </w:r>
          </w:p>
        </w:tc>
      </w:tr>
      <w:tr>
        <w:tc>
          <w:tcPr>
            <w:tcW w:type="dxa" w:w="15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≥9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82.3（72.4~89.1）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41.7（24.5~61.2）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82.3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41.7</w:t>
            </w:r>
          </w:p>
        </w:tc>
        <w:tc>
          <w:tcPr>
            <w:tcW w:type="dxa" w:w="112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0.239</w:t>
            </w:r>
          </w:p>
        </w:tc>
      </w:tr>
      <w:tr>
        <w:tc>
          <w:tcPr>
            <w:tcW w:type="dxa" w:w="15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≥10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62.0（51.0~71.9）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70.8（50.8~85.1）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87.5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36.2</w:t>
            </w:r>
          </w:p>
        </w:tc>
        <w:tc>
          <w:tcPr>
            <w:tcW w:type="dxa" w:w="112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0.329</w:t>
            </w:r>
          </w:p>
        </w:tc>
      </w:tr>
      <w:tr>
        <w:tc>
          <w:tcPr>
            <w:tcW w:type="dxa" w:w="15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≥11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43.0（32.7~54.0）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79.2（59.5~90.8）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87.2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29.7</w:t>
            </w:r>
          </w:p>
        </w:tc>
        <w:tc>
          <w:tcPr>
            <w:tcW w:type="dxa" w:w="112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0.222</w:t>
            </w:r>
          </w:p>
        </w:tc>
      </w:tr>
      <w:tr>
        <w:tc>
          <w:tcPr>
            <w:tcW w:type="dxa" w:w="15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≥12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34.2（24.7~45.2）</w:t>
            </w:r>
          </w:p>
        </w:tc>
        <w:tc>
          <w:tcPr>
            <w:tcW w:type="dxa" w:w="188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87.5（69.0~95.7）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90.0</w:t>
            </w:r>
          </w:p>
        </w:tc>
        <w:tc>
          <w:tcPr>
            <w:tcW w:type="dxa" w:w="116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28.8</w:t>
            </w:r>
          </w:p>
        </w:tc>
        <w:tc>
          <w:tcPr>
            <w:tcW w:type="dxa" w:w="112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0.217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GERD复合诊断阳性79例、阴性24例；灵敏度和特异度的95%CI采用Wilson法；阳性/阴性似然比分别为≥8分1.32/0.22，≥9分1.41/0.43，≥10分2.13/0.54，≥11分2.07/0.72，≥12分2.73/0.75；因入组要求门诊GerdQ≥7分，本表不能反映≤7分时的诊断效能</w:t>
      </w:r>
    </w:p>
    <w:p>
      <w:pPr>
        <w:pStyle w:val="BodyText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表4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GerdQ总分分层似然比及验后概率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616"/>
        <w:gridCol w:w="1253"/>
        <w:gridCol w:w="2020"/>
        <w:gridCol w:w="1374"/>
        <w:gridCol w:w="1232"/>
        <w:gridCol w:w="1232"/>
      </w:tblGrid>
      <w:tr>
        <w:trPr>
          <w:tblHeader w:val="on"/>
        </w:trPr>
        <w:tc>
          <w:tcPr>
            <w:tcW w:type="dxa" w:w="161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总分区间</w:t>
            </w:r>
          </w:p>
        </w:tc>
        <w:tc>
          <w:tcPr>
            <w:tcW w:type="dxa" w:w="125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阳性/阴性（例）</w:t>
            </w:r>
          </w:p>
        </w:tc>
        <w:tc>
          <w:tcPr>
            <w:tcW w:type="dxa" w:w="202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分层似然比（95%CI）</w:t>
            </w:r>
          </w:p>
        </w:tc>
        <w:tc>
          <w:tcPr>
            <w:tcW w:type="dxa" w:w="1374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本组验后概率（%）</w:t>
            </w:r>
          </w:p>
        </w:tc>
        <w:tc>
          <w:tcPr>
            <w:tcW w:type="dxa" w:w="123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验后概率</w:t>
            </w:r>
            <w:r>
              <w:rPr>
                <w:rFonts w:ascii="Times New Roman" w:hAnsi="Times New Roman" w:cs="Times New Roman" w:eastAsia="宋体"/>
                <w:b/>
                <w:sz w:val="18"/>
                <w:vertAlign w:val="superscript"/>
              </w:rPr>
              <w:t xml:space="preserve">a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（%）</w:t>
            </w:r>
          </w:p>
        </w:tc>
        <w:tc>
          <w:tcPr>
            <w:tcW w:type="dxa" w:w="123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验后概率</w:t>
            </w:r>
            <w:r>
              <w:rPr>
                <w:rFonts w:ascii="Times New Roman" w:hAnsi="Times New Roman" w:cs="Times New Roman" w:eastAsia="宋体"/>
                <w:b/>
                <w:sz w:val="18"/>
                <w:vertAlign w:val="superscript"/>
              </w:rPr>
              <w:t xml:space="preserve">b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（%）</w:t>
            </w:r>
          </w:p>
        </w:tc>
      </w:tr>
      <w:tr>
        <w:tc>
          <w:tcPr>
            <w:tcW w:type="dxa" w:w="161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7分</w:t>
            </w:r>
          </w:p>
        </w:tc>
        <w:tc>
          <w:tcPr>
            <w:tcW w:type="dxa" w:w="125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5/7</w:t>
            </w:r>
          </w:p>
        </w:tc>
        <w:tc>
          <w:tcPr>
            <w:tcW w:type="dxa" w:w="202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0.22（0.08~0.62）</w:t>
            </w:r>
          </w:p>
        </w:tc>
        <w:tc>
          <w:tcPr>
            <w:tcW w:type="dxa" w:w="1374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41.7</w:t>
            </w:r>
          </w:p>
        </w:tc>
        <w:tc>
          <w:tcPr>
            <w:tcW w:type="dxa" w:w="123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8.5</w:t>
            </w:r>
          </w:p>
        </w:tc>
        <w:tc>
          <w:tcPr>
            <w:tcW w:type="dxa" w:w="123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17.8</w:t>
            </w:r>
          </w:p>
        </w:tc>
      </w:tr>
      <w:tr>
        <w:tc>
          <w:tcPr>
            <w:tcW w:type="dxa" w:w="161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8~9分</w:t>
            </w:r>
          </w:p>
        </w:tc>
        <w:tc>
          <w:tcPr>
            <w:tcW w:type="dxa" w:w="125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25/10</w:t>
            </w:r>
          </w:p>
        </w:tc>
        <w:tc>
          <w:tcPr>
            <w:tcW w:type="dxa" w:w="202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0.76（0.43~1.35）</w:t>
            </w:r>
          </w:p>
        </w:tc>
        <w:tc>
          <w:tcPr>
            <w:tcW w:type="dxa" w:w="1374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71.4</w:t>
            </w:r>
          </w:p>
        </w:tc>
        <w:tc>
          <w:tcPr>
            <w:tcW w:type="dxa" w:w="123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24.6</w:t>
            </w:r>
          </w:p>
        </w:tc>
        <w:tc>
          <w:tcPr>
            <w:tcW w:type="dxa" w:w="123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43.2</w:t>
            </w:r>
          </w:p>
        </w:tc>
      </w:tr>
      <w:tr>
        <w:tc>
          <w:tcPr>
            <w:tcW w:type="dxa" w:w="161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≥10分</w:t>
            </w:r>
          </w:p>
        </w:tc>
        <w:tc>
          <w:tcPr>
            <w:tcW w:type="dxa" w:w="125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49/7</w:t>
            </w:r>
          </w:p>
        </w:tc>
        <w:tc>
          <w:tcPr>
            <w:tcW w:type="dxa" w:w="202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2.13（1.11~4.06）</w:t>
            </w:r>
          </w:p>
        </w:tc>
        <w:tc>
          <w:tcPr>
            <w:tcW w:type="dxa" w:w="1374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87.5</w:t>
            </w:r>
          </w:p>
        </w:tc>
        <w:tc>
          <w:tcPr>
            <w:tcW w:type="dxa" w:w="123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47.7</w:t>
            </w:r>
          </w:p>
        </w:tc>
        <w:tc>
          <w:tcPr>
            <w:tcW w:type="dxa" w:w="123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68.0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</w:t>
      </w:r>
      <w:r>
        <w:rPr>
          <w:rFonts w:ascii="Times New Roman" w:hAnsi="Times New Roman" w:cs="Times New Roman" w:eastAsia="宋体"/>
          <w:sz w:val="18"/>
          <w:vertAlign w:val="superscript"/>
        </w:rPr>
        <w:t xml:space="preserve">a</w:t>
      </w:r>
      <w:r>
        <w:rPr>
          <w:rFonts w:hint="eastAsia" w:ascii="Times New Roman" w:hAnsi="Times New Roman" w:cs="Times New Roman" w:eastAsia="宋体"/>
          <w:sz w:val="18"/>
        </w:rPr>
        <w:t xml:space="preserve">验前概率为30%时；</w:t>
      </w:r>
      <w:r>
        <w:rPr>
          <w:rFonts w:ascii="Times New Roman" w:hAnsi="Times New Roman" w:cs="Times New Roman" w:eastAsia="宋体"/>
          <w:sz w:val="18"/>
          <w:vertAlign w:val="superscript"/>
        </w:rPr>
        <w:t xml:space="preserve">b</w:t>
      </w:r>
      <w:r>
        <w:rPr>
          <w:rFonts w:hint="eastAsia" w:ascii="Times New Roman" w:hAnsi="Times New Roman" w:cs="Times New Roman" w:eastAsia="宋体"/>
          <w:sz w:val="18"/>
        </w:rPr>
        <w:t xml:space="preserve">验前概率为50%时；各区间例数为GERD复合诊断阳性/阴性例数，由表3截断值结果反推；本组验前概率（GERD复合诊断比例）为76.7%；分层似然比的95%CI采用对数法；验后概率=验后比值/（1+验后比值），验后比值=验前比值×分层似然比</w:t>
      </w:r>
    </w:p>
    <w:p>
      <w:pPr>
        <w:pStyle w:val="BodyText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表5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103例患者治疗前后GerdQ评分及体重变化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2981"/>
        <w:gridCol w:w="2448"/>
        <w:gridCol w:w="3300"/>
      </w:tblGrid>
      <w:tr>
        <w:trPr>
          <w:tblHeader w:val="on"/>
        </w:trPr>
        <w:tc>
          <w:tcPr>
            <w:tcW w:type="dxa" w:w="298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指标</w:t>
            </w:r>
          </w:p>
        </w:tc>
        <w:tc>
          <w:tcPr>
            <w:tcW w:type="dxa" w:w="244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结果</w:t>
            </w:r>
          </w:p>
        </w:tc>
        <w:tc>
          <w:tcPr>
            <w:tcW w:type="dxa" w:w="330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统计量或95%CI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治疗前4GerdQ（分，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6.11±1.84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治疗后4GerdQ（分，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4.46±2.04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4GerdQ下降值（分，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1.65±1.67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95%CI：1.31~1.99；Wilcoxon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W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=0，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P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&lt;0.001；配对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t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=10.01，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&lt;0.001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症状改善（下降≥1分）［例（%）］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72（69.9）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95%CI：60.5%~77.9%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改善者4GerdQ下降值（分，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2.36±1.52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治疗后4GerdQ≤1分［例（%）］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8（7.8）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95%CI：4.0%~14.6%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GerdQ总分（治疗前→治疗后，分，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10.06±2.02→8.36±2.40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Wilcoxon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&lt;0.001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上腹痛+恶心条目合计（治疗前→治疗后，分）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3.95→3.90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</w:tr>
      <w:tr>
        <w:tc>
          <w:tcPr>
            <w:tcW w:type="dxa" w:w="298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减重幅度（kg，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2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1.62±1.22</w:t>
            </w:r>
          </w:p>
        </w:tc>
        <w:tc>
          <w:tcPr>
            <w:tcW w:type="dxa" w:w="33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范围：−1~5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注：4GerdQ为GerdQ第1、2、5、6条得分之和；下降值=治疗前−治疗后；率的95%CI采用Wilson法；改善者下降值由全体下降值的均数、标准差及未改善者下降值均为0推算；上腹痛+恶心条目合计=GerdQ总分−4GerdQ</w:t>
      </w:r>
    </w:p>
    <w:p>
      <w:pPr>
        <w:pStyle w:val="BodyText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表6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症状改善组与未改善组临床资料比较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2976"/>
        <w:gridCol w:w="1543"/>
        <w:gridCol w:w="1565"/>
        <w:gridCol w:w="1322"/>
        <w:gridCol w:w="1322"/>
      </w:tblGrid>
      <w:tr>
        <w:trPr>
          <w:tblHeader w:val="on"/>
        </w:trPr>
        <w:tc>
          <w:tcPr>
            <w:tcW w:type="dxa" w:w="2976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项目</w:t>
            </w:r>
          </w:p>
        </w:tc>
        <w:tc>
          <w:tcPr>
            <w:tcW w:type="dxa" w:w="154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改善组（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n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=72）</w:t>
            </w:r>
          </w:p>
        </w:tc>
        <w:tc>
          <w:tcPr>
            <w:tcW w:type="dxa" w:w="156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未改善组（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n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=31）</w:t>
            </w:r>
          </w:p>
        </w:tc>
        <w:tc>
          <w:tcPr>
            <w:tcW w:type="dxa" w:w="132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统计量</w:t>
            </w:r>
          </w:p>
        </w:tc>
        <w:tc>
          <w:tcPr>
            <w:tcW w:type="dxa" w:w="132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P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值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年龄（岁，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51.53±11.81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51.06±12.74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=1 152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0.798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BMI（kg/m²，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30.53±3.07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31.38±4.60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=1 042.5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0.600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体重（kg，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83.79±10.99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87.63±12.90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=968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0.288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基线4GerdQ（分，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6.28±1.75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5.71±1.99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=1 297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0.188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基线GerdQ总分（分，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10.19±2.09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9.74±1.84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=1 251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0.328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减重幅度（kg，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1.86±1.30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1.08±0.80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=1 513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0.003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减重百分比（%，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cs="Times New Roman" w:eastAsia="宋体"/>
                <w:sz w:val="18"/>
              </w:rPr>
              <w:t xml:space="preserve">±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s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）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2.26±1.55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1.23±0.92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=1 583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0.001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男性［例（%）］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41（56.9）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14（45.2）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χ²=0.78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0.377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吸烟和（或）饮酒［例（%）］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26（36.1）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8（25.8）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χ²=0.63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0.429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胃镜异常［例（%）］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33（45.8）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6（19.4）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χ²=5.38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0.020</w:t>
            </w:r>
          </w:p>
        </w:tc>
      </w:tr>
      <w:tr>
        <w:tc>
          <w:tcPr>
            <w:tcW w:type="dxa" w:w="29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GERD复合诊断［例（%）］</w:t>
            </w:r>
          </w:p>
        </w:tc>
        <w:tc>
          <w:tcPr>
            <w:tcW w:type="dxa" w:w="15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59（81.9）</w:t>
            </w:r>
          </w:p>
        </w:tc>
        <w:tc>
          <w:tcPr>
            <w:tcW w:type="dxa" w:w="156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20（64.5）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χ²=2.77</w:t>
            </w:r>
          </w:p>
        </w:tc>
        <w:tc>
          <w:tcPr>
            <w:tcW w:type="dxa" w:w="132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0.096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注：症状改善定义为治疗后4GerdQ较基线下降≥1分；计量资料采用Mann-Whitney</w:t>
      </w:r>
      <w:r>
        <w:rPr>
          <w:rFonts w:ascii="Times New Roman" w:hAnsi="Times New Roman" w:cs="Times New Roman" w:eastAsia="宋体"/>
          <w:sz w:val="18"/>
        </w:rPr>
        <w:t xml:space="preserve"> 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U</w:t>
      </w:r>
      <w:r>
        <w:rPr>
          <w:rFonts w:hint="eastAsia" w:ascii="Times New Roman" w:hAnsi="Times New Roman" w:cs="Times New Roman" w:eastAsia="宋体"/>
          <w:sz w:val="18"/>
        </w:rPr>
        <w:t xml:space="preserve">检验；计数资料采用χ²检验（2×2表连续性校正）</w:t>
      </w:r>
    </w:p>
    <w:p>
      <w:pPr>
        <w:pStyle w:val="BodyText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表7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症状改善相关因素的多因素Logistic回归分析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827"/>
        <w:gridCol w:w="1218"/>
        <w:gridCol w:w="1218"/>
        <w:gridCol w:w="1218"/>
        <w:gridCol w:w="2030"/>
        <w:gridCol w:w="1218"/>
      </w:tblGrid>
      <w:tr>
        <w:trPr>
          <w:tblHeader w:val="on"/>
        </w:trPr>
        <w:tc>
          <w:tcPr>
            <w:tcW w:type="dxa" w:w="182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变量</w:t>
            </w:r>
          </w:p>
        </w:tc>
        <w:tc>
          <w:tcPr>
            <w:tcW w:type="dxa" w:w="121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β</w:t>
            </w:r>
          </w:p>
        </w:tc>
        <w:tc>
          <w:tcPr>
            <w:tcW w:type="dxa" w:w="121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SE</w:t>
            </w:r>
          </w:p>
        </w:tc>
        <w:tc>
          <w:tcPr>
            <w:tcW w:type="dxa" w:w="121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 xml:space="preserve">Wald χ²</w:t>
            </w:r>
          </w:p>
        </w:tc>
        <w:tc>
          <w:tcPr>
            <w:tcW w:type="dxa" w:w="203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OR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（95%CI）</w:t>
            </w:r>
          </w:p>
        </w:tc>
        <w:tc>
          <w:tcPr>
            <w:tcW w:type="dxa" w:w="121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P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值</w:t>
            </w:r>
          </w:p>
        </w:tc>
      </w:tr>
      <w:tr>
        <w:tc>
          <w:tcPr>
            <w:tcW w:type="dxa" w:w="182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减重幅度（每1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kg）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0.597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0.224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7.10</w:t>
            </w:r>
          </w:p>
        </w:tc>
        <w:tc>
          <w:tcPr>
            <w:tcW w:type="dxa" w:w="203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1.82（1.17~2.82）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0.008</w:t>
            </w:r>
          </w:p>
        </w:tc>
      </w:tr>
      <w:tr>
        <w:tc>
          <w:tcPr>
            <w:tcW w:type="dxa" w:w="182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胃镜异常（是/否）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1.164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0.533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4.77</w:t>
            </w:r>
          </w:p>
        </w:tc>
        <w:tc>
          <w:tcPr>
            <w:tcW w:type="dxa" w:w="203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3.20（1.13~9.10）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0.029</w:t>
            </w:r>
          </w:p>
        </w:tc>
      </w:tr>
      <w:tr>
        <w:tc>
          <w:tcPr>
            <w:tcW w:type="dxa" w:w="182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常数项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−0.379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0.392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0.93</w:t>
            </w:r>
          </w:p>
        </w:tc>
        <w:tc>
          <w:tcPr>
            <w:tcW w:type="dxa" w:w="203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  <w:tc>
          <w:tcPr>
            <w:tcW w:type="dxa" w:w="121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0.334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注：候选变量为年龄、性别、BMI、吸烟和（或）饮酒、高风险职业、基线4GerdQ、胃镜结果和减重幅度，后退法（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P</w:t>
      </w:r>
      <w:r>
        <w:rPr>
          <w:rFonts w:hint="eastAsia" w:ascii="Times New Roman" w:hAnsi="Times New Roman" w:cs="Times New Roman" w:eastAsia="宋体"/>
          <w:sz w:val="18"/>
        </w:rPr>
        <w:t xml:space="preserve">&gt;0.10剔除）；Wald</w:t>
      </w:r>
      <w:r>
        <w:rPr>
          <w:rFonts w:ascii="Times New Roman" w:hAnsi="Times New Roman" w:cs="Times New Roman" w:eastAsia="宋体"/>
          <w:sz w:val="18"/>
        </w:rPr>
        <w:t xml:space="preserve"> χ²、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OR</w:t>
      </w:r>
      <w:r>
        <w:rPr>
          <w:rFonts w:hint="eastAsia" w:ascii="Times New Roman" w:hAnsi="Times New Roman" w:cs="Times New Roman" w:eastAsia="宋体"/>
          <w:sz w:val="18"/>
        </w:rPr>
        <w:t xml:space="preserve">及95%CI由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β</w:t>
      </w:r>
      <w:r>
        <w:rPr>
          <w:rFonts w:hint="eastAsia" w:ascii="Times New Roman" w:hAnsi="Times New Roman" w:cs="Times New Roman" w:eastAsia="宋体"/>
          <w:sz w:val="18"/>
        </w:rPr>
        <w:t xml:space="preserve">和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SE</w:t>
      </w:r>
      <w:r>
        <w:rPr>
          <w:rFonts w:hint="eastAsia" w:ascii="Times New Roman" w:hAnsi="Times New Roman" w:cs="Times New Roman" w:eastAsia="宋体"/>
          <w:sz w:val="18"/>
        </w:rPr>
        <w:t xml:space="preserve">重新计算；未改善组31例，事件数与候选变量数之比约为3.9，结果存在过拟合风险</w:t>
      </w:r>
    </w:p>
    <w:bookmarkEnd w:id="9"/>
    <w:bookmarkStart w:id="25" w:name="二正文图件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二、正文图件</w:t>
      </w:r>
    </w:p>
    <w:p>
      <w:pPr>
        <w:pStyle w:val="FirstParagraph"/>
        <w:spacing w:line="360" w:lineRule="auto" w:after="60"/>
      </w:pPr>
      <w:r>
        <w:rPr>
          <w:rFonts w:ascii="Times New Roman" w:hAnsi="Times New Roman" w:cs="Times New Roman" w:eastAsia="宋体"/>
          <w:sz w:val="21"/>
        </w:rPr>
        <w:drawing>
          <wp:inline>
            <wp:extent cx="5334000" cy="214615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ats/output/figures/图1_基线GerdQ总分分布及条目分析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6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图1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基线GerdQ总分分布（A）、各条目得分构成（B）及条目-总分相关性（C）</w:t>
      </w:r>
    </w:p>
    <w:p>
      <w:pPr>
        <w:pStyle w:val="BodyText"/>
        <w:spacing w:line="360" w:lineRule="auto" w:after="60"/>
      </w:pPr>
      <w:r>
        <w:rPr>
          <w:rFonts w:ascii="Times New Roman" w:hAnsi="Times New Roman" w:cs="Times New Roman" w:eastAsia="宋体"/>
          <w:sz w:val="21"/>
        </w:rPr>
        <w:drawing>
          <wp:inline>
            <wp:extent cx="5334000" cy="240157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tats/output/figures/图2_不同肥胖程度组GerdQ评分及减重比较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图2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不同肥胖程度组基线GerdQ总分（A）及基线4GerdQ、4GerdQ下降值和减重幅度（B）比较</w:t>
      </w:r>
    </w:p>
    <w:p>
      <w:pPr>
        <w:pStyle w:val="BodyText"/>
        <w:spacing w:line="360" w:lineRule="auto" w:after="60"/>
      </w:pPr>
      <w:r>
        <w:rPr>
          <w:rFonts w:ascii="Times New Roman" w:hAnsi="Times New Roman" w:cs="Times New Roman" w:eastAsia="宋体"/>
          <w:sz w:val="21"/>
        </w:rPr>
        <w:drawing>
          <wp:inline>
            <wp:extent cx="5334000" cy="260279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tats/output/figures/图3_GerdQ诊断GERD的ROC曲线及分层似然比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图3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GerdQ总分识别GERD复合诊断的ROC曲线（A）及分层似然比（B）</w:t>
      </w:r>
    </w:p>
    <w:p>
      <w:pPr>
        <w:pStyle w:val="BodyText"/>
        <w:spacing w:line="360" w:lineRule="auto" w:after="60"/>
      </w:pPr>
      <w:r>
        <w:rPr>
          <w:rFonts w:ascii="Times New Roman" w:hAnsi="Times New Roman" w:cs="Times New Roman" w:eastAsia="宋体"/>
          <w:sz w:val="21"/>
        </w:rPr>
        <w:drawing>
          <wp:inline>
            <wp:extent cx="5334000" cy="189716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stats/output/figures/图4_治疗前后评分变化及不同诊断路径的疗效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图4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治疗前后GerdQ评分变化（A）、不同诊断路径患者的4周症状改善率（B）及PPI试验与4周症状改善的一致性（C）</w:t>
      </w:r>
    </w:p>
    <w:p>
      <w:pPr>
        <w:pStyle w:val="BodyText"/>
        <w:spacing w:line="360" w:lineRule="auto" w:after="60"/>
      </w:pPr>
      <w:r>
        <w:rPr>
          <w:rFonts w:ascii="Times New Roman" w:hAnsi="Times New Roman" w:cs="Times New Roman" w:eastAsia="宋体"/>
          <w:sz w:val="21"/>
        </w:rPr>
        <w:drawing>
          <wp:inline>
            <wp:extent cx="5334000" cy="210067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tats/output/figures/图5_症状改善相关因素的OR森林图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图5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症状改善相关因素的单因素与多因素分析</w:t>
      </w:r>
    </w:p>
    <w:bookmarkEnd w:id="25"/>
    <w:bookmarkStart w:id="26" w:name="三附表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三、附表</w:t>
      </w:r>
    </w:p>
    <w:p>
      <w:pPr>
        <w:pStyle w:val="FirstParagraph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附表S1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重建的GerdQ总分与GERD复合诊断交叉分布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449"/>
        <w:gridCol w:w="1612"/>
        <w:gridCol w:w="1612"/>
        <w:gridCol w:w="1086"/>
        <w:gridCol w:w="1159"/>
        <w:gridCol w:w="1811"/>
      </w:tblGrid>
      <w:tr>
        <w:trPr>
          <w:tblHeader w:val="on"/>
        </w:trPr>
        <w:tc>
          <w:tcPr>
            <w:tcW w:type="dxa" w:w="144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GerdQ总分（分）</w:t>
            </w:r>
          </w:p>
        </w:tc>
        <w:tc>
          <w:tcPr>
            <w:tcW w:type="dxa" w:w="161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GERD复合诊断阳性（例）</w:t>
            </w:r>
          </w:p>
        </w:tc>
        <w:tc>
          <w:tcPr>
            <w:tcW w:type="dxa" w:w="161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GERD复合诊断阴性（例）</w:t>
            </w:r>
          </w:p>
        </w:tc>
        <w:tc>
          <w:tcPr>
            <w:tcW w:type="dxa" w:w="108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合计（例）</w:t>
            </w:r>
          </w:p>
        </w:tc>
        <w:tc>
          <w:tcPr>
            <w:tcW w:type="dxa" w:w="115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GERD比例（%）</w:t>
            </w:r>
          </w:p>
        </w:tc>
        <w:tc>
          <w:tcPr>
            <w:tcW w:type="dxa" w:w="181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逐分似然比（95%CI）</w:t>
            </w:r>
          </w:p>
        </w:tc>
      </w:tr>
      <w:tr>
        <w:tc>
          <w:tcPr>
            <w:tcW w:type="dxa" w:w="1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0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12</w:t>
            </w:r>
          </w:p>
        </w:tc>
        <w:tc>
          <w:tcPr>
            <w:tcW w:type="dxa" w:w="115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41.7</w:t>
            </w:r>
          </w:p>
        </w:tc>
        <w:tc>
          <w:tcPr>
            <w:tcW w:type="dxa" w:w="181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0.22（0.08~0.62）</w:t>
            </w:r>
          </w:p>
        </w:tc>
      </w:tr>
      <w:tr>
        <w:tc>
          <w:tcPr>
            <w:tcW w:type="dxa" w:w="1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</w:t>
            </w:r>
          </w:p>
        </w:tc>
        <w:tc>
          <w:tcPr>
            <w:tcW w:type="dxa" w:w="10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12</w:t>
            </w:r>
          </w:p>
        </w:tc>
        <w:tc>
          <w:tcPr>
            <w:tcW w:type="dxa" w:w="115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75.0</w:t>
            </w:r>
          </w:p>
        </w:tc>
        <w:tc>
          <w:tcPr>
            <w:tcW w:type="dxa" w:w="181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0.91（0.27~3.10）</w:t>
            </w:r>
          </w:p>
        </w:tc>
      </w:tr>
      <w:tr>
        <w:tc>
          <w:tcPr>
            <w:tcW w:type="dxa" w:w="1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16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0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23</w:t>
            </w:r>
          </w:p>
        </w:tc>
        <w:tc>
          <w:tcPr>
            <w:tcW w:type="dxa" w:w="115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69.6</w:t>
            </w:r>
          </w:p>
        </w:tc>
        <w:tc>
          <w:tcPr>
            <w:tcW w:type="dxa" w:w="181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0.69（0.32~1.49）</w:t>
            </w:r>
          </w:p>
        </w:tc>
      </w:tr>
      <w:tr>
        <w:tc>
          <w:tcPr>
            <w:tcW w:type="dxa" w:w="1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10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15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10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17</w:t>
            </w:r>
          </w:p>
        </w:tc>
        <w:tc>
          <w:tcPr>
            <w:tcW w:type="dxa" w:w="115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88.2</w:t>
            </w:r>
          </w:p>
        </w:tc>
        <w:tc>
          <w:tcPr>
            <w:tcW w:type="dxa" w:w="181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2.28（0.56~9.27）</w:t>
            </w:r>
          </w:p>
        </w:tc>
      </w:tr>
      <w:tr>
        <w:tc>
          <w:tcPr>
            <w:tcW w:type="dxa" w:w="1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11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10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</w:t>
            </w:r>
          </w:p>
        </w:tc>
        <w:tc>
          <w:tcPr>
            <w:tcW w:type="dxa" w:w="115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77.8</w:t>
            </w:r>
          </w:p>
        </w:tc>
        <w:tc>
          <w:tcPr>
            <w:tcW w:type="dxa" w:w="181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1.06（0.24~4.78）</w:t>
            </w:r>
          </w:p>
        </w:tc>
      </w:tr>
      <w:tr>
        <w:tc>
          <w:tcPr>
            <w:tcW w:type="dxa" w:w="1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≥12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27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</w:t>
            </w:r>
          </w:p>
        </w:tc>
        <w:tc>
          <w:tcPr>
            <w:tcW w:type="dxa" w:w="10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30</w:t>
            </w:r>
          </w:p>
        </w:tc>
        <w:tc>
          <w:tcPr>
            <w:tcW w:type="dxa" w:w="115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90.0</w:t>
            </w:r>
          </w:p>
        </w:tc>
        <w:tc>
          <w:tcPr>
            <w:tcW w:type="dxa" w:w="181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2.73（0.91~8.23）</w:t>
            </w:r>
          </w:p>
        </w:tc>
      </w:tr>
      <w:tr>
        <w:tc>
          <w:tcPr>
            <w:tcW w:type="dxa" w:w="144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合计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79</w:t>
            </w:r>
          </w:p>
        </w:tc>
        <w:tc>
          <w:tcPr>
            <w:tcW w:type="dxa" w:w="16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24</w:t>
            </w:r>
          </w:p>
        </w:tc>
        <w:tc>
          <w:tcPr>
            <w:tcW w:type="dxa" w:w="10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103</w:t>
            </w:r>
          </w:p>
        </w:tc>
        <w:tc>
          <w:tcPr>
            <w:tcW w:type="dxa" w:w="115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76.7</w:t>
            </w:r>
          </w:p>
        </w:tc>
        <w:tc>
          <w:tcPr>
            <w:tcW w:type="dxa" w:w="181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注：各分值例数由原稿截断值表的灵敏度、特异度唯一反推，并与原稿PPV、NPV、约登指数、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U</w:t>
      </w:r>
      <w:r>
        <w:rPr>
          <w:rFonts w:hint="eastAsia" w:ascii="Times New Roman" w:hAnsi="Times New Roman" w:cs="Times New Roman" w:eastAsia="宋体"/>
          <w:sz w:val="18"/>
        </w:rPr>
        <w:t xml:space="preserve">值逐一核对一致；GERD比例随分值升高的趋势检验：Cochran-Armitage</w:t>
      </w:r>
      <w:r>
        <w:rPr>
          <w:rFonts w:ascii="Times New Roman" w:hAnsi="Times New Roman" w:cs="Times New Roman" w:eastAsia="宋体"/>
          <w:sz w:val="18"/>
        </w:rPr>
        <w:t xml:space="preserve"> 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Z</w:t>
      </w:r>
      <w:r>
        <w:rPr>
          <w:rFonts w:hint="eastAsia" w:ascii="Times New Roman" w:hAnsi="Times New Roman" w:cs="Times New Roman" w:eastAsia="宋体"/>
          <w:sz w:val="18"/>
        </w:rPr>
        <w:t xml:space="preserve">=3.07，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P</w:t>
      </w:r>
      <w:r>
        <w:rPr>
          <w:rFonts w:hint="eastAsia" w:ascii="Times New Roman" w:hAnsi="Times New Roman" w:cs="Times New Roman" w:eastAsia="宋体"/>
          <w:sz w:val="18"/>
        </w:rPr>
        <w:t xml:space="preserve">=0.002（≥12分按12分计）；按本表计算的AUC=0.700（DeLong法95%CI：0.579~0.821）</w:t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附表S2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不同诊断路径患者的GerdQ评分与4周症状改善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739"/>
        <w:gridCol w:w="1043"/>
        <w:gridCol w:w="1669"/>
        <w:gridCol w:w="1582"/>
        <w:gridCol w:w="1478"/>
        <w:gridCol w:w="1217"/>
      </w:tblGrid>
      <w:tr>
        <w:trPr>
          <w:tblHeader w:val="on"/>
        </w:trPr>
        <w:tc>
          <w:tcPr>
            <w:tcW w:type="dxa" w:w="173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诊断路径</w:t>
            </w:r>
          </w:p>
        </w:tc>
        <w:tc>
          <w:tcPr>
            <w:tcW w:type="dxa" w:w="1044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例数</w:t>
            </w:r>
          </w:p>
        </w:tc>
        <w:tc>
          <w:tcPr>
            <w:tcW w:type="dxa" w:w="167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GerdQ≥10分［例（%）］</w:t>
            </w:r>
          </w:p>
        </w:tc>
        <w:tc>
          <w:tcPr>
            <w:tcW w:type="dxa" w:w="158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GerdQ≥10分</w:t>
            </w:r>
            <w:r>
              <w:rPr>
                <w:rFonts w:ascii="Times New Roman" w:hAnsi="Times New Roman" w:cs="Times New Roman" w:eastAsia="宋体"/>
                <w:b/>
                <w:sz w:val="18"/>
              </w:rPr>
              <w:t xml:space="preserve"> 95%CI</w:t>
            </w:r>
          </w:p>
        </w:tc>
        <w:tc>
          <w:tcPr>
            <w:tcW w:type="dxa" w:w="147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4周症状改善［例（%）］</w:t>
            </w:r>
          </w:p>
        </w:tc>
        <w:tc>
          <w:tcPr>
            <w:tcW w:type="dxa" w:w="121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症状改善</w:t>
            </w:r>
            <w:r>
              <w:rPr>
                <w:rFonts w:ascii="Times New Roman" w:hAnsi="Times New Roman" w:cs="Times New Roman" w:eastAsia="宋体"/>
                <w:b/>
                <w:sz w:val="18"/>
              </w:rPr>
              <w:t xml:space="preserve"> 95%CI</w:t>
            </w:r>
          </w:p>
        </w:tc>
      </w:tr>
      <w:tr>
        <w:tc>
          <w:tcPr>
            <w:tcW w:type="dxa" w:w="173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</w:t>
            </w:r>
          </w:p>
        </w:tc>
        <w:tc>
          <w:tcPr>
            <w:tcW w:type="dxa" w:w="1044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39</w:t>
            </w:r>
          </w:p>
        </w:tc>
        <w:tc>
          <w:tcPr>
            <w:tcW w:type="dxa" w:w="167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28（71.8）</w:t>
            </w:r>
          </w:p>
        </w:tc>
        <w:tc>
          <w:tcPr>
            <w:tcW w:type="dxa" w:w="158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56.2%~83.5%</w:t>
            </w:r>
          </w:p>
        </w:tc>
        <w:tc>
          <w:tcPr>
            <w:tcW w:type="dxa" w:w="14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33（84.6）</w:t>
            </w:r>
          </w:p>
        </w:tc>
        <w:tc>
          <w:tcPr>
            <w:tcW w:type="dxa" w:w="121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70.3%~92.8%</w:t>
            </w:r>
          </w:p>
        </w:tc>
      </w:tr>
      <w:tr>
        <w:tc>
          <w:tcPr>
            <w:tcW w:type="dxa" w:w="173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胃镜阴性、PPI试验阳性</w:t>
            </w:r>
          </w:p>
        </w:tc>
        <w:tc>
          <w:tcPr>
            <w:tcW w:type="dxa" w:w="1044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40</w:t>
            </w:r>
          </w:p>
        </w:tc>
        <w:tc>
          <w:tcPr>
            <w:tcW w:type="dxa" w:w="167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21（52.5）</w:t>
            </w:r>
          </w:p>
        </w:tc>
        <w:tc>
          <w:tcPr>
            <w:tcW w:type="dxa" w:w="158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37.5%~67.1%</w:t>
            </w:r>
          </w:p>
        </w:tc>
        <w:tc>
          <w:tcPr>
            <w:tcW w:type="dxa" w:w="14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26（65.0）</w:t>
            </w:r>
          </w:p>
        </w:tc>
        <w:tc>
          <w:tcPr>
            <w:tcW w:type="dxa" w:w="121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49.5%~77.9%</w:t>
            </w:r>
          </w:p>
        </w:tc>
      </w:tr>
      <w:tr>
        <w:tc>
          <w:tcPr>
            <w:tcW w:type="dxa" w:w="173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胃镜阴性、PPI试验阴性</w:t>
            </w:r>
          </w:p>
        </w:tc>
        <w:tc>
          <w:tcPr>
            <w:tcW w:type="dxa" w:w="1044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24</w:t>
            </w:r>
          </w:p>
        </w:tc>
        <w:tc>
          <w:tcPr>
            <w:tcW w:type="dxa" w:w="167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7（29.2）</w:t>
            </w:r>
          </w:p>
        </w:tc>
        <w:tc>
          <w:tcPr>
            <w:tcW w:type="dxa" w:w="158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14.9%~49.2%</w:t>
            </w:r>
          </w:p>
        </w:tc>
        <w:tc>
          <w:tcPr>
            <w:tcW w:type="dxa" w:w="14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13（54.2）</w:t>
            </w:r>
          </w:p>
        </w:tc>
        <w:tc>
          <w:tcPr>
            <w:tcW w:type="dxa" w:w="121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35.1%~72.1%</w:t>
            </w:r>
          </w:p>
        </w:tc>
      </w:tr>
      <w:tr>
        <w:tc>
          <w:tcPr>
            <w:tcW w:type="dxa" w:w="173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趋势检验</w:t>
            </w:r>
          </w:p>
        </w:tc>
        <w:tc>
          <w:tcPr>
            <w:tcW w:type="dxa" w:w="1044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  <w:tc>
          <w:tcPr>
            <w:tcW w:type="dxa" w:w="167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Z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=3.31</w:t>
            </w:r>
          </w:p>
        </w:tc>
        <w:tc>
          <w:tcPr>
            <w:tcW w:type="dxa" w:w="158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&lt;0.001</w:t>
            </w:r>
          </w:p>
        </w:tc>
        <w:tc>
          <w:tcPr>
            <w:tcW w:type="dxa" w:w="14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Z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=2.66</w:t>
            </w:r>
          </w:p>
        </w:tc>
        <w:tc>
          <w:tcPr>
            <w:tcW w:type="dxa" w:w="121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=0.008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例数由原稿报告数据推算（胃镜异常39例；胃镜阴性且PPI试验阳性40例；GERD阴性24例；改善组中GERD阳性59例、胃镜异常33例；GerdQ≥10分者在两种结局下的灵敏度、特异度）；趋势检验为Cochran-Armitage检验（评分2、1、0）；率的95%CI采用Wilson法。胃镜阴性者（64例）中以GerdQ≥10分识别PPI试验阳性：灵敏度52.5%（37.5%~67.1%），特异度70.8%（50.8%~85.1%），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OR</w:t>
      </w:r>
      <w:r>
        <w:rPr>
          <w:rFonts w:hint="eastAsia" w:ascii="Times New Roman" w:hAnsi="Times New Roman" w:cs="Times New Roman" w:eastAsia="宋体"/>
          <w:sz w:val="18"/>
        </w:rPr>
        <w:t xml:space="preserve">=2.68，Fisher确切概率法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P</w:t>
      </w:r>
      <w:r>
        <w:rPr>
          <w:rFonts w:ascii="Times New Roman" w:hAnsi="Times New Roman" w:cs="Times New Roman" w:eastAsia="宋体"/>
          <w:sz w:val="18"/>
        </w:rPr>
        <w:t xml:space="preserve">=0.077</w:t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附表S3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症状改善的单因素与多因素OR及E值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765"/>
        <w:gridCol w:w="1177"/>
        <w:gridCol w:w="1961"/>
        <w:gridCol w:w="1177"/>
        <w:gridCol w:w="1177"/>
        <w:gridCol w:w="1471"/>
      </w:tblGrid>
      <w:tr>
        <w:trPr>
          <w:tblHeader w:val="on"/>
        </w:trPr>
        <w:tc>
          <w:tcPr>
            <w:tcW w:type="dxa" w:w="1766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变量</w:t>
            </w:r>
          </w:p>
        </w:tc>
        <w:tc>
          <w:tcPr>
            <w:tcW w:type="dxa" w:w="117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分析</w:t>
            </w:r>
          </w:p>
        </w:tc>
        <w:tc>
          <w:tcPr>
            <w:tcW w:type="dxa" w:w="196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OR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（95%CI）</w:t>
            </w:r>
          </w:p>
        </w:tc>
        <w:tc>
          <w:tcPr>
            <w:tcW w:type="dxa" w:w="117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P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值</w:t>
            </w:r>
          </w:p>
        </w:tc>
        <w:tc>
          <w:tcPr>
            <w:tcW w:type="dxa" w:w="117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E值（点估计）</w:t>
            </w:r>
          </w:p>
        </w:tc>
        <w:tc>
          <w:tcPr>
            <w:tcW w:type="dxa" w:w="147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E值（95%CI下限）</w:t>
            </w:r>
          </w:p>
        </w:tc>
      </w:tr>
      <w:tr>
        <w:tc>
          <w:tcPr>
            <w:tcW w:type="dxa" w:w="176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男性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单因素</w:t>
            </w:r>
          </w:p>
        </w:tc>
        <w:tc>
          <w:tcPr>
            <w:tcW w:type="dxa" w:w="196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1.61（0.69~3.75）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0.377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1.85</w:t>
            </w:r>
          </w:p>
        </w:tc>
        <w:tc>
          <w:tcPr>
            <w:tcW w:type="dxa" w:w="14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1.00</w:t>
            </w:r>
          </w:p>
        </w:tc>
      </w:tr>
      <w:tr>
        <w:tc>
          <w:tcPr>
            <w:tcW w:type="dxa" w:w="176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吸烟和（或）饮酒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单因素</w:t>
            </w:r>
          </w:p>
        </w:tc>
        <w:tc>
          <w:tcPr>
            <w:tcW w:type="dxa" w:w="196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1.62（0.64~4.15）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0.429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1.87</w:t>
            </w:r>
          </w:p>
        </w:tc>
        <w:tc>
          <w:tcPr>
            <w:tcW w:type="dxa" w:w="14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1.00</w:t>
            </w:r>
          </w:p>
        </w:tc>
      </w:tr>
      <w:tr>
        <w:tc>
          <w:tcPr>
            <w:tcW w:type="dxa" w:w="176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单因素</w:t>
            </w:r>
          </w:p>
        </w:tc>
        <w:tc>
          <w:tcPr>
            <w:tcW w:type="dxa" w:w="196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3.53（1.29~9.63）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0.020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3.16</w:t>
            </w:r>
          </w:p>
        </w:tc>
        <w:tc>
          <w:tcPr>
            <w:tcW w:type="dxa" w:w="14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1.53</w:t>
            </w:r>
          </w:p>
        </w:tc>
      </w:tr>
      <w:tr>
        <w:tc>
          <w:tcPr>
            <w:tcW w:type="dxa" w:w="176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GERD复合诊断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单因素</w:t>
            </w:r>
          </w:p>
        </w:tc>
        <w:tc>
          <w:tcPr>
            <w:tcW w:type="dxa" w:w="196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2.50（0.97~6.45）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0.096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2.54</w:t>
            </w:r>
          </w:p>
        </w:tc>
        <w:tc>
          <w:tcPr>
            <w:tcW w:type="dxa" w:w="14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1.00</w:t>
            </w:r>
          </w:p>
        </w:tc>
      </w:tr>
      <w:tr>
        <w:tc>
          <w:tcPr>
            <w:tcW w:type="dxa" w:w="176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减重幅度（每1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kg）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多因素</w:t>
            </w:r>
          </w:p>
        </w:tc>
        <w:tc>
          <w:tcPr>
            <w:tcW w:type="dxa" w:w="196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1.82（1.17~2.82）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0.008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2.03</w:t>
            </w:r>
          </w:p>
        </w:tc>
        <w:tc>
          <w:tcPr>
            <w:tcW w:type="dxa" w:w="14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1.38</w:t>
            </w:r>
          </w:p>
        </w:tc>
      </w:tr>
      <w:tr>
        <w:tc>
          <w:tcPr>
            <w:tcW w:type="dxa" w:w="176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胃镜异常（是/否）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多因素</w:t>
            </w:r>
          </w:p>
        </w:tc>
        <w:tc>
          <w:tcPr>
            <w:tcW w:type="dxa" w:w="196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3.20（1.13~9.10）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0.029</w:t>
            </w:r>
          </w:p>
        </w:tc>
        <w:tc>
          <w:tcPr>
            <w:tcW w:type="dxa" w:w="1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2.98</w:t>
            </w:r>
          </w:p>
        </w:tc>
        <w:tc>
          <w:tcPr>
            <w:tcW w:type="dxa" w:w="147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1.32</w:t>
            </w:r>
          </w:p>
        </w:tc>
      </w:tr>
    </w:tbl>
    <w:p>
      <w:pPr>
        <w:pStyle w:val="BodyText"/>
        <w:spacing w:line="360" w:lineRule="auto" w:after="60"/>
        <w:ind/>
      </w:pPr>
      <w:r>
        <w:rPr>
          <w:rFonts w:hint="eastAsia" w:ascii="Times New Roman" w:hAnsi="Times New Roman" w:cs="Times New Roman" w:eastAsia="宋体"/>
          <w:sz w:val="18"/>
        </w:rPr>
        <w:t xml:space="preserve">注：单因素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OR</w:t>
      </w:r>
      <w:r>
        <w:rPr>
          <w:rFonts w:hint="eastAsia" w:ascii="Times New Roman" w:hAnsi="Times New Roman" w:cs="Times New Roman" w:eastAsia="宋体"/>
          <w:sz w:val="18"/>
        </w:rPr>
        <w:t xml:space="preserve">由原稿表6四格表计算（行：改善组、未改善组；列：有、无该特征，即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OR</w:t>
      </w:r>
      <w:r>
        <w:rPr>
          <w:rFonts w:hint="eastAsia" w:ascii="Times New Roman" w:hAnsi="Times New Roman" w:cs="Times New Roman" w:eastAsia="宋体"/>
          <w:sz w:val="18"/>
        </w:rPr>
        <w:t xml:space="preserve">=(a×d)/(b×c)），95%CI采用Woolf法，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P</w:t>
      </w:r>
      <w:r>
        <w:rPr>
          <w:rFonts w:hint="eastAsia" w:ascii="Times New Roman" w:hAnsi="Times New Roman" w:cs="Times New Roman" w:eastAsia="宋体"/>
          <w:sz w:val="18"/>
        </w:rPr>
        <w:t xml:space="preserve">值为连续性校正χ²检验；计量资料无原始数据，无法计算单因素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OR</w:t>
      </w:r>
      <w:r>
        <w:rPr>
          <w:rFonts w:hint="eastAsia" w:ascii="Times New Roman" w:hAnsi="Times New Roman" w:cs="Times New Roman" w:eastAsia="宋体"/>
          <w:sz w:val="18"/>
        </w:rPr>
        <w:t xml:space="preserve">，以Hedges</w:t>
      </w:r>
      <w:r>
        <w:rPr>
          <w:rFonts w:ascii="Times New Roman" w:hAnsi="Times New Roman" w:cs="Times New Roman" w:eastAsia="宋体"/>
          <w:sz w:val="18"/>
        </w:rPr>
        <w:t xml:space="preserve"> 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g</w:t>
      </w:r>
      <w:r>
        <w:rPr>
          <w:rFonts w:hint="eastAsia" w:ascii="Times New Roman" w:hAnsi="Times New Roman" w:cs="Times New Roman" w:eastAsia="宋体"/>
          <w:sz w:val="18"/>
        </w:rPr>
        <w:t xml:space="preserve">表示：减重幅度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g</w:t>
      </w:r>
      <w:r>
        <w:rPr>
          <w:rFonts w:hint="eastAsia" w:ascii="Times New Roman" w:hAnsi="Times New Roman" w:cs="Times New Roman" w:eastAsia="宋体"/>
          <w:sz w:val="18"/>
        </w:rPr>
        <w:t xml:space="preserve">=0.66，减重百分比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g</w:t>
      </w:r>
      <w:r>
        <w:rPr>
          <w:rFonts w:hint="eastAsia" w:ascii="Times New Roman" w:hAnsi="Times New Roman" w:cs="Times New Roman" w:eastAsia="宋体"/>
          <w:sz w:val="18"/>
        </w:rPr>
        <w:t xml:space="preserve">=0.73；E值按VanderWeele法计算（结局常见，先以√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OR</w:t>
      </w:r>
      <w:r>
        <w:rPr>
          <w:rFonts w:hint="eastAsia" w:ascii="Times New Roman" w:hAnsi="Times New Roman" w:cs="Times New Roman" w:eastAsia="宋体"/>
          <w:sz w:val="18"/>
        </w:rPr>
        <w:t xml:space="preserve">近似换算为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RR</w:t>
      </w:r>
      <w:r>
        <w:rPr>
          <w:rFonts w:hint="eastAsia" w:ascii="Times New Roman" w:hAnsi="Times New Roman" w:cs="Times New Roman" w:eastAsia="宋体"/>
          <w:sz w:val="18"/>
        </w:rPr>
        <w:t xml:space="preserve">），表示能完全解释该关联所需的未测混杂强度（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RR</w:t>
      </w:r>
      <w:r>
        <w:rPr>
          <w:rFonts w:hint="eastAsia" w:ascii="Times New Roman" w:hAnsi="Times New Roman" w:cs="Times New Roman" w:eastAsia="宋体"/>
          <w:sz w:val="18"/>
        </w:rPr>
        <w:t xml:space="preserve">尺度），95%CI下限≤1时E值记为1.00</w:t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附表S4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胃镜阴性者PPI试验与4周症状改善的一致性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2586"/>
        <w:gridCol w:w="2198"/>
        <w:gridCol w:w="2004"/>
        <w:gridCol w:w="1940"/>
      </w:tblGrid>
      <w:tr>
        <w:trPr>
          <w:tblHeader w:val="on"/>
        </w:trPr>
        <w:tc>
          <w:tcPr>
            <w:tcW w:type="dxa" w:w="258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胃镜阴性者（</w:t>
            </w: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n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=64）</w:t>
            </w:r>
          </w:p>
        </w:tc>
        <w:tc>
          <w:tcPr>
            <w:tcW w:type="dxa" w:w="219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4周症状改善（例）</w:t>
            </w:r>
          </w:p>
        </w:tc>
        <w:tc>
          <w:tcPr>
            <w:tcW w:type="dxa" w:w="200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4周未改善（例）</w:t>
            </w:r>
          </w:p>
        </w:tc>
        <w:tc>
          <w:tcPr>
            <w:tcW w:type="dxa" w:w="194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合计（例）</w:t>
            </w:r>
          </w:p>
        </w:tc>
      </w:tr>
      <w:tr>
        <w:tc>
          <w:tcPr>
            <w:tcW w:type="dxa" w:w="2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PPI试验阳性</w:t>
            </w:r>
          </w:p>
        </w:tc>
        <w:tc>
          <w:tcPr>
            <w:tcW w:type="dxa" w:w="21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26</w:t>
            </w:r>
          </w:p>
        </w:tc>
        <w:tc>
          <w:tcPr>
            <w:tcW w:type="dxa" w:w="20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14</w:t>
            </w:r>
          </w:p>
        </w:tc>
        <w:tc>
          <w:tcPr>
            <w:tcW w:type="dxa" w:w="194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40</w:t>
            </w:r>
          </w:p>
        </w:tc>
      </w:tr>
      <w:tr>
        <w:tc>
          <w:tcPr>
            <w:tcW w:type="dxa" w:w="2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PPI试验阴性</w:t>
            </w:r>
          </w:p>
        </w:tc>
        <w:tc>
          <w:tcPr>
            <w:tcW w:type="dxa" w:w="21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13</w:t>
            </w:r>
          </w:p>
        </w:tc>
        <w:tc>
          <w:tcPr>
            <w:tcW w:type="dxa" w:w="20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11</w:t>
            </w:r>
          </w:p>
        </w:tc>
        <w:tc>
          <w:tcPr>
            <w:tcW w:type="dxa" w:w="194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24</w:t>
            </w:r>
          </w:p>
        </w:tc>
      </w:tr>
      <w:tr>
        <w:tc>
          <w:tcPr>
            <w:tcW w:type="dxa" w:w="2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合计</w:t>
            </w:r>
          </w:p>
        </w:tc>
        <w:tc>
          <w:tcPr>
            <w:tcW w:type="dxa" w:w="21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39</w:t>
            </w:r>
          </w:p>
        </w:tc>
        <w:tc>
          <w:tcPr>
            <w:tcW w:type="dxa" w:w="200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25</w:t>
            </w:r>
          </w:p>
        </w:tc>
        <w:tc>
          <w:tcPr>
            <w:tcW w:type="dxa" w:w="194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64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18"/>
        </w:rPr>
        <w:t xml:space="preserve">注：一致率57.8%；Cohen</w:t>
      </w:r>
      <w:r>
        <w:rPr>
          <w:rFonts w:ascii="Times New Roman" w:hAnsi="Times New Roman" w:cs="Times New Roman" w:eastAsia="宋体"/>
          <w:sz w:val="18"/>
        </w:rPr>
        <w:t xml:space="preserve"> </w:t>
      </w:r>
      <w:r>
        <w:rPr>
          <w:rFonts w:hint="eastAsia" w:ascii="Times New Roman" w:hAnsi="Times New Roman" w:cs="Times New Roman" w:eastAsia="宋体"/>
          <w:sz w:val="18"/>
        </w:rPr>
        <w:t xml:space="preserve">κ=0.11（95%CI：−0.15~0.36）</w:t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附表S5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原列线图模型评价指标重估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2328"/>
        <w:gridCol w:w="1912"/>
        <w:gridCol w:w="1912"/>
        <w:gridCol w:w="2577"/>
      </w:tblGrid>
      <w:tr>
        <w:trPr>
          <w:tblHeader w:val="on"/>
        </w:trPr>
        <w:tc>
          <w:tcPr>
            <w:tcW w:type="dxa" w:w="232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指标</w:t>
            </w:r>
          </w:p>
        </w:tc>
        <w:tc>
          <w:tcPr>
            <w:tcW w:type="dxa" w:w="191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原稿报告</w:t>
            </w:r>
          </w:p>
        </w:tc>
        <w:tc>
          <w:tcPr>
            <w:tcW w:type="dxa" w:w="191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重新评估</w:t>
            </w:r>
          </w:p>
        </w:tc>
        <w:tc>
          <w:tcPr>
            <w:tcW w:type="dxa" w:w="257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说明</w:t>
            </w:r>
          </w:p>
        </w:tc>
      </w:tr>
      <w:tr>
        <w:tc>
          <w:tcPr>
            <w:tcW w:type="dxa" w:w="232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事件数与候选变量数之比（EPV）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未报告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3.9</w:t>
            </w:r>
          </w:p>
        </w:tc>
        <w:tc>
          <w:tcPr>
            <w:tcW w:type="dxa" w:w="25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未改善组31例/8个候选变量；一般要求≥10</w:t>
            </w:r>
          </w:p>
        </w:tc>
      </w:tr>
      <w:tr>
        <w:tc>
          <w:tcPr>
            <w:tcW w:type="dxa" w:w="232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表观AUC（95%CI）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0.728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0.728（0.629~0.827）</w:t>
            </w:r>
          </w:p>
        </w:tc>
        <w:tc>
          <w:tcPr>
            <w:tcW w:type="dxa" w:w="25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Hanley-McNeil法</w:t>
            </w:r>
          </w:p>
        </w:tc>
      </w:tr>
      <w:tr>
        <w:tc>
          <w:tcPr>
            <w:tcW w:type="dxa" w:w="232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校正AUC（95%CI）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0.714（0.705~0.730）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0.714（0.613~0.815）</w:t>
            </w:r>
          </w:p>
        </w:tc>
        <w:tc>
          <w:tcPr>
            <w:tcW w:type="dxa" w:w="25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原稿区间为Bootstrap乐观度的波动范围，不是AUC的置信区间</w:t>
            </w:r>
          </w:p>
        </w:tc>
      </w:tr>
      <w:tr>
        <w:tc>
          <w:tcPr>
            <w:tcW w:type="dxa" w:w="232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校准斜率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1.00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不适用</w:t>
            </w:r>
          </w:p>
        </w:tc>
        <w:tc>
          <w:tcPr>
            <w:tcW w:type="dxa" w:w="25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在建模数据上计算的Logistic回归表观校准斜率恒为1</w:t>
            </w:r>
          </w:p>
        </w:tc>
      </w:tr>
      <w:tr>
        <w:tc>
          <w:tcPr>
            <w:tcW w:type="dxa" w:w="232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预测变量时间顺序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  <w:tc>
          <w:tcPr>
            <w:tcW w:type="dxa" w:w="19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不满足</w:t>
            </w:r>
          </w:p>
        </w:tc>
        <w:tc>
          <w:tcPr>
            <w:tcW w:type="dxa" w:w="25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减重幅度在治疗结束时才能获得，不能用于治疗前预测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18"/>
        </w:rPr>
        <w:t xml:space="preserve">注：基于原稿报告值计算；修改稿据此删除列线图</w:t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附表S6</w:t>
      </w:r>
      <w:r>
        <w:rPr>
          <w:rFonts w:ascii="Times New Roman" w:hAnsi="Times New Roman" w:cs="Times New Roman" w:eastAsia="宋体"/>
          <w:b/>
          <w:bCs/>
          <w:sz w:val="21"/>
        </w:rPr>
        <w:t xml:space="preserve">　</w:t>
      </w: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后续研究样本量估算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887"/>
        <w:gridCol w:w="3185"/>
        <w:gridCol w:w="3657"/>
      </w:tblGrid>
      <w:tr>
        <w:trPr>
          <w:tblHeader w:val="on"/>
        </w:trPr>
        <w:tc>
          <w:tcPr>
            <w:tcW w:type="dxa" w:w="188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研究目标</w:t>
            </w:r>
          </w:p>
        </w:tc>
        <w:tc>
          <w:tcPr>
            <w:tcW w:type="dxa" w:w="3186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假设</w:t>
            </w:r>
          </w:p>
        </w:tc>
        <w:tc>
          <w:tcPr>
            <w:tcW w:type="dxa" w:w="365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所需例数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估计特异度</w:t>
            </w:r>
          </w:p>
        </w:tc>
        <w:tc>
          <w:tcPr>
            <w:tcW w:type="dxa" w:w="318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预期30%，95%CI半宽±10%</w:t>
            </w:r>
          </w:p>
        </w:tc>
        <w:tc>
          <w:tcPr>
            <w:tcW w:type="dxa" w:w="365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非GERD患者81例；按患病率76.7%，共约348例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估计灵敏度</w:t>
            </w:r>
          </w:p>
        </w:tc>
        <w:tc>
          <w:tcPr>
            <w:tcW w:type="dxa" w:w="318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预期90%，95%CI半宽±5%</w:t>
            </w:r>
          </w:p>
        </w:tc>
        <w:tc>
          <w:tcPr>
            <w:tcW w:type="dxa" w:w="365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GERD患者139例；共约182例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疗效模型外部验证</w:t>
            </w:r>
          </w:p>
        </w:tc>
        <w:tc>
          <w:tcPr>
            <w:tcW w:type="dxa" w:w="318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结局事件与非事件各≥100例</w:t>
            </w:r>
          </w:p>
        </w:tc>
        <w:tc>
          <w:tcPr>
            <w:tcW w:type="dxa" w:w="365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按未改善率30.1%，约333例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18"/>
        </w:rPr>
        <w:t xml:space="preserve">注：按正态近似公式</w:t>
      </w:r>
      <w:r>
        <w:rPr>
          <w:rFonts w:ascii="Times New Roman" w:hAnsi="Times New Roman" w:cs="Times New Roman" w:eastAsia="宋体"/>
          <w:sz w:val="18"/>
        </w:rPr>
        <w:t xml:space="preserve"> n=1.96²×p×(1−p)/d² </w:t>
      </w:r>
      <w:r>
        <w:rPr>
          <w:rFonts w:hint="eastAsia" w:ascii="Times New Roman" w:hAnsi="Times New Roman" w:cs="Times New Roman" w:eastAsia="宋体"/>
          <w:sz w:val="18"/>
        </w:rPr>
        <w:t xml:space="preserve">计算</w:t>
      </w:r>
    </w:p>
    <w:bookmarkEnd w:id="26"/>
    <w:bookmarkEnd w:id="27"/>
    <w:sectPr>
      <w:footnotePr>
        <w:numRestart w:val="eachSect"/>
      </w:footnotePr>
      <w:pgSz w:h="16838" w:w="11906"/>
      <w:pgMar w:top="1440" w:bottom="1440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宋体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宋体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宋体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2026-10-14T00:46:20Z</dcterms:created>
  <dcterms:modified xsi:type="dcterms:W3CDTF">2026-10-14T00:46:20Z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