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supplementary-information"/>
    <w:p>
      <w:pPr>
        <w:pStyle w:val="Heading1"/>
      </w:pPr>
      <w:r>
        <w:t xml:space="preserve">Supplementary Information</w:t>
      </w:r>
    </w:p>
    <w:p>
      <w:pPr>
        <w:pStyle w:val="FirstParagraph"/>
      </w:pPr>
      <w:r>
        <w:rPr>
          <w:b/>
          <w:bCs/>
        </w:rPr>
        <w:t xml:space="preserve">Pathology foundation models for rare disease diagnosis: data-efficient adaptation, cross-site robustness and the evidence gap</w:t>
      </w:r>
    </w:p>
    <w:p>
      <w:pPr>
        <w:pStyle w:val="BodyText"/>
      </w:pPr>
      <w:r>
        <w:t xml:space="preserve">Reference numbers in this document refer to the reference list of the main manuscript.</w:t>
      </w:r>
    </w:p>
    <w:p>
      <w:r>
        <w:pict>
          <v:rect style="width:0;height:1.5pt" o:hralign="center" o:hrstd="t" o:hr="t"/>
        </w:pict>
      </w:r>
    </w:p>
    <w:bookmarkStart w:id="14" w:name="X46a42f96cae0f047ee9091c87398e1df4e7ef64"/>
    <w:p>
      <w:pPr>
        <w:pStyle w:val="Heading2"/>
      </w:pPr>
      <w:r>
        <w:t xml:space="preserve">Supplementary Methods: literature search and selection</w:t>
      </w:r>
    </w:p>
    <w:bookmarkStart w:id="9" w:name="databases-and-period"/>
    <w:p>
      <w:pPr>
        <w:pStyle w:val="Heading3"/>
      </w:pPr>
      <w:r>
        <w:t xml:space="preserve">Databases and period</w:t>
      </w:r>
    </w:p>
    <w:p>
      <w:pPr>
        <w:pStyle w:val="FirstParagraph"/>
      </w:pPr>
      <w:r>
        <w:t xml:space="preserve">PubMed/MEDLINE, Web of Science Core Collection and arXiv (categories cs.CV, cs.LG, eess.IV and q-bio). Publication dates from 1 January 2020 to 11 October 2026. Journal websites and reference lists of included articles were also hand-searched.</w:t>
      </w:r>
    </w:p>
    <w:bookmarkEnd w:id="9"/>
    <w:bookmarkStart w:id="10" w:name="query-families"/>
    <w:p>
      <w:pPr>
        <w:pStyle w:val="Heading3"/>
      </w:pPr>
      <w:r>
        <w:t xml:space="preserve">Query families</w:t>
      </w:r>
    </w:p>
    <w:p>
      <w:pPr>
        <w:pStyle w:val="FirstParagraph"/>
      </w:pPr>
      <w:r>
        <w:t xml:space="preserve">The query families below are templates. [Authors: replace them with the exact strings and run dates, and report the number of records retrieved for each database.]</w:t>
      </w:r>
    </w:p>
    <w:p>
      <w:pPr>
        <w:pStyle w:val="BodyText"/>
      </w:pPr>
      <w:r>
        <w:rPr>
          <w:b/>
          <w:bCs/>
        </w:rPr>
        <w:t xml:space="preserve">A. Pathology foundation models</w:t>
      </w:r>
      <w:r>
        <w:t xml:space="preserve"> </w:t>
      </w:r>
      <w:r>
        <w:rPr>
          <w:rStyle w:val="VerbatimChar"/>
        </w:rPr>
        <w:t xml:space="preserve">("foundation model" OR "self-supervised" OR "vision-language" OR "vision transformer") AND (pathology OR histopathology OR "whole slide image*" OR "computational pathology")</w:t>
      </w:r>
    </w:p>
    <w:p>
      <w:pPr>
        <w:pStyle w:val="BodyText"/>
      </w:pPr>
      <w:r>
        <w:rPr>
          <w:b/>
          <w:bCs/>
        </w:rPr>
        <w:t xml:space="preserve">B. Rare diseases and few-shot adaptation</w:t>
      </w:r>
      <w:r>
        <w:t xml:space="preserve"> </w:t>
      </w:r>
      <w:r>
        <w:rPr>
          <w:rStyle w:val="VerbatimChar"/>
        </w:rPr>
        <w:t xml:space="preserve">(A) AND ("rare disease*" OR "rare cancer*" OR "rare tumo*" OR orphan OR sarcoma OR "paediatric tumo*" OR "pediatric tumo*" OR lymphoma OR "few-shot" OR "zero-shot" OR "prompt tuning" OR "low-rank adaptation" OR "multiple instance learning")</w:t>
      </w:r>
    </w:p>
    <w:p>
      <w:pPr>
        <w:pStyle w:val="BodyText"/>
      </w:pPr>
      <w:r>
        <w:rPr>
          <w:b/>
          <w:bCs/>
        </w:rPr>
        <w:t xml:space="preserve">C. Domain generalization and clinical validation</w:t>
      </w:r>
      <w:r>
        <w:t xml:space="preserve"> </w:t>
      </w:r>
      <w:r>
        <w:rPr>
          <w:rStyle w:val="VerbatimChar"/>
        </w:rPr>
        <w:t xml:space="preserve">(A) AND ("domain shift" OR "domain generali*" OR robustness OR "batch effect*" OR "stain normali*" OR "external validation" OR prospective OR "silent trial" OR calibration OR "conformal prediction" OR "reporting guideline*" OR regulat*)</w:t>
      </w:r>
    </w:p>
    <w:bookmarkEnd w:id="10"/>
    <w:bookmarkStart w:id="11" w:name="eligibility"/>
    <w:p>
      <w:pPr>
        <w:pStyle w:val="Heading3"/>
      </w:pPr>
      <w:r>
        <w:t xml:space="preserve">Eligibility</w:t>
      </w:r>
    </w:p>
    <w:p>
      <w:pPr>
        <w:pStyle w:val="Compact"/>
        <w:numPr>
          <w:ilvl w:val="0"/>
          <w:numId w:val="1001"/>
        </w:numPr>
      </w:pPr>
      <w:r>
        <w:rPr>
          <w:b/>
          <w:bCs/>
        </w:rPr>
        <w:t xml:space="preserve">Included:</w:t>
      </w:r>
      <w:r>
        <w:t xml:space="preserve"> </w:t>
      </w:r>
      <w:r>
        <w:t xml:space="preserve">original research, benchmarks, reporting guidelines and regulatory documents relevant to pathology foundation models or data-efficient adaptation, with at least one of (i) a rare disease application, (ii) a quantitative evaluation of cross-site robustness, or (iii) a clinical or prospective evaluation.</w:t>
      </w:r>
    </w:p>
    <w:p>
      <w:pPr>
        <w:pStyle w:val="Compact"/>
        <w:numPr>
          <w:ilvl w:val="0"/>
          <w:numId w:val="1001"/>
        </w:numPr>
      </w:pPr>
      <w:r>
        <w:rPr>
          <w:b/>
          <w:bCs/>
        </w:rPr>
        <w:t xml:space="preserve">Excluded:</w:t>
      </w:r>
      <w:r>
        <w:t xml:space="preserve"> </w:t>
      </w:r>
      <w:r>
        <w:t xml:space="preserve">news articles, company press releases, blogs, and records lacking author and venue information. Conference abstracts were included only when they reported quantitative results, and they are labelled as such.</w:t>
      </w:r>
    </w:p>
    <w:bookmarkEnd w:id="11"/>
    <w:bookmarkStart w:id="12" w:name="screening-and-data-extraction"/>
    <w:p>
      <w:pPr>
        <w:pStyle w:val="Heading3"/>
      </w:pPr>
      <w:r>
        <w:t xml:space="preserve">Screening and data extraction</w:t>
      </w:r>
    </w:p>
    <w:p>
      <w:pPr>
        <w:pStyle w:val="FirstParagraph"/>
      </w:pPr>
      <w:r>
        <w:t xml:space="preserve">[Authors: report the number of records identified, screened, assessed in full text and included, for example as a flow diagram adapted from PRISMA 2020. Describe who screened records and how disagreements were resolved.]</w:t>
      </w:r>
    </w:p>
    <w:bookmarkEnd w:id="12"/>
    <w:bookmarkStart w:id="13" w:name="reference-verification"/>
    <w:p>
      <w:pPr>
        <w:pStyle w:val="Heading3"/>
      </w:pPr>
      <w:r>
        <w:t xml:space="preserve">Reference verification</w:t>
      </w:r>
    </w:p>
    <w:p>
      <w:pPr>
        <w:pStyle w:val="FirstParagraph"/>
      </w:pPr>
      <w:r>
        <w:t xml:space="preserve">Every reference in the main manuscript was verified against Crossref (DOI metadata), arXiv (identifier, title, authors and abstract), journal websites (key quantitative statements) or ClinicalTrials.gov (registrations). The verification log is available from the authors on request.</w:t>
      </w:r>
    </w:p>
    <w:p>
      <w:r>
        <w:pict>
          <v:rect style="width:0;height:1.5pt" o:hralign="center" o:hrstd="t" o:hr="t"/>
        </w:pict>
      </w:r>
    </w:p>
    <w:bookmarkEnd w:id="13"/>
    <w:bookmarkEnd w:id="14"/>
    <w:bookmarkStart w:id="15" w:name="X96039e222b543c4c998bfd6c57eb593b25d80aa"/>
    <w:p>
      <w:pPr>
        <w:pStyle w:val="Heading2"/>
      </w:pPr>
      <w:r>
        <w:t xml:space="preserve">Supplementary Table 1 | Inventory of pathology foundation models</w:t>
      </w:r>
    </w:p>
    <w:p>
      <w:pPr>
        <w:pStyle w:val="FirstParagraph"/>
      </w:pPr>
      <w:r>
        <w:t xml:space="preserve">[Authors: complete this table from the developers’ publications and model cards, and check licence terms on the date of submission.]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Developer</w:t>
            </w:r>
          </w:p>
        </w:tc>
        <w:tc>
          <w:tcPr/>
          <w:p>
            <w:pPr>
              <w:pStyle w:val="Compact"/>
            </w:pPr>
            <w:r>
              <w:t xml:space="preserve">Backbone and parameters</w:t>
            </w:r>
          </w:p>
        </w:tc>
        <w:tc>
          <w:tcPr/>
          <w:p>
            <w:pPr>
              <w:pStyle w:val="Compact"/>
            </w:pPr>
            <w:r>
              <w:t xml:space="preserve">Pretraining data</w:t>
            </w:r>
          </w:p>
        </w:tc>
        <w:tc>
          <w:tcPr/>
          <w:p>
            <w:pPr>
              <w:pStyle w:val="Compact"/>
            </w:pPr>
            <w:r>
              <w:t xml:space="preserve">Objective</w:t>
            </w:r>
          </w:p>
        </w:tc>
        <w:tc>
          <w:tcPr/>
          <w:p>
            <w:pPr>
              <w:pStyle w:val="Compact"/>
            </w:pPr>
            <w:r>
              <w:t xml:space="preserve">Weights available</w:t>
            </w:r>
          </w:p>
        </w:tc>
        <w:tc>
          <w:tcPr/>
          <w:p>
            <w:pPr>
              <w:pStyle w:val="Compact"/>
            </w:pPr>
            <w:r>
              <w:t xml:space="preserve">Licence</w:t>
            </w:r>
          </w:p>
        </w:tc>
        <w:tc>
          <w:tcPr/>
          <w:p>
            <w:pPr>
              <w:pStyle w:val="Compact"/>
            </w:pPr>
            <w:r>
              <w:t xml:space="preserve">Ref.</w:t>
            </w:r>
          </w:p>
        </w:tc>
      </w:tr>
      <w:tr>
        <w:tc>
          <w:tcPr/>
          <w:p>
            <w:pPr>
              <w:pStyle w:val="Compact"/>
            </w:pPr>
            <w:r>
              <w:t xml:space="preserve">CTransPath</w:t>
            </w:r>
          </w:p>
        </w:tc>
        <w:tc>
          <w:tcPr/>
          <w:p>
            <w:pPr>
              <w:pStyle w:val="Compact"/>
            </w:pPr>
            <w:r>
              <w:t xml:space="preserve">Sichuan Univ./Tencent</w:t>
            </w:r>
          </w:p>
        </w:tc>
        <w:tc>
          <w:tcPr/>
          <w:p>
            <w:pPr>
              <w:pStyle w:val="Compact"/>
            </w:pPr>
            <w:r>
              <w:t xml:space="preserve">Swin-T + CNN</w:t>
            </w:r>
          </w:p>
        </w:tc>
        <w:tc>
          <w:tcPr/>
          <w:p>
            <w:pPr>
              <w:pStyle w:val="Compact"/>
            </w:pPr>
            <w:r>
              <w:t xml:space="preserve">~15 million tiles</w:t>
            </w:r>
          </w:p>
        </w:tc>
        <w:tc>
          <w:tcPr/>
          <w:p>
            <w:pPr>
              <w:pStyle w:val="Compact"/>
            </w:pPr>
            <w:r>
              <w:t xml:space="preserve">SRCL</w:t>
            </w:r>
          </w:p>
        </w:tc>
        <w:tc>
          <w:tcPr/>
          <w:p>
            <w:pPr>
              <w:pStyle w:val="Compact"/>
            </w:pPr>
            <w:r>
              <w:t xml:space="preserve">Yes</w:t>
            </w:r>
          </w:p>
        </w:tc>
        <w:tc>
          <w:tcPr/>
          <w:p>
            <w:pPr>
              <w:pStyle w:val="Compact"/>
            </w:pPr>
            <w:r>
              <w:t xml:space="preserve">[ ]</w:t>
            </w:r>
          </w:p>
        </w:tc>
        <w:tc>
          <w:tcPr/>
          <w:p>
            <w:pPr>
              <w:pStyle w:val="Compact"/>
            </w:pPr>
            <w:r>
              <w:t xml:space="preserve">22</w:t>
            </w:r>
          </w:p>
        </w:tc>
      </w:tr>
      <w:tr>
        <w:tc>
          <w:tcPr/>
          <w:p>
            <w:pPr>
              <w:pStyle w:val="Compact"/>
            </w:pPr>
            <w:r>
              <w:t xml:space="preserve">UNI</w:t>
            </w:r>
          </w:p>
        </w:tc>
        <w:tc>
          <w:tcPr/>
          <w:p>
            <w:pPr>
              <w:pStyle w:val="Compact"/>
            </w:pPr>
            <w:r>
              <w:t xml:space="preserve">Mass General Brigham</w:t>
            </w:r>
          </w:p>
        </w:tc>
        <w:tc>
          <w:tcPr/>
          <w:p>
            <w:pPr>
              <w:pStyle w:val="Compact"/>
            </w:pPr>
            <w:r>
              <w:t xml:space="preserve">ViT-L</w:t>
            </w:r>
          </w:p>
        </w:tc>
        <w:tc>
          <w:tcPr/>
          <w:p>
            <w:pPr>
              <w:pStyle w:val="Compact"/>
            </w:pPr>
            <w:r>
              <w:t xml:space="preserve">&gt;100 million tiles; ~100,000 slides</w:t>
            </w:r>
          </w:p>
        </w:tc>
        <w:tc>
          <w:tcPr/>
          <w:p>
            <w:pPr>
              <w:pStyle w:val="Compact"/>
            </w:pPr>
            <w:r>
              <w:t xml:space="preserve">DINOv2</w:t>
            </w:r>
          </w:p>
        </w:tc>
        <w:tc>
          <w:tcPr/>
          <w:p>
            <w:pPr>
              <w:pStyle w:val="Compact"/>
            </w:pPr>
            <w:r>
              <w:t xml:space="preserve">Yes (gated)</w:t>
            </w:r>
          </w:p>
        </w:tc>
        <w:tc>
          <w:tcPr/>
          <w:p>
            <w:pPr>
              <w:pStyle w:val="Compact"/>
            </w:pPr>
            <w:r>
              <w:t xml:space="preserve">[ ]</w:t>
            </w:r>
          </w:p>
        </w:tc>
        <w:tc>
          <w:tcPr/>
          <w:p>
            <w:pPr>
              <w:pStyle w:val="Compact"/>
            </w:pPr>
            <w:r>
              <w:t xml:space="preserve">15</w:t>
            </w:r>
          </w:p>
        </w:tc>
      </w:tr>
      <w:tr>
        <w:tc>
          <w:tcPr/>
          <w:p>
            <w:pPr>
              <w:pStyle w:val="Compact"/>
            </w:pPr>
            <w:r>
              <w:t xml:space="preserve">Virchow / Virchow2 / Virchow2G</w:t>
            </w:r>
          </w:p>
        </w:tc>
        <w:tc>
          <w:tcPr/>
          <w:p>
            <w:pPr>
              <w:pStyle w:val="Compact"/>
            </w:pPr>
            <w:r>
              <w:t xml:space="preserve">Paige</w:t>
            </w:r>
          </w:p>
        </w:tc>
        <w:tc>
          <w:tcPr/>
          <w:p>
            <w:pPr>
              <w:pStyle w:val="Compact"/>
            </w:pPr>
            <w:r>
              <w:t xml:space="preserve">ViT-H (632M) / ViT-G (1.9B)</w:t>
            </w:r>
          </w:p>
        </w:tc>
        <w:tc>
          <w:tcPr/>
          <w:p>
            <w:pPr>
              <w:pStyle w:val="Compact"/>
            </w:pPr>
            <w:r>
              <w:t xml:space="preserve">~1.5M / 3.1M slides</w:t>
            </w:r>
          </w:p>
        </w:tc>
        <w:tc>
          <w:tcPr/>
          <w:p>
            <w:pPr>
              <w:pStyle w:val="Compact"/>
            </w:pPr>
            <w:r>
              <w:t xml:space="preserve">DINOv2 (modified)</w:t>
            </w:r>
          </w:p>
        </w:tc>
        <w:tc>
          <w:tcPr/>
          <w:p>
            <w:pPr>
              <w:pStyle w:val="Compact"/>
            </w:pPr>
            <w:r>
              <w:t xml:space="preserve">Partially</w:t>
            </w:r>
          </w:p>
        </w:tc>
        <w:tc>
          <w:tcPr/>
          <w:p>
            <w:pPr>
              <w:pStyle w:val="Compact"/>
            </w:pPr>
            <w:r>
              <w:t xml:space="preserve">[ ]</w:t>
            </w:r>
          </w:p>
        </w:tc>
        <w:tc>
          <w:tcPr/>
          <w:p>
            <w:pPr>
              <w:pStyle w:val="Compact"/>
            </w:pPr>
            <w:r>
              <w:t xml:space="preserve">16, 24</w:t>
            </w:r>
          </w:p>
        </w:tc>
      </w:tr>
      <w:tr>
        <w:tc>
          <w:tcPr/>
          <w:p>
            <w:pPr>
              <w:pStyle w:val="Compact"/>
            </w:pPr>
            <w:r>
              <w:t xml:space="preserve">Prov-GigaPath</w:t>
            </w:r>
          </w:p>
        </w:tc>
        <w:tc>
          <w:tcPr/>
          <w:p>
            <w:pPr>
              <w:pStyle w:val="Compact"/>
            </w:pPr>
            <w:r>
              <w:t xml:space="preserve">Providence / Microsoft</w:t>
            </w:r>
          </w:p>
        </w:tc>
        <w:tc>
          <w:tcPr/>
          <w:p>
            <w:pPr>
              <w:pStyle w:val="Compact"/>
            </w:pPr>
            <w:r>
              <w:t xml:space="preserve">ViT-g + LongNet</w:t>
            </w:r>
          </w:p>
        </w:tc>
        <w:tc>
          <w:tcPr/>
          <w:p>
            <w:pPr>
              <w:pStyle w:val="Compact"/>
            </w:pPr>
            <w:r>
              <w:t xml:space="preserve">1.3 billion tiles; 171,189 slides</w:t>
            </w:r>
          </w:p>
        </w:tc>
        <w:tc>
          <w:tcPr/>
          <w:p>
            <w:pPr>
              <w:pStyle w:val="Compact"/>
            </w:pPr>
            <w:r>
              <w:t xml:space="preserve">DINOv2 + MAE</w:t>
            </w:r>
          </w:p>
        </w:tc>
        <w:tc>
          <w:tcPr/>
          <w:p>
            <w:pPr>
              <w:pStyle w:val="Compact"/>
            </w:pPr>
            <w:r>
              <w:t xml:space="preserve">Yes</w:t>
            </w:r>
          </w:p>
        </w:tc>
        <w:tc>
          <w:tcPr/>
          <w:p>
            <w:pPr>
              <w:pStyle w:val="Compact"/>
            </w:pPr>
            <w:r>
              <w:t xml:space="preserve">[ ]</w:t>
            </w:r>
          </w:p>
        </w:tc>
        <w:tc>
          <w:tcPr/>
          <w:p>
            <w:pPr>
              <w:pStyle w:val="Compact"/>
            </w:pPr>
            <w:r>
              <w:t xml:space="preserve">17</w:t>
            </w:r>
          </w:p>
        </w:tc>
      </w:tr>
      <w:tr>
        <w:tc>
          <w:tcPr/>
          <w:p>
            <w:pPr>
              <w:pStyle w:val="Compact"/>
            </w:pPr>
            <w:r>
              <w:t xml:space="preserve">CHIEF</w:t>
            </w:r>
          </w:p>
        </w:tc>
        <w:tc>
          <w:tcPr/>
          <w:p>
            <w:pPr>
              <w:pStyle w:val="Compact"/>
            </w:pPr>
            <w:r>
              <w:t xml:space="preserve">Harvard</w:t>
            </w:r>
          </w:p>
        </w:tc>
        <w:tc>
          <w:tcPr/>
          <w:p>
            <w:pPr>
              <w:pStyle w:val="Compact"/>
            </w:pPr>
            <w:r>
              <w:t xml:space="preserve">CTransPath-based + slide aggregator</w:t>
            </w:r>
          </w:p>
        </w:tc>
        <w:tc>
          <w:tcPr/>
          <w:p>
            <w:pPr>
              <w:pStyle w:val="Compact"/>
            </w:pPr>
            <w:r>
              <w:t xml:space="preserve">60,530 slides (19 anatomical sites)</w:t>
            </w:r>
          </w:p>
        </w:tc>
        <w:tc>
          <w:tcPr/>
          <w:p>
            <w:pPr>
              <w:pStyle w:val="Compact"/>
            </w:pPr>
            <w:r>
              <w:t xml:space="preserve">Unsupervised + weakly supervised</w:t>
            </w:r>
          </w:p>
        </w:tc>
        <w:tc>
          <w:tcPr/>
          <w:p>
            <w:pPr>
              <w:pStyle w:val="Compact"/>
            </w:pPr>
            <w:r>
              <w:t xml:space="preserve">Yes</w:t>
            </w:r>
          </w:p>
        </w:tc>
        <w:tc>
          <w:tcPr/>
          <w:p>
            <w:pPr>
              <w:pStyle w:val="Compact"/>
            </w:pPr>
            <w:r>
              <w:t xml:space="preserve">[ ]</w:t>
            </w:r>
          </w:p>
        </w:tc>
        <w:tc>
          <w:tcPr/>
          <w:p>
            <w:pPr>
              <w:pStyle w:val="Compact"/>
            </w:pPr>
            <w:r>
              <w:t xml:space="preserve">25</w:t>
            </w:r>
          </w:p>
        </w:tc>
      </w:tr>
      <w:tr>
        <w:tc>
          <w:tcPr/>
          <w:p>
            <w:pPr>
              <w:pStyle w:val="Compact"/>
            </w:pPr>
            <w:r>
              <w:t xml:space="preserve">Phikon / Phikon-v2</w:t>
            </w:r>
          </w:p>
        </w:tc>
        <w:tc>
          <w:tcPr/>
          <w:p>
            <w:pPr>
              <w:pStyle w:val="Compact"/>
            </w:pPr>
            <w:r>
              <w:t xml:space="preserve">Owkin</w:t>
            </w:r>
          </w:p>
        </w:tc>
        <w:tc>
          <w:tcPr/>
          <w:p>
            <w:pPr>
              <w:pStyle w:val="Compact"/>
            </w:pPr>
            <w:r>
              <w:t xml:space="preserve">ViT-B / ViT-L</w:t>
            </w:r>
          </w:p>
        </w:tc>
        <w:tc>
          <w:tcPr/>
          <w:p>
            <w:pPr>
              <w:pStyle w:val="Compact"/>
            </w:pPr>
            <w:r>
              <w:t xml:space="preserve">Public data</w:t>
            </w:r>
          </w:p>
        </w:tc>
        <w:tc>
          <w:tcPr/>
          <w:p>
            <w:pPr>
              <w:pStyle w:val="Compact"/>
            </w:pPr>
            <w:r>
              <w:t xml:space="preserve">iBOT / DINOv2</w:t>
            </w:r>
          </w:p>
        </w:tc>
        <w:tc>
          <w:tcPr/>
          <w:p>
            <w:pPr>
              <w:pStyle w:val="Compact"/>
            </w:pPr>
            <w:r>
              <w:t xml:space="preserve">Yes</w:t>
            </w:r>
          </w:p>
        </w:tc>
        <w:tc>
          <w:tcPr/>
          <w:p>
            <w:pPr>
              <w:pStyle w:val="Compact"/>
            </w:pPr>
            <w:r>
              <w:t xml:space="preserve">[ ]</w:t>
            </w:r>
          </w:p>
        </w:tc>
        <w:tc>
          <w:tcPr/>
          <w:p>
            <w:pPr>
              <w:pStyle w:val="Compact"/>
            </w:pPr>
            <w:r>
              <w:t xml:space="preserve">23, 18</w:t>
            </w:r>
          </w:p>
        </w:tc>
      </w:tr>
      <w:tr>
        <w:tc>
          <w:tcPr/>
          <w:p>
            <w:pPr>
              <w:pStyle w:val="Compact"/>
            </w:pPr>
            <w:r>
              <w:t xml:space="preserve">RudolfV / Atlas</w:t>
            </w:r>
          </w:p>
        </w:tc>
        <w:tc>
          <w:tcPr/>
          <w:p>
            <w:pPr>
              <w:pStyle w:val="Compact"/>
            </w:pPr>
            <w:r>
              <w:t xml:space="preserve">Aignostics, Mayo Clinic, Charité</w:t>
            </w:r>
          </w:p>
        </w:tc>
        <w:tc>
          <w:tcPr/>
          <w:p>
            <w:pPr>
              <w:pStyle w:val="Compact"/>
            </w:pPr>
            <w:r>
              <w:t xml:space="preserve">ViT-L / ViT-H</w:t>
            </w:r>
          </w:p>
        </w:tc>
        <w:tc>
          <w:tcPr/>
          <w:p>
            <w:pPr>
              <w:pStyle w:val="Compact"/>
            </w:pPr>
            <w:r>
              <w:t xml:space="preserve">Multi-stain; ~1.2M slides (Atlas)</w:t>
            </w:r>
          </w:p>
        </w:tc>
        <w:tc>
          <w:tcPr/>
          <w:p>
            <w:pPr>
              <w:pStyle w:val="Compact"/>
            </w:pPr>
            <w:r>
              <w:t xml:space="preserve">DINOv2-based</w:t>
            </w:r>
          </w:p>
        </w:tc>
        <w:tc>
          <w:tcPr/>
          <w:p>
            <w:pPr>
              <w:pStyle w:val="Compact"/>
            </w:pPr>
            <w:r>
              <w:t xml:space="preserve">[ ]</w:t>
            </w:r>
          </w:p>
        </w:tc>
        <w:tc>
          <w:tcPr/>
          <w:p>
            <w:pPr>
              <w:pStyle w:val="Compact"/>
            </w:pPr>
            <w:r>
              <w:t xml:space="preserve">[ ]</w:t>
            </w:r>
          </w:p>
        </w:tc>
        <w:tc>
          <w:tcPr/>
          <w:p>
            <w:pPr>
              <w:pStyle w:val="Compact"/>
            </w:pPr>
            <w:r>
              <w:t xml:space="preserve">19, 20</w:t>
            </w:r>
          </w:p>
        </w:tc>
      </w:tr>
      <w:tr>
        <w:tc>
          <w:tcPr/>
          <w:p>
            <w:pPr>
              <w:pStyle w:val="Compact"/>
            </w:pPr>
            <w:r>
              <w:t xml:space="preserve">Hibou</w:t>
            </w:r>
          </w:p>
        </w:tc>
        <w:tc>
          <w:tcPr/>
          <w:p>
            <w:pPr>
              <w:pStyle w:val="Compact"/>
            </w:pPr>
            <w:r>
              <w:t xml:space="preserve">HistAI</w:t>
            </w:r>
          </w:p>
        </w:tc>
        <w:tc>
          <w:tcPr/>
          <w:p>
            <w:pPr>
              <w:pStyle w:val="Compact"/>
            </w:pPr>
            <w:r>
              <w:t xml:space="preserve">ViT-B / ViT-L</w:t>
            </w:r>
          </w:p>
        </w:tc>
        <w:tc>
          <w:tcPr/>
          <w:p>
            <w:pPr>
              <w:pStyle w:val="Compact"/>
            </w:pPr>
            <w:r>
              <w:t xml:space="preserve">[ ]</w:t>
            </w:r>
          </w:p>
        </w:tc>
        <w:tc>
          <w:tcPr/>
          <w:p>
            <w:pPr>
              <w:pStyle w:val="Compact"/>
            </w:pPr>
            <w:r>
              <w:t xml:space="preserve">DINOv2</w:t>
            </w:r>
          </w:p>
        </w:tc>
        <w:tc>
          <w:tcPr/>
          <w:p>
            <w:pPr>
              <w:pStyle w:val="Compact"/>
            </w:pPr>
            <w:r>
              <w:t xml:space="preserve">Yes</w:t>
            </w:r>
          </w:p>
        </w:tc>
        <w:tc>
          <w:tcPr/>
          <w:p>
            <w:pPr>
              <w:pStyle w:val="Compact"/>
            </w:pPr>
            <w:r>
              <w:t xml:space="preserve">[ ]</w:t>
            </w:r>
          </w:p>
        </w:tc>
        <w:tc>
          <w:tcPr/>
          <w:p>
            <w:pPr>
              <w:pStyle w:val="Compact"/>
            </w:pPr>
            <w:r>
              <w:t xml:space="preserve">21</w:t>
            </w:r>
          </w:p>
        </w:tc>
      </w:tr>
      <w:tr>
        <w:tc>
          <w:tcPr/>
          <w:p>
            <w:pPr>
              <w:pStyle w:val="Compact"/>
            </w:pPr>
            <w:r>
              <w:t xml:space="preserve">CONCH</w:t>
            </w:r>
          </w:p>
        </w:tc>
        <w:tc>
          <w:tcPr/>
          <w:p>
            <w:pPr>
              <w:pStyle w:val="Compact"/>
            </w:pPr>
            <w:r>
              <w:t xml:space="preserve">Mass General Brigham</w:t>
            </w:r>
          </w:p>
        </w:tc>
        <w:tc>
          <w:tcPr/>
          <w:p>
            <w:pPr>
              <w:pStyle w:val="Compact"/>
            </w:pPr>
            <w:r>
              <w:t xml:space="preserve">ViT + text encoder</w:t>
            </w:r>
          </w:p>
        </w:tc>
        <w:tc>
          <w:tcPr/>
          <w:p>
            <w:pPr>
              <w:pStyle w:val="Compact"/>
            </w:pPr>
            <w:r>
              <w:t xml:space="preserve">1.17 million image–caption pairs</w:t>
            </w:r>
          </w:p>
        </w:tc>
        <w:tc>
          <w:tcPr/>
          <w:p>
            <w:pPr>
              <w:pStyle w:val="Compact"/>
            </w:pPr>
            <w:r>
              <w:t xml:space="preserve">Contrastive captioning</w:t>
            </w:r>
          </w:p>
        </w:tc>
        <w:tc>
          <w:tcPr/>
          <w:p>
            <w:pPr>
              <w:pStyle w:val="Compact"/>
            </w:pPr>
            <w:r>
              <w:t xml:space="preserve">Yes (gated)</w:t>
            </w:r>
          </w:p>
        </w:tc>
        <w:tc>
          <w:tcPr/>
          <w:p>
            <w:pPr>
              <w:pStyle w:val="Compact"/>
            </w:pPr>
            <w:r>
              <w:t xml:space="preserve">[ ]</w:t>
            </w:r>
          </w:p>
        </w:tc>
        <w:tc>
          <w:tcPr/>
          <w:p>
            <w:pPr>
              <w:pStyle w:val="Compact"/>
            </w:pPr>
            <w:r>
              <w:t xml:space="preserve">35</w:t>
            </w:r>
          </w:p>
        </w:tc>
      </w:tr>
      <w:tr>
        <w:tc>
          <w:tcPr/>
          <w:p>
            <w:pPr>
              <w:pStyle w:val="Compact"/>
            </w:pPr>
            <w:r>
              <w:t xml:space="preserve">PLIP</w:t>
            </w:r>
          </w:p>
        </w:tc>
        <w:tc>
          <w:tcPr/>
          <w:p>
            <w:pPr>
              <w:pStyle w:val="Compact"/>
            </w:pPr>
            <w:r>
              <w:t xml:space="preserve">Stanford</w:t>
            </w:r>
          </w:p>
        </w:tc>
        <w:tc>
          <w:tcPr/>
          <w:p>
            <w:pPr>
              <w:pStyle w:val="Compact"/>
            </w:pPr>
            <w:r>
              <w:t xml:space="preserve">ViT + text encoder</w:t>
            </w:r>
          </w:p>
        </w:tc>
        <w:tc>
          <w:tcPr/>
          <w:p>
            <w:pPr>
              <w:pStyle w:val="Compact"/>
            </w:pPr>
            <w:r>
              <w:t xml:space="preserve">Public image–text pairs</w:t>
            </w:r>
          </w:p>
        </w:tc>
        <w:tc>
          <w:tcPr/>
          <w:p>
            <w:pPr>
              <w:pStyle w:val="Compact"/>
            </w:pPr>
            <w:r>
              <w:t xml:space="preserve">CLIP-style</w:t>
            </w:r>
          </w:p>
        </w:tc>
        <w:tc>
          <w:tcPr/>
          <w:p>
            <w:pPr>
              <w:pStyle w:val="Compact"/>
            </w:pPr>
            <w:r>
              <w:t xml:space="preserve">Yes</w:t>
            </w:r>
          </w:p>
        </w:tc>
        <w:tc>
          <w:tcPr/>
          <w:p>
            <w:pPr>
              <w:pStyle w:val="Compact"/>
            </w:pPr>
            <w:r>
              <w:t xml:space="preserve">[ ]</w:t>
            </w:r>
          </w:p>
        </w:tc>
        <w:tc>
          <w:tcPr/>
          <w:p>
            <w:pPr>
              <w:pStyle w:val="Compact"/>
            </w:pPr>
            <w:r>
              <w:t xml:space="preserve">34</w:t>
            </w:r>
          </w:p>
        </w:tc>
      </w:tr>
      <w:tr>
        <w:tc>
          <w:tcPr/>
          <w:p>
            <w:pPr>
              <w:pStyle w:val="Compact"/>
            </w:pPr>
            <w:r>
              <w:t xml:space="preserve">KEEP</w:t>
            </w:r>
          </w:p>
        </w:tc>
        <w:tc>
          <w:tcPr/>
          <w:p>
            <w:pPr>
              <w:pStyle w:val="Compact"/>
            </w:pPr>
            <w:r>
              <w:t xml:space="preserve">Shanghai Jiao Tong Univ.</w:t>
            </w:r>
          </w:p>
        </w:tc>
        <w:tc>
          <w:tcPr/>
          <w:p>
            <w:pPr>
              <w:pStyle w:val="Compact"/>
            </w:pPr>
            <w:r>
              <w:t xml:space="preserve">Vision–language + knowledge graph</w:t>
            </w:r>
          </w:p>
        </w:tc>
        <w:tc>
          <w:tcPr/>
          <w:p>
            <w:pPr>
              <w:pStyle w:val="Compact"/>
            </w:pPr>
            <w:r>
              <w:t xml:space="preserve">~143,000 semantic groups</w:t>
            </w:r>
          </w:p>
        </w:tc>
        <w:tc>
          <w:tcPr/>
          <w:p>
            <w:pPr>
              <w:pStyle w:val="Compact"/>
            </w:pPr>
            <w:r>
              <w:t xml:space="preserve">Knowledge-enhanced contrastive</w:t>
            </w:r>
          </w:p>
        </w:tc>
        <w:tc>
          <w:tcPr/>
          <w:p>
            <w:pPr>
              <w:pStyle w:val="Compact"/>
            </w:pPr>
            <w:r>
              <w:t xml:space="preserve">[ ]</w:t>
            </w:r>
          </w:p>
        </w:tc>
        <w:tc>
          <w:tcPr/>
          <w:p>
            <w:pPr>
              <w:pStyle w:val="Compact"/>
            </w:pPr>
            <w:r>
              <w:t xml:space="preserve">[ ]</w:t>
            </w:r>
          </w:p>
        </w:tc>
        <w:tc>
          <w:tcPr/>
          <w:p>
            <w:pPr>
              <w:pStyle w:val="Compact"/>
            </w:pPr>
            <w:r>
              <w:t xml:space="preserve">36</w:t>
            </w:r>
          </w:p>
        </w:tc>
      </w:tr>
      <w:tr>
        <w:tc>
          <w:tcPr/>
          <w:p>
            <w:pPr>
              <w:pStyle w:val="Compact"/>
            </w:pPr>
            <w:r>
              <w:t xml:space="preserve">MUSK</w:t>
            </w:r>
          </w:p>
        </w:tc>
        <w:tc>
          <w:tcPr/>
          <w:p>
            <w:pPr>
              <w:pStyle w:val="Compact"/>
            </w:pPr>
            <w:r>
              <w:t xml:space="preserve">Stanford</w:t>
            </w:r>
          </w:p>
        </w:tc>
        <w:tc>
          <w:tcPr/>
          <w:p>
            <w:pPr>
              <w:pStyle w:val="Compact"/>
            </w:pPr>
            <w:r>
              <w:t xml:space="preserve">Multimodal transformer</w:t>
            </w:r>
          </w:p>
        </w:tc>
        <w:tc>
          <w:tcPr/>
          <w:p>
            <w:pPr>
              <w:pStyle w:val="Compact"/>
            </w:pPr>
            <w:r>
              <w:t xml:space="preserve">[ ]</w:t>
            </w:r>
          </w:p>
        </w:tc>
        <w:tc>
          <w:tcPr/>
          <w:p>
            <w:pPr>
              <w:pStyle w:val="Compact"/>
            </w:pPr>
            <w:r>
              <w:t xml:space="preserve">Masked modelling + contrastive</w:t>
            </w:r>
          </w:p>
        </w:tc>
        <w:tc>
          <w:tcPr/>
          <w:p>
            <w:pPr>
              <w:pStyle w:val="Compact"/>
            </w:pPr>
            <w:r>
              <w:t xml:space="preserve">[ ]</w:t>
            </w:r>
          </w:p>
        </w:tc>
        <w:tc>
          <w:tcPr/>
          <w:p>
            <w:pPr>
              <w:pStyle w:val="Compact"/>
            </w:pPr>
            <w:r>
              <w:t xml:space="preserve">[ ]</w:t>
            </w:r>
          </w:p>
        </w:tc>
        <w:tc>
          <w:tcPr/>
          <w:p>
            <w:pPr>
              <w:pStyle w:val="Compact"/>
            </w:pPr>
            <w:r>
              <w:t xml:space="preserve">37</w:t>
            </w:r>
          </w:p>
        </w:tc>
      </w:tr>
      <w:tr>
        <w:tc>
          <w:tcPr/>
          <w:p>
            <w:pPr>
              <w:pStyle w:val="Compact"/>
            </w:pPr>
            <w:r>
              <w:t xml:space="preserve">PathChat</w:t>
            </w:r>
          </w:p>
        </w:tc>
        <w:tc>
          <w:tcPr/>
          <w:p>
            <w:pPr>
              <w:pStyle w:val="Compact"/>
            </w:pPr>
            <w:r>
              <w:t xml:space="preserve">Mass General Brigham</w:t>
            </w:r>
          </w:p>
        </w:tc>
        <w:tc>
          <w:tcPr/>
          <w:p>
            <w:pPr>
              <w:pStyle w:val="Compact"/>
            </w:pPr>
            <w:r>
              <w:t xml:space="preserve">UNI-based encoder + LLM</w:t>
            </w:r>
          </w:p>
        </w:tc>
        <w:tc>
          <w:tcPr/>
          <w:p>
            <w:pPr>
              <w:pStyle w:val="Compact"/>
            </w:pPr>
            <w:r>
              <w:t xml:space="preserve">Instruction data</w:t>
            </w:r>
          </w:p>
        </w:tc>
        <w:tc>
          <w:tcPr/>
          <w:p>
            <w:pPr>
              <w:pStyle w:val="Compact"/>
            </w:pPr>
            <w:r>
              <w:t xml:space="preserve">Instruction tuning</w:t>
            </w:r>
          </w:p>
        </w:tc>
        <w:tc>
          <w:tcPr/>
          <w:p>
            <w:pPr>
              <w:pStyle w:val="Compact"/>
            </w:pPr>
            <w:r>
              <w:t xml:space="preserve">[ ]</w:t>
            </w:r>
          </w:p>
        </w:tc>
        <w:tc>
          <w:tcPr/>
          <w:p>
            <w:pPr>
              <w:pStyle w:val="Compact"/>
            </w:pPr>
            <w:r>
              <w:t xml:space="preserve">[ ]</w:t>
            </w:r>
          </w:p>
        </w:tc>
        <w:tc>
          <w:tcPr/>
          <w:p>
            <w:pPr>
              <w:pStyle w:val="Compact"/>
            </w:pPr>
            <w:r>
              <w:t xml:space="preserve">38</w:t>
            </w:r>
          </w:p>
        </w:tc>
      </w:tr>
      <w:tr>
        <w:tc>
          <w:tcPr/>
          <w:p>
            <w:pPr>
              <w:pStyle w:val="Compact"/>
            </w:pPr>
            <w:r>
              <w:t xml:space="preserve">TITAN</w:t>
            </w:r>
          </w:p>
        </w:tc>
        <w:tc>
          <w:tcPr/>
          <w:p>
            <w:pPr>
              <w:pStyle w:val="Compact"/>
            </w:pPr>
            <w:r>
              <w:t xml:space="preserve">Mass General Brigham</w:t>
            </w:r>
          </w:p>
        </w:tc>
        <w:tc>
          <w:tcPr/>
          <w:p>
            <w:pPr>
              <w:pStyle w:val="Compact"/>
            </w:pPr>
            <w:r>
              <w:t xml:space="preserve">Slide encoder</w:t>
            </w:r>
          </w:p>
        </w:tc>
        <w:tc>
          <w:tcPr/>
          <w:p>
            <w:pPr>
              <w:pStyle w:val="Compact"/>
            </w:pPr>
            <w:r>
              <w:t xml:space="preserve">335,645 slides; 423,122 synthetic captions</w:t>
            </w:r>
          </w:p>
        </w:tc>
        <w:tc>
          <w:tcPr/>
          <w:p>
            <w:pPr>
              <w:pStyle w:val="Compact"/>
            </w:pPr>
            <w:r>
              <w:t xml:space="preserve">SSL + vision–language</w:t>
            </w:r>
          </w:p>
        </w:tc>
        <w:tc>
          <w:tcPr/>
          <w:p>
            <w:pPr>
              <w:pStyle w:val="Compact"/>
            </w:pPr>
            <w:r>
              <w:t xml:space="preserve">Yes (gated)</w:t>
            </w:r>
          </w:p>
        </w:tc>
        <w:tc>
          <w:tcPr/>
          <w:p>
            <w:pPr>
              <w:pStyle w:val="Compact"/>
            </w:pPr>
            <w:r>
              <w:t xml:space="preserve">[ ]</w:t>
            </w:r>
          </w:p>
        </w:tc>
        <w:tc>
          <w:tcPr/>
          <w:p>
            <w:pPr>
              <w:pStyle w:val="Compact"/>
            </w:pPr>
            <w:r>
              <w:t xml:space="preserve">33</w:t>
            </w:r>
          </w:p>
        </w:tc>
      </w:tr>
      <w:tr>
        <w:tc>
          <w:tcPr/>
          <w:p>
            <w:pPr>
              <w:pStyle w:val="Compact"/>
            </w:pPr>
            <w:r>
              <w:t xml:space="preserve">PRISM</w:t>
            </w:r>
          </w:p>
        </w:tc>
        <w:tc>
          <w:tcPr/>
          <w:p>
            <w:pPr>
              <w:pStyle w:val="Compact"/>
            </w:pPr>
            <w:r>
              <w:t xml:space="preserve">Paige</w:t>
            </w:r>
          </w:p>
        </w:tc>
        <w:tc>
          <w:tcPr/>
          <w:p>
            <w:pPr>
              <w:pStyle w:val="Compact"/>
            </w:pPr>
            <w:r>
              <w:t xml:space="preserve">Perceiver + language decoder</w:t>
            </w:r>
          </w:p>
        </w:tc>
        <w:tc>
          <w:tcPr/>
          <w:p>
            <w:pPr>
              <w:pStyle w:val="Compact"/>
            </w:pPr>
            <w:r>
              <w:t xml:space="preserve">Virchow tile embeddings</w:t>
            </w:r>
          </w:p>
        </w:tc>
        <w:tc>
          <w:tcPr/>
          <w:p>
            <w:pPr>
              <w:pStyle w:val="Compact"/>
            </w:pPr>
            <w:r>
              <w:t xml:space="preserve">Report-supervised</w:t>
            </w:r>
          </w:p>
        </w:tc>
        <w:tc>
          <w:tcPr/>
          <w:p>
            <w:pPr>
              <w:pStyle w:val="Compact"/>
            </w:pPr>
            <w:r>
              <w:t xml:space="preserve">[ ]</w:t>
            </w:r>
          </w:p>
        </w:tc>
        <w:tc>
          <w:tcPr/>
          <w:p>
            <w:pPr>
              <w:pStyle w:val="Compact"/>
            </w:pPr>
            <w:r>
              <w:t xml:space="preserve">[ ]</w:t>
            </w:r>
          </w:p>
        </w:tc>
        <w:tc>
          <w:tcPr/>
          <w:p>
            <w:pPr>
              <w:pStyle w:val="Compact"/>
            </w:pPr>
            <w:r>
              <w:t xml:space="preserve">123</w:t>
            </w:r>
          </w:p>
        </w:tc>
      </w:tr>
      <w:tr>
        <w:tc>
          <w:tcPr/>
          <w:p>
            <w:pPr>
              <w:pStyle w:val="Compact"/>
            </w:pPr>
            <w:r>
              <w:t xml:space="preserve">GPFM</w:t>
            </w:r>
          </w:p>
        </w:tc>
        <w:tc>
          <w:tcPr/>
          <w:p>
            <w:pPr>
              <w:pStyle w:val="Compact"/>
            </w:pPr>
            <w:r>
              <w:t xml:space="preserve">HKUST</w:t>
            </w:r>
          </w:p>
        </w:tc>
        <w:tc>
          <w:tcPr/>
          <w:p>
            <w:pPr>
              <w:pStyle w:val="Compact"/>
            </w:pPr>
            <w:r>
              <w:t xml:space="preserve">ViT</w:t>
            </w:r>
          </w:p>
        </w:tc>
        <w:tc>
          <w:tcPr/>
          <w:p>
            <w:pPr>
              <w:pStyle w:val="Compact"/>
            </w:pPr>
            <w:r>
              <w:t xml:space="preserve">[ ]</w:t>
            </w:r>
          </w:p>
        </w:tc>
        <w:tc>
          <w:tcPr/>
          <w:p>
            <w:pPr>
              <w:pStyle w:val="Compact"/>
            </w:pPr>
            <w:r>
              <w:t xml:space="preserve">Unified knowledge distillation</w:t>
            </w:r>
          </w:p>
        </w:tc>
        <w:tc>
          <w:tcPr/>
          <w:p>
            <w:pPr>
              <w:pStyle w:val="Compact"/>
            </w:pPr>
            <w:r>
              <w:t xml:space="preserve">[ ]</w:t>
            </w:r>
          </w:p>
        </w:tc>
        <w:tc>
          <w:tcPr/>
          <w:p>
            <w:pPr>
              <w:pStyle w:val="Compact"/>
            </w:pPr>
            <w:r>
              <w:t xml:space="preserve">[ ]</w:t>
            </w:r>
          </w:p>
        </w:tc>
        <w:tc>
          <w:tcPr/>
          <w:p>
            <w:pPr>
              <w:pStyle w:val="Compact"/>
            </w:pPr>
            <w:r>
              <w:t xml:space="preserve">26</w:t>
            </w:r>
          </w:p>
        </w:tc>
      </w:tr>
    </w:tbl>
    <w:p>
      <w:pPr>
        <w:pStyle w:val="BodyText"/>
      </w:pPr>
      <w:r>
        <w:t xml:space="preserve">[ ] = to be completed by the authors. Reference numbers in the last column correspond to the main-text reference list and must be rechecked after final editing.</w:t>
      </w:r>
    </w:p>
    <w:p>
      <w:r>
        <w:pict>
          <v:rect style="width:0;height:1.5pt" o:hralign="center" o:hrstd="t" o:hr="t"/>
        </w:pict>
      </w:r>
    </w:p>
    <w:bookmarkEnd w:id="15"/>
    <w:bookmarkStart w:id="16" w:name="X42fde268c7dfbd1730f28b6f39828fd6d6d23d0"/>
    <w:p>
      <w:pPr>
        <w:pStyle w:val="Heading2"/>
      </w:pPr>
      <w:r>
        <w:t xml:space="preserve">Supplementary Table 2 | Domain-shift sources, mitigation strategies and strength of evidence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 of shift</w:t>
            </w:r>
          </w:p>
        </w:tc>
        <w:tc>
          <w:tcPr/>
          <w:p>
            <w:pPr>
              <w:pStyle w:val="Compact"/>
            </w:pPr>
            <w:r>
              <w:t xml:space="preserve">Typical manifestation</w:t>
            </w:r>
          </w:p>
        </w:tc>
        <w:tc>
          <w:tcPr/>
          <w:p>
            <w:pPr>
              <w:pStyle w:val="Compact"/>
            </w:pPr>
            <w:r>
              <w:t xml:space="preserve">Mitigation (examples)</w:t>
            </w:r>
          </w:p>
        </w:tc>
        <w:tc>
          <w:tcPr/>
          <w:p>
            <w:pPr>
              <w:pStyle w:val="Compact"/>
            </w:pPr>
            <w:r>
              <w:t xml:space="preserve">Strength of evidence</w:t>
            </w:r>
          </w:p>
        </w:tc>
      </w:tr>
      <w:tr>
        <w:tc>
          <w:tcPr/>
          <w:p>
            <w:pPr>
              <w:pStyle w:val="Compact"/>
            </w:pPr>
            <w:r>
              <w:t xml:space="preserve">Staining and reagents</w:t>
            </w:r>
          </w:p>
        </w:tc>
        <w:tc>
          <w:tcPr/>
          <w:p>
            <w:pPr>
              <w:pStyle w:val="Compact"/>
            </w:pPr>
            <w:r>
              <w:t xml:space="preserve">Colour distribution, stain intensity, fading</w:t>
            </w:r>
          </w:p>
        </w:tc>
        <w:tc>
          <w:tcPr/>
          <w:p>
            <w:pPr>
              <w:pStyle w:val="Compact"/>
            </w:pPr>
            <w:r>
              <w:t xml:space="preserve">Classical stain normalization (Reinhard, Macenko, Vahadane); generative normalization; self-supervised normalization without data transfer</w:t>
            </w:r>
          </w:p>
        </w:tc>
        <w:tc>
          <w:tcPr/>
          <w:p>
            <w:pPr>
              <w:pStyle w:val="Compact"/>
            </w:pPr>
            <w:r>
              <w:t xml:space="preserve">Strong for colour shift (multicentre benchmark with tissue stained in 66 laboratories)</w:t>
            </w:r>
          </w:p>
        </w:tc>
      </w:tr>
      <w:tr>
        <w:tc>
          <w:tcPr/>
          <w:p>
            <w:pPr>
              <w:pStyle w:val="Compact"/>
            </w:pPr>
            <w:r>
              <w:t xml:space="preserve">Scanners and acquisition</w:t>
            </w:r>
          </w:p>
        </w:tc>
        <w:tc>
          <w:tcPr/>
          <w:p>
            <w:pPr>
              <w:pStyle w:val="Compact"/>
            </w:pPr>
            <w:r>
              <w:t xml:space="preserve">Texture, white balance, compression artefacts</w:t>
            </w:r>
          </w:p>
        </w:tc>
        <w:tc>
          <w:tcPr/>
          <w:p>
            <w:pPr>
              <w:pStyle w:val="Compact"/>
            </w:pPr>
            <w:r>
              <w:t xml:space="preserve">Multi-scanner training data; GAN-based domain adaptation (crescent detection improved by up to 63.4% across scanners)</w:t>
            </w:r>
          </w:p>
        </w:tc>
        <w:tc>
          <w:tcPr/>
          <w:p>
            <w:pPr>
              <w:pStyle w:val="Compact"/>
            </w:pPr>
            <w:r>
              <w:t xml:space="preserve">Moderate to strong</w:t>
            </w:r>
          </w:p>
        </w:tc>
      </w:tr>
      <w:tr>
        <w:tc>
          <w:tcPr/>
          <w:p>
            <w:pPr>
              <w:pStyle w:val="Compact"/>
            </w:pPr>
            <w:r>
              <w:t xml:space="preserve">Centre and tissue processing</w:t>
            </w:r>
          </w:p>
        </w:tc>
        <w:tc>
          <w:tcPr/>
          <w:p>
            <w:pPr>
              <w:pStyle w:val="Compact"/>
            </w:pPr>
            <w:r>
              <w:t xml:space="preserve">Institution-specific embedding signatures</w:t>
            </w:r>
          </w:p>
        </w:tc>
        <w:tc>
          <w:tcPr/>
          <w:p>
            <w:pPr>
              <w:pStyle w:val="Compact"/>
            </w:pPr>
            <w:r>
              <w:t xml:space="preserve">More robust foundation models, vision–language alignment and post hoc robustification (reduces but does not eliminate errors); centre predictability from embeddings 88–98%</w:t>
            </w:r>
          </w:p>
        </w:tc>
        <w:tc>
          <w:tcPr/>
          <w:p>
            <w:pPr>
              <w:pStyle w:val="Compact"/>
            </w:pPr>
            <w:r>
              <w:t xml:space="preserve">Strong (20 models, 34 centres)</w:t>
            </w:r>
          </w:p>
        </w:tc>
      </w:tr>
      <w:tr>
        <w:tc>
          <w:tcPr/>
          <w:p>
            <w:pPr>
              <w:pStyle w:val="Compact"/>
            </w:pPr>
            <w:r>
              <w:t xml:space="preserve">Tissue type</w:t>
            </w:r>
          </w:p>
        </w:tc>
        <w:tc>
          <w:tcPr/>
          <w:p>
            <w:pPr>
              <w:pStyle w:val="Compact"/>
            </w:pPr>
            <w:r>
              <w:t xml:space="preserve">Rare organs and morphologies under-represented in pretraining</w:t>
            </w:r>
          </w:p>
        </w:tc>
        <w:tc>
          <w:tcPr/>
          <w:p>
            <w:pPr>
              <w:pStyle w:val="Compact"/>
            </w:pPr>
            <w:r>
              <w:t xml:space="preserve">Multi-tissue and multi-stain pretraining; H&amp;E + Ki-67 fusion</w:t>
            </w:r>
          </w:p>
        </w:tc>
        <w:tc>
          <w:tcPr/>
          <w:p>
            <w:pPr>
              <w:pStyle w:val="Compact"/>
            </w:pPr>
            <w:r>
              <w:t xml:space="preserve">Moderate</w:t>
            </w:r>
          </w:p>
        </w:tc>
      </w:tr>
      <w:tr>
        <w:tc>
          <w:tcPr/>
          <w:p>
            <w:pPr>
              <w:pStyle w:val="Compact"/>
            </w:pPr>
            <w:r>
              <w:t xml:space="preserve">Disease spectrum and population</w:t>
            </w:r>
          </w:p>
        </w:tc>
        <w:tc>
          <w:tcPr/>
          <w:p>
            <w:pPr>
              <w:pStyle w:val="Compact"/>
            </w:pPr>
            <w:r>
              <w:t xml:space="preserve">Long-tail subtypes; age, sex, ancestry and geographic shift</w:t>
            </w:r>
          </w:p>
        </w:tc>
        <w:tc>
          <w:tcPr/>
          <w:p>
            <w:pPr>
              <w:pStyle w:val="Compact"/>
            </w:pPr>
            <w:r>
              <w:t xml:space="preserve">Knowledge-guided adaptation (FLEX); ontology-aligned vision–language pretraining (KEEP); subgroup reporting</w:t>
            </w:r>
          </w:p>
        </w:tc>
        <w:tc>
          <w:tcPr/>
          <w:p>
            <w:pPr>
              <w:pStyle w:val="Compact"/>
            </w:pPr>
            <w:r>
              <w:t xml:space="preserve">Weak to moderate (little rare-disease-specific evidence)</w:t>
            </w:r>
          </w:p>
        </w:tc>
      </w:tr>
    </w:tbl>
    <w:p>
      <w:r>
        <w:pict>
          <v:rect style="width:0;height:1.5pt" o:hralign="center" o:hrstd="t" o:hr="t"/>
        </w:pict>
      </w:r>
    </w:p>
    <w:bookmarkEnd w:id="16"/>
    <w:bookmarkStart w:id="17" w:name="X8ce6cd9ee113fba105bb398d7aa924953898c95"/>
    <w:p>
      <w:pPr>
        <w:pStyle w:val="Heading2"/>
      </w:pPr>
      <w:r>
        <w:t xml:space="preserve">Supplementary Table 3 | Trustworthiness dimensions, rare-disease-specific risks and actionable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Rare-disease-specific risk</w:t>
            </w:r>
          </w:p>
        </w:tc>
        <w:tc>
          <w:tcPr/>
          <w:p>
            <w:pPr>
              <w:pStyle w:val="Compact"/>
            </w:pPr>
            <w:r>
              <w:t xml:space="preserve">Actionable requirement</w:t>
            </w:r>
          </w:p>
        </w:tc>
        <w:tc>
          <w:tcPr/>
          <w:p>
            <w:pPr>
              <w:pStyle w:val="Compact"/>
            </w:pPr>
            <w:r>
              <w:t xml:space="preserve">Current status</w:t>
            </w:r>
          </w:p>
        </w:tc>
      </w:tr>
      <w:tr>
        <w:tc>
          <w:tcPr/>
          <w:p>
            <w:pPr>
              <w:pStyle w:val="Compact"/>
            </w:pPr>
            <w:r>
              <w:t xml:space="preserve">External validation</w:t>
            </w:r>
          </w:p>
        </w:tc>
        <w:tc>
          <w:tcPr/>
          <w:p>
            <w:pPr>
              <w:pStyle w:val="Compact"/>
            </w:pPr>
            <w:r>
              <w:t xml:space="preserve">Mostly single-source retrospective data; wide confidence intervals</w:t>
            </w:r>
          </w:p>
        </w:tc>
        <w:tc>
          <w:tcPr/>
          <w:p>
            <w:pPr>
              <w:pStyle w:val="Compact"/>
            </w:pPr>
            <w:r>
              <w:t xml:space="preserve">At least three centres, several scanners and stains; report ID and OOD performance and their difference</w:t>
            </w:r>
          </w:p>
        </w:tc>
        <w:tc>
          <w:tcPr/>
          <w:p>
            <w:pPr>
              <w:pStyle w:val="Compact"/>
            </w:pPr>
            <w:r>
              <w:t xml:space="preserve">Uncommon (24% of studies in rare neurological disease AI)</w:t>
            </w:r>
          </w:p>
        </w:tc>
      </w:tr>
      <w:tr>
        <w:tc>
          <w:tcPr/>
          <w:p>
            <w:pPr>
              <w:pStyle w:val="Compact"/>
            </w:pPr>
            <w:r>
              <w:t xml:space="preserve">Calibration</w:t>
            </w:r>
          </w:p>
        </w:tc>
        <w:tc>
          <w:tcPr/>
          <w:p>
            <w:pPr>
              <w:pStyle w:val="Compact"/>
            </w:pPr>
            <w:r>
              <w:t xml:space="preserve">Overconfidence after few-shot adaptation; low prevalence lowers positive predictive value</w:t>
            </w:r>
          </w:p>
        </w:tc>
        <w:tc>
          <w:tcPr/>
          <w:p>
            <w:pPr>
              <w:pStyle w:val="Compact"/>
            </w:pPr>
            <w:r>
              <w:t xml:space="preserve">Reliability diagrams and expected calibration error; per-patient calibration</w:t>
            </w:r>
          </w:p>
        </w:tc>
        <w:tc>
          <w:tcPr/>
          <w:p>
            <w:pPr>
              <w:pStyle w:val="Compact"/>
            </w:pPr>
            <w:r>
              <w:t xml:space="preserve">Rarely reported</w:t>
            </w:r>
          </w:p>
        </w:tc>
      </w:tr>
      <w:tr>
        <w:tc>
          <w:tcPr/>
          <w:p>
            <w:pPr>
              <w:pStyle w:val="Compact"/>
            </w:pPr>
            <w:r>
              <w:t xml:space="preserve">Uncertainty and abstention</w:t>
            </w:r>
          </w:p>
        </w:tc>
        <w:tc>
          <w:tcPr/>
          <w:p>
            <w:pPr>
              <w:pStyle w:val="Compact"/>
            </w:pPr>
            <w:r>
              <w:t xml:space="preserve">Coverage guarantees may fail under distribution shift</w:t>
            </w:r>
          </w:p>
        </w:tc>
        <w:tc>
          <w:tcPr/>
          <w:p>
            <w:pPr>
              <w:pStyle w:val="Compact"/>
            </w:pPr>
            <w:r>
              <w:t xml:space="preserve">Conformal prediction with abstention; distinguish marginal from conditional coverage</w:t>
            </w:r>
          </w:p>
        </w:tc>
        <w:tc>
          <w:tcPr/>
          <w:p>
            <w:pPr>
              <w:pStyle w:val="Compact"/>
            </w:pPr>
            <w:r>
              <w:t xml:space="preserve">Methods exist; not yet evaluated in rare diseases</w:t>
            </w:r>
          </w:p>
        </w:tc>
      </w:tr>
      <w:tr>
        <w:tc>
          <w:tcPr/>
          <w:p>
            <w:pPr>
              <w:pStyle w:val="Compact"/>
            </w:pPr>
            <w:r>
              <w:t xml:space="preserve">Bias and fairness</w:t>
            </w:r>
          </w:p>
        </w:tc>
        <w:tc>
          <w:tcPr/>
          <w:p>
            <w:pPr>
              <w:pStyle w:val="Compact"/>
            </w:pPr>
            <w:r>
              <w:t xml:space="preserve">Centre signatures combined with very small subgroups</w:t>
            </w:r>
          </w:p>
        </w:tc>
        <w:tc>
          <w:tcPr/>
          <w:p>
            <w:pPr>
              <w:pStyle w:val="Compact"/>
            </w:pPr>
            <w:r>
              <w:t xml:space="preserve">Subgroup performance and calibration audits; report centre predictability</w:t>
            </w:r>
          </w:p>
        </w:tc>
        <w:tc>
          <w:tcPr/>
          <w:p>
            <w:pPr>
              <w:pStyle w:val="Compact"/>
            </w:pPr>
            <w:r>
              <w:t xml:space="preserve">Addressed in few studies</w:t>
            </w:r>
          </w:p>
        </w:tc>
      </w:tr>
      <w:tr>
        <w:tc>
          <w:tcPr/>
          <w:p>
            <w:pPr>
              <w:pStyle w:val="Compact"/>
            </w:pPr>
            <w:r>
              <w:t xml:space="preserve">Generative risk</w:t>
            </w:r>
          </w:p>
        </w:tc>
        <w:tc>
          <w:tcPr/>
          <w:p>
            <w:pPr>
              <w:pStyle w:val="Compact"/>
            </w:pPr>
            <w:r>
              <w:t xml:space="preserve">Fluent but wrong descriptions of unfamiliar entities</w:t>
            </w:r>
          </w:p>
        </w:tc>
        <w:tc>
          <w:tcPr/>
          <w:p>
            <w:pPr>
              <w:pStyle w:val="Compact"/>
            </w:pPr>
            <w:r>
              <w:t xml:space="preserve">Clinically grounded evaluation; structured output; human review</w:t>
            </w:r>
          </w:p>
        </w:tc>
        <w:tc>
          <w:tcPr/>
          <w:p>
            <w:pPr>
              <w:pStyle w:val="Compact"/>
            </w:pPr>
            <w:r>
              <w:t xml:space="preserve">Metrics proposed; not evaluated in rare diseases</w:t>
            </w:r>
          </w:p>
        </w:tc>
      </w:tr>
      <w:tr>
        <w:tc>
          <w:tcPr/>
          <w:p>
            <w:pPr>
              <w:pStyle w:val="Compact"/>
            </w:pPr>
            <w:r>
              <w:t xml:space="preserve">Clinical utility</w:t>
            </w:r>
          </w:p>
        </w:tc>
        <w:tc>
          <w:tcPr/>
          <w:p>
            <w:pPr>
              <w:pStyle w:val="Compact"/>
            </w:pPr>
            <w:r>
              <w:t xml:space="preserve">Discrimination does not equal benefit at low prevalence</w:t>
            </w:r>
          </w:p>
        </w:tc>
        <w:tc>
          <w:tcPr/>
          <w:p>
            <w:pPr>
              <w:pStyle w:val="Compact"/>
            </w:pPr>
            <w:r>
              <w:t xml:space="preserve">Decision-curve analysis, net benefit, change in decisions, immunohistochemistry use, turnaround time</w:t>
            </w:r>
          </w:p>
        </w:tc>
        <w:tc>
          <w:tcPr/>
          <w:p>
            <w:pPr>
              <w:pStyle w:val="Compact"/>
            </w:pPr>
            <w:r>
              <w:t xml:space="preserve">Essentially absent</w:t>
            </w:r>
          </w:p>
        </w:tc>
      </w:tr>
      <w:tr>
        <w:tc>
          <w:tcPr/>
          <w:p>
            <w:pPr>
              <w:pStyle w:val="Compact"/>
            </w:pPr>
            <w:r>
              <w:t xml:space="preserve">Prospective evidence</w:t>
            </w:r>
          </w:p>
        </w:tc>
        <w:tc>
          <w:tcPr/>
          <w:p>
            <w:pPr>
              <w:pStyle w:val="Compact"/>
            </w:pPr>
            <w:r>
              <w:t xml:space="preserve">Few cases per centre; slow accrual</w:t>
            </w:r>
          </w:p>
        </w:tc>
        <w:tc>
          <w:tcPr/>
          <w:p>
            <w:pPr>
              <w:pStyle w:val="Compact"/>
            </w:pPr>
            <w:r>
              <w:t xml:space="preserve">Registry-based multicentre silent trials; randomized trials with workflow or patient end points</w:t>
            </w:r>
          </w:p>
        </w:tc>
        <w:tc>
          <w:tcPr/>
          <w:p>
            <w:pPr>
              <w:pStyle w:val="Compact"/>
            </w:pPr>
            <w:r>
              <w:t xml:space="preserve">Prospective accuracy evaluation in two disease groups; no utility trials</w:t>
            </w:r>
          </w:p>
        </w:tc>
      </w:tr>
      <w:tr>
        <w:tc>
          <w:tcPr/>
          <w:p>
            <w:pPr>
              <w:pStyle w:val="Compact"/>
            </w:pPr>
            <w:r>
              <w:t xml:space="preserve">Health economics</w:t>
            </w:r>
          </w:p>
        </w:tc>
        <w:tc>
          <w:tcPr/>
          <w:p>
            <w:pPr>
              <w:pStyle w:val="Compact"/>
            </w:pPr>
            <w:r>
              <w:t xml:space="preserve">Unknown cost-effectiveness relative to referral and send-out testing</w:t>
            </w:r>
          </w:p>
        </w:tc>
        <w:tc>
          <w:tcPr/>
          <w:p>
            <w:pPr>
              <w:pStyle w:val="Compact"/>
            </w:pPr>
            <w:r>
              <w:t xml:space="preserve">Cost-effectiveness analysis alongside prospective studies</w:t>
            </w:r>
          </w:p>
        </w:tc>
        <w:tc>
          <w:tcPr/>
          <w:p>
            <w:pPr>
              <w:pStyle w:val="Compact"/>
            </w:pPr>
            <w:r>
              <w:t xml:space="preserve">Absent</w:t>
            </w:r>
          </w:p>
        </w:tc>
      </w:tr>
      <w:tr>
        <w:tc>
          <w:tcPr/>
          <w:p>
            <w:pPr>
              <w:pStyle w:val="Compact"/>
            </w:pPr>
            <w:r>
              <w:t xml:space="preserve">Regulation and governance</w:t>
            </w:r>
          </w:p>
        </w:tc>
        <w:tc>
          <w:tcPr/>
          <w:p>
            <w:pPr>
              <w:pStyle w:val="Compact"/>
            </w:pPr>
            <w:r>
              <w:t xml:space="preserve">Locked algorithms versus continual accrual of cases</w:t>
            </w:r>
          </w:p>
        </w:tc>
        <w:tc>
          <w:tcPr/>
          <w:p>
            <w:pPr>
              <w:pStyle w:val="Compact"/>
            </w:pPr>
            <w:r>
              <w:t xml:space="preserve">Predetermined change control plans; model cards; withdrawal criteria; post-market surveillance</w:t>
            </w:r>
          </w:p>
        </w:tc>
        <w:tc>
          <w:tcPr/>
          <w:p>
            <w:pPr>
              <w:pStyle w:val="Compact"/>
            </w:pPr>
            <w:r>
              <w:t xml:space="preserve">Frameworks exist; no rare disease histology authorization identified</w:t>
            </w:r>
          </w:p>
        </w:tc>
      </w:tr>
    </w:tbl>
    <w:p>
      <w:pPr>
        <w:pStyle w:val="BodyText"/>
      </w:pPr>
      <w:r>
        <w:t xml:space="preserve">Sources for all entries are cited in the main text.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2026-10-13T14:40:53Z</dcterms:created>
  <dcterms:modified xsi:type="dcterms:W3CDTF">2026-10-13T14:40:53Z</dcterms:modified>
</cp:coreProperties>
</file>

<file path=docProps/custom.xml><?xml version="1.0" encoding="utf-8"?>
<Properties xmlns="http://schemas.openxmlformats.org/officeDocument/2006/custom-properties" xmlns:vt="http://schemas.openxmlformats.org/officeDocument/2006/docPropsVTypes"/>
</file>