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Final Report</w:t>
      </w:r>
    </w:p>
    <w:p/>
    <w:tbl>
      <w:tblPr>
        <w:tblW w:type="auto" w:w="0"/>
        <w:tblLook w:firstColumn="1" w:firstRow="1" w:lastColumn="0" w:lastRow="0" w:noHBand="0" w:noVBand="1" w:val="04A0"/>
      </w:tblPr>
      <w:tblGrid>
        <w:gridCol w:w="4680"/>
        <w:gridCol w:w="4680"/>
      </w:tblGrid>
      <w:tr>
        <w:tc>
          <w:tcPr>
            <w:tcW w:type="dxa" w:w="4680"/>
          </w:tcPr>
          <w:p>
            <w:r>
              <w:rPr>
                <w:rFonts w:ascii="Calibri" w:hAnsi="Calibri"/>
                <w:sz w:val="22"/>
              </w:rPr>
              <w:t>Date Issued:</w:t>
            </w:r>
          </w:p>
        </w:tc>
        <w:tc>
          <w:tcPr>
            <w:tcW w:type="dxa" w:w="4680"/>
          </w:tcPr>
          <w:p>
            <w:r>
              <w:rPr>
                <w:rFonts w:ascii="Calibri" w:hAnsi="Calibri"/>
                <w:sz w:val="22"/>
              </w:rPr>
              <w:t>April 7, 2026</w:t>
            </w:r>
          </w:p>
        </w:tc>
      </w:tr>
    </w:tbl>
    <w:p>
      <w:r/>
    </w:p>
    <w:p>
      <w:pPr>
        <w:pStyle w:val="Heading1"/>
        <w:pageBreakBefore/>
      </w:pPr>
      <w:r>
        <w:t>Title Page</w:t>
      </w:r>
    </w:p>
    <w:p/>
    <w:p>
      <w:pPr>
        <w:jc w:val="center"/>
      </w:pPr>
      <w:r>
        <w:rPr>
          <w:rFonts w:ascii="Calibri" w:hAnsi="Calibri"/>
          <w:b/>
          <w:color w:val="2F5496"/>
          <w:sz w:val="44"/>
        </w:rPr>
        <w:t>GenAI-Based Internal Research Tool</w:t>
        <w:br/>
        <w:t>Ottawa EcDev RAG v2.0</w:t>
      </w:r>
    </w:p>
    <w:p/>
    <w:p>
      <w:r>
        <w:rPr>
          <w:rFonts w:ascii="Calibri" w:hAnsi="Calibri"/>
          <w:b/>
          <w:sz w:val="24"/>
        </w:rPr>
        <w:t xml:space="preserve">Project Title:  </w:t>
      </w:r>
      <w:r>
        <w:rPr>
          <w:rFonts w:ascii="Calibri" w:hAnsi="Calibri"/>
          <w:sz w:val="24"/>
        </w:rPr>
        <w:t>GenAI-Based Internal Research Tool — Ottawa EcDev RAG v2.0</w:t>
      </w:r>
    </w:p>
    <w:p>
      <w:r>
        <w:rPr>
          <w:rFonts w:ascii="Calibri" w:hAnsi="Calibri"/>
          <w:b/>
          <w:sz w:val="24"/>
        </w:rPr>
        <w:t xml:space="preserve">Client:  </w:t>
      </w:r>
      <w:r>
        <w:rPr>
          <w:rFonts w:ascii="Calibri" w:hAnsi="Calibri"/>
          <w:sz w:val="24"/>
        </w:rPr>
        <w:t>City of Ottawa — Economic Development Department</w:t>
      </w:r>
    </w:p>
    <w:p>
      <w:r>
        <w:rPr>
          <w:rFonts w:ascii="Calibri" w:hAnsi="Calibri"/>
          <w:b/>
          <w:sz w:val="24"/>
        </w:rPr>
        <w:t xml:space="preserve">Student Names:  </w:t>
      </w:r>
      <w:r>
        <w:rPr>
          <w:rFonts w:ascii="Calibri" w:hAnsi="Calibri"/>
          <w:sz w:val="24"/>
        </w:rPr>
        <w:t>Peng Wang (041107730), Hye Ran Yoo (041145212), Jiaxing Yi (041127158)</w:t>
      </w:r>
    </w:p>
    <w:p>
      <w:r>
        <w:rPr>
          <w:rFonts w:ascii="Calibri" w:hAnsi="Calibri"/>
          <w:b/>
          <w:sz w:val="24"/>
        </w:rPr>
        <w:t xml:space="preserve">Course:  </w:t>
      </w:r>
      <w:r>
        <w:rPr>
          <w:rFonts w:ascii="Calibri" w:hAnsi="Calibri"/>
          <w:sz w:val="24"/>
        </w:rPr>
        <w:t>CST 8505 — AI Software Development Project</w:t>
      </w:r>
    </w:p>
    <w:p>
      <w:r>
        <w:rPr>
          <w:rFonts w:ascii="Calibri" w:hAnsi="Calibri"/>
          <w:b/>
          <w:sz w:val="24"/>
        </w:rPr>
        <w:t xml:space="preserve">Instructor:  </w:t>
      </w:r>
      <w:r>
        <w:rPr>
          <w:rFonts w:ascii="Calibri" w:hAnsi="Calibri"/>
          <w:sz w:val="24"/>
        </w:rPr>
        <w:t>Hari</w:t>
      </w:r>
    </w:p>
    <w:p>
      <w:r>
        <w:rPr>
          <w:rFonts w:ascii="Calibri" w:hAnsi="Calibri"/>
          <w:b/>
          <w:sz w:val="24"/>
        </w:rPr>
        <w:t xml:space="preserve">Submission Date:  </w:t>
      </w:r>
      <w:r>
        <w:rPr>
          <w:rFonts w:ascii="Calibri" w:hAnsi="Calibri"/>
          <w:sz w:val="24"/>
        </w:rPr>
        <w:t>April 7, 2026</w:t>
      </w:r>
    </w:p>
    <w:p>
      <w:r/>
    </w:p>
    <w:p>
      <w:pPr>
        <w:pStyle w:val="Heading1"/>
        <w:pageBreakBefore/>
      </w:pPr>
      <w:r>
        <w:t>Acknowledgements</w:t>
      </w:r>
    </w:p>
    <w:p>
      <w:pPr>
        <w:pStyle w:val="ListBullet"/>
      </w:pPr>
      <w:r>
        <w:rPr>
          <w:rFonts w:ascii="Calibri" w:hAnsi="Calibri"/>
          <w:sz w:val="22"/>
        </w:rPr>
        <w:t>We would like to thank our instructor Hari for providing guidance and feedback throughout the project development lifecycle.</w:t>
      </w:r>
    </w:p>
    <w:p>
      <w:pPr>
        <w:pStyle w:val="ListBullet"/>
      </w:pPr>
      <w:r>
        <w:rPr>
          <w:rFonts w:ascii="Calibri" w:hAnsi="Calibri"/>
          <w:sz w:val="22"/>
        </w:rPr>
        <w:t>We acknowledge the City of Ottawa Economic Development Department for providing the quarterly report data that served as the foundation for this project.</w:t>
      </w:r>
    </w:p>
    <w:p>
      <w:pPr>
        <w:pStyle w:val="ListBullet"/>
      </w:pPr>
      <w:r>
        <w:rPr>
          <w:rFonts w:ascii="Calibri" w:hAnsi="Calibri"/>
          <w:sz w:val="22"/>
        </w:rPr>
        <w:t>We thank the open-source communities behind LlamaIndex, Payload CMS, MinerU, ChromaDB, and Ollama, whose tools and frameworks made this project possible.</w:t>
      </w:r>
    </w:p>
    <w:p>
      <w:r/>
    </w:p>
    <w:p>
      <w:pPr>
        <w:pStyle w:val="Heading1"/>
        <w:pageBreakBefore/>
      </w:pPr>
      <w:r>
        <w:t>Executive Summary</w:t>
      </w:r>
    </w:p>
    <w:p>
      <w:pPr>
        <w:pStyle w:val="ListBullet"/>
      </w:pPr>
      <w:r>
        <w:rPr>
          <w:rFonts w:ascii="Calibri" w:hAnsi="Calibri"/>
          <w:sz w:val="22"/>
        </w:rPr>
        <w:t>Problem: The City of Ottawa Economic Development (EcDev) Department produces quarterly reports covering employment, GDP, building permits, tourism, and business investment. Analysts must manually search 12 PDF reports (Q1 2022 – Q4 2024) to locate specific economic indicators and compare cross-quarter trends. Standalone LLMs hallucinate statistics without source verification, which is unacceptable for government decision-making.</w:t>
      </w:r>
    </w:p>
    <w:p>
      <w:pPr>
        <w:pStyle w:val="ListBullet"/>
      </w:pPr>
      <w:r>
        <w:rPr>
          <w:rFonts w:ascii="Calibri" w:hAnsi="Calibri"/>
          <w:sz w:val="22"/>
        </w:rPr>
        <w:t>Method: We built a Retrieval-Augmented Generation (RAG) platform using a three-tier architecture — Next.js 15 + Payload CMS frontend, Python/FastAPI engine with LlamaIndex, and ChromaDB + PostgreSQL data layer.</w:t>
      </w:r>
    </w:p>
    <w:p>
      <w:pPr>
        <w:pStyle w:val="ListBullet"/>
      </w:pPr>
      <w:r>
        <w:rPr>
          <w:rFonts w:ascii="Calibri" w:hAnsi="Calibri"/>
          <w:sz w:val="22"/>
        </w:rPr>
        <w:t>The engine uses hybrid retrieval (BM25 lexical + Vector semantic) fused with Reciprocal Rank Fusion (RRF, k=60), providing citation-aware answers with page-level source references so analysts can verify every data point.</w:t>
      </w:r>
    </w:p>
    <w:p>
      <w:pPr>
        <w:pStyle w:val="ListBullet"/>
      </w:pPr>
      <w:r>
        <w:rPr>
          <w:rFonts w:ascii="Calibri" w:hAnsi="Calibri"/>
          <w:sz w:val="22"/>
        </w:rPr>
        <w:t>Additional capabilities include LLM-based question generation with auto-scoring (LLM-as-Judge), and a 5-dimensional evaluation framework (Faithfulness, Relevancy, Correctness, Context Relevancy, Answer Relevancy).</w:t>
      </w:r>
    </w:p>
    <w:p>
      <w:pPr>
        <w:pStyle w:val="ListBullet"/>
      </w:pPr>
      <w:r>
        <w:rPr>
          <w:rFonts w:ascii="Calibri" w:hAnsi="Calibri"/>
          <w:sz w:val="22"/>
        </w:rPr>
        <w:t>Key Results: Hybrid retrieval outperforms single-strategy approaches; citation accuracy verified against real page references; question generation achieves avg. relevance ~4.1/5.0 and clarity ~4.3/5.0; ~70% of generated questions reach 'understanding' depth or above.</w:t>
      </w:r>
    </w:p>
    <w:p>
      <w:pPr>
        <w:pStyle w:val="ListBullet"/>
      </w:pPr>
      <w:r>
        <w:rPr>
          <w:rFonts w:ascii="Calibri" w:hAnsi="Calibri"/>
          <w:sz w:val="22"/>
        </w:rPr>
        <w:t>Conclusion: A well-structured RAG pipeline with proper chunking, metadata injection, and hybrid retrieval can deliver reliable, source-grounded answers for government economic data analysis use cases.</w:t>
      </w:r>
    </w:p>
    <w:p>
      <w:r/>
    </w:p>
    <w:p>
      <w:pPr>
        <w:pStyle w:val="Heading1"/>
        <w:pageBreakBefore/>
      </w:pPr>
      <w:r>
        <w:t>Table of Contents</w:t>
      </w:r>
    </w:p>
    <w:p>
      <w:pPr>
        <w:pStyle w:val="ListBullet"/>
      </w:pPr>
      <w:r>
        <w:rPr>
          <w:rFonts w:ascii="Calibri" w:hAnsi="Calibri"/>
          <w:sz w:val="22"/>
        </w:rPr>
        <w:t>1. Introduction</w:t>
      </w:r>
    </w:p>
    <w:p>
      <w:pPr>
        <w:pStyle w:val="ListBullet"/>
      </w:pPr>
      <w:r>
        <w:rPr>
          <w:rFonts w:ascii="Calibri" w:hAnsi="Calibri"/>
          <w:sz w:val="22"/>
        </w:rPr>
        <w:t>2. Data Set / Feature Engineering</w:t>
      </w:r>
    </w:p>
    <w:p>
      <w:pPr>
        <w:pStyle w:val="ListBullet"/>
      </w:pPr>
      <w:r>
        <w:rPr>
          <w:rFonts w:ascii="Calibri" w:hAnsi="Calibri"/>
          <w:sz w:val="22"/>
        </w:rPr>
        <w:t>3. Architectural Design</w:t>
      </w:r>
    </w:p>
    <w:p>
      <w:pPr>
        <w:pStyle w:val="ListBullet"/>
      </w:pPr>
      <w:r>
        <w:rPr>
          <w:rFonts w:ascii="Calibri" w:hAnsi="Calibri"/>
          <w:sz w:val="22"/>
        </w:rPr>
        <w:t>4. Program Design</w:t>
      </w:r>
    </w:p>
    <w:p>
      <w:pPr>
        <w:pStyle w:val="ListBullet"/>
      </w:pPr>
      <w:r>
        <w:rPr>
          <w:rFonts w:ascii="Calibri" w:hAnsi="Calibri"/>
          <w:sz w:val="22"/>
        </w:rPr>
        <w:t>5. Recommendations</w:t>
      </w:r>
    </w:p>
    <w:p>
      <w:pPr>
        <w:pStyle w:val="ListBullet"/>
      </w:pPr>
      <w:r>
        <w:rPr>
          <w:rFonts w:ascii="Calibri" w:hAnsi="Calibri"/>
          <w:sz w:val="22"/>
        </w:rPr>
        <w:t>6. Appendices</w:t>
      </w:r>
    </w:p>
    <w:p>
      <w:r/>
    </w:p>
    <w:p>
      <w:pPr>
        <w:pStyle w:val="Heading1"/>
        <w:pageBreakBefore/>
      </w:pPr>
      <w:r>
        <w:t>Introduction</w:t>
      </w:r>
    </w:p>
    <w:p>
      <w:r>
        <w:rPr>
          <w:rFonts w:ascii="Calibri" w:hAnsi="Calibri"/>
          <w:b/>
          <w:sz w:val="26"/>
        </w:rPr>
        <w:t>Problem Statement</w:t>
      </w:r>
    </w:p>
    <w:p>
      <w:pPr>
        <w:pStyle w:val="ListBullet"/>
      </w:pPr>
      <w:r>
        <w:rPr>
          <w:rFonts w:ascii="Calibri" w:hAnsi="Calibri"/>
          <w:sz w:val="22"/>
        </w:rPr>
        <w:t>The City of Ottawa Economic Development Department publishes quarterly economic update reports covering key indicators such as employment, GDP growth, building permits, tourism, and business investment. From Q1 2022 through Q4 2024, 12 such reports have been produced.</w:t>
      </w:r>
    </w:p>
    <w:p>
      <w:pPr>
        <w:pStyle w:val="ListBullet"/>
      </w:pPr>
      <w:r>
        <w:rPr>
          <w:rFonts w:ascii="Calibri" w:hAnsi="Calibri"/>
          <w:sz w:val="22"/>
        </w:rPr>
        <w:t>EcDev analysts need to find specific economic indicators across multiple quarters — for example, comparing year-over-year employment trends or identifying quarterly shifts in building permit values. Manual search through these PDF reports is time-consuming and error-prone.</w:t>
      </w:r>
    </w:p>
    <w:p>
      <w:pPr>
        <w:pStyle w:val="ListBullet"/>
      </w:pPr>
      <w:r>
        <w:rPr>
          <w:rFonts w:ascii="Calibri" w:hAnsi="Calibri"/>
          <w:sz w:val="22"/>
        </w:rPr>
        <w:t>Existing keyword search tools fail for conceptual or cross-quarter queries where exact terms may not appear in the source text (e.g., "How did Ottawa's labour market change from 2022 to 2024?").</w:t>
      </w:r>
    </w:p>
    <w:p>
      <w:pPr>
        <w:pStyle w:val="ListBullet"/>
      </w:pPr>
      <w:r>
        <w:rPr>
          <w:rFonts w:ascii="Calibri" w:hAnsi="Calibri"/>
          <w:sz w:val="22"/>
        </w:rPr>
        <w:t>Standalone LLMs can generate plausible but incorrect economic statistics (hallucination) without any source verification, making them unreliable for government policy and decision-making contexts.</w:t>
      </w:r>
    </w:p>
    <w:p>
      <w:pPr>
        <w:pStyle w:val="ListBullet"/>
      </w:pPr>
      <w:r>
        <w:rPr>
          <w:rFonts w:ascii="Calibri" w:hAnsi="Calibri"/>
          <w:sz w:val="22"/>
        </w:rPr>
        <w:t>There is no automated way to generate review questions or audit queries from report content for internal assessment purposes.</w:t>
      </w:r>
    </w:p>
    <w:p>
      <w:r>
        <w:rPr>
          <w:rFonts w:ascii="Calibri" w:hAnsi="Calibri"/>
          <w:b/>
          <w:sz w:val="26"/>
        </w:rPr>
        <w:t>Project Goals</w:t>
      </w:r>
    </w:p>
    <w:p>
      <w:pPr>
        <w:pStyle w:val="ListBullet"/>
      </w:pPr>
      <w:r>
        <w:rPr>
          <w:rFonts w:ascii="Calibri" w:hAnsi="Calibri"/>
          <w:sz w:val="22"/>
        </w:rPr>
        <w:t>Build a hybrid retrieval system combining BM25 (lexical) and Vector (semantic) search with Reciprocal Rank Fusion (RRF) for accurate retrieval across Ottawa EcDev quarterly reports.</w:t>
      </w:r>
    </w:p>
    <w:p>
      <w:pPr>
        <w:pStyle w:val="ListBullet"/>
      </w:pPr>
      <w:r>
        <w:rPr>
          <w:rFonts w:ascii="Calibri" w:hAnsi="Calibri"/>
          <w:sz w:val="22"/>
        </w:rPr>
        <w:t>Generate citation-aware answers with page-level source references that analysts can verify against original quarterly report content.</w:t>
      </w:r>
    </w:p>
    <w:p>
      <w:pPr>
        <w:pStyle w:val="ListBullet"/>
      </w:pPr>
      <w:r>
        <w:rPr>
          <w:rFonts w:ascii="Calibri" w:hAnsi="Calibri"/>
          <w:sz w:val="22"/>
        </w:rPr>
        <w:t>Provide a content management system (Payload CMS) for managing the report library with automated PDF ingestion — upload a new quarterly report, and it is automatically parsed, chunked, and indexed.</w:t>
      </w:r>
    </w:p>
    <w:p>
      <w:pPr>
        <w:pStyle w:val="ListBullet"/>
      </w:pPr>
      <w:r>
        <w:rPr>
          <w:rFonts w:ascii="Calibri" w:hAnsi="Calibri"/>
          <w:sz w:val="22"/>
        </w:rPr>
        <w:t>Support LLM-based question generation with auto-scoring for internal auditing and review purposes.</w:t>
      </w:r>
    </w:p>
    <w:p>
      <w:pPr>
        <w:pStyle w:val="ListBullet"/>
      </w:pPr>
      <w:r>
        <w:rPr>
          <w:rFonts w:ascii="Calibri" w:hAnsi="Calibri"/>
          <w:sz w:val="22"/>
        </w:rPr>
        <w:t>Implement a 5-dimensional evaluation framework for measuring response quality (Faithfulness, Relevancy, Correctness, Context Relevancy, Answer Relevancy).</w:t>
      </w:r>
    </w:p>
    <w:p>
      <w:pPr>
        <w:pStyle w:val="ListBullet"/>
      </w:pPr>
      <w:r>
        <w:rPr>
          <w:rFonts w:ascii="Calibri" w:hAnsi="Calibri"/>
          <w:sz w:val="22"/>
        </w:rPr>
        <w:t>Offer dual LLM support — local Ollama for development and Azure OpenAI (GPT-4o) for production — with zero code changes.</w:t>
      </w:r>
    </w:p>
    <w:p>
      <w:r>
        <w:rPr>
          <w:rFonts w:ascii="Calibri" w:hAnsi="Calibri"/>
          <w:b/>
          <w:sz w:val="26"/>
        </w:rPr>
        <w:t>Background and Context</w:t>
      </w:r>
    </w:p>
    <w:p>
      <w:pPr>
        <w:pStyle w:val="ListBullet"/>
      </w:pPr>
      <w:r>
        <w:rPr>
          <w:rFonts w:ascii="Calibri" w:hAnsi="Calibri"/>
          <w:sz w:val="22"/>
        </w:rPr>
        <w:t>Retrieval-Augmented Generation (RAG) is an AI architecture pattern that combines information retrieval with generative language models to reduce hallucination and enable source attribution.</w:t>
      </w:r>
    </w:p>
    <w:p>
      <w:pPr>
        <w:pStyle w:val="ListBullet"/>
      </w:pPr>
      <w:r>
        <w:rPr>
          <w:rFonts w:ascii="Calibri" w:hAnsi="Calibri"/>
          <w:sz w:val="22"/>
        </w:rPr>
        <w:t>Our project builds on the LlamaIndex framework, which provides standardized abstractions for RAG components including retrievers, synthesizers, evaluators, and query engines.</w:t>
      </w:r>
    </w:p>
    <w:p>
      <w:pPr>
        <w:pStyle w:val="ListBullet"/>
      </w:pPr>
      <w:r>
        <w:rPr>
          <w:rFonts w:ascii="Calibri" w:hAnsi="Calibri"/>
          <w:sz w:val="22"/>
        </w:rPr>
        <w:t>The system uses ChromaDB as the vector store for semantic search and MinerU for high-fidelity PDF parsing. The frontend is built with Next.js 15 and Payload CMS 3.x.</w:t>
      </w:r>
    </w:p>
    <w:p>
      <w:pPr>
        <w:pStyle w:val="ListBullet"/>
      </w:pPr>
      <w:r>
        <w:rPr>
          <w:rFonts w:ascii="Calibri" w:hAnsi="Calibri"/>
          <w:sz w:val="22"/>
        </w:rPr>
        <w:t>The ultimate goal is migration to the Ottawa GenAI Research Assistant (RAG-Project) for production deployment within the City of Ottawa infrastructure.</w:t>
      </w:r>
    </w:p>
    <w:p>
      <w:r/>
    </w:p>
    <w:p>
      <w:pPr>
        <w:pStyle w:val="Heading1"/>
        <w:pageBreakBefore/>
      </w:pPr>
      <w:r>
        <w:t>Data Set/Feature Engineering</w:t>
      </w:r>
    </w:p>
    <w:p>
      <w:r>
        <w:rPr>
          <w:rFonts w:ascii="Calibri" w:hAnsi="Calibri"/>
          <w:b/>
          <w:sz w:val="26"/>
        </w:rPr>
        <w:t>Dataset Description</w:t>
      </w:r>
    </w:p>
    <w:p>
      <w:pPr>
        <w:pStyle w:val="ListBullet"/>
      </w:pPr>
      <w:r>
        <w:rPr>
          <w:rFonts w:ascii="Calibri" w:hAnsi="Calibri"/>
          <w:sz w:val="22"/>
        </w:rPr>
        <w:t>The primary dataset consists of 12 quarterly economic update PDF reports published by the City of Ottawa Economic Development Department, spanning Q1 2022 through Q4 2024 (~7.4 MB total).</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val="clear" w:color="auto" w:fill="2F5496"/>
          </w:tcPr>
          <w:p>
            <w:pPr>
              <w:jc w:val="center"/>
            </w:pPr>
            <w:r>
              <w:rPr>
                <w:rFonts w:ascii="Calibri" w:hAnsi="Calibri"/>
                <w:b/>
                <w:color w:val="FFFFFF"/>
                <w:sz w:val="20"/>
              </w:rPr>
              <w:t>Quarter</w:t>
            </w:r>
          </w:p>
        </w:tc>
        <w:tc>
          <w:tcPr>
            <w:tcW w:type="dxa" w:w="3402"/>
            <w:shd w:val="clear" w:color="auto" w:fill="2F5496"/>
          </w:tcPr>
          <w:p>
            <w:pPr>
              <w:jc w:val="center"/>
            </w:pPr>
            <w:r>
              <w:rPr>
                <w:rFonts w:ascii="Calibri" w:hAnsi="Calibri"/>
                <w:b/>
                <w:color w:val="FFFFFF"/>
                <w:sz w:val="20"/>
              </w:rPr>
              <w:t>File Name</w:t>
            </w:r>
          </w:p>
        </w:tc>
        <w:tc>
          <w:tcPr>
            <w:tcW w:type="dxa" w:w="1701"/>
            <w:shd w:val="clear" w:color="auto" w:fill="2F5496"/>
          </w:tcPr>
          <w:p>
            <w:pPr>
              <w:jc w:val="center"/>
            </w:pPr>
            <w:r>
              <w:rPr>
                <w:rFonts w:ascii="Calibri" w:hAnsi="Calibri"/>
                <w:b/>
                <w:color w:val="FFFFFF"/>
                <w:sz w:val="20"/>
              </w:rPr>
              <w:t>Size</w:t>
            </w:r>
          </w:p>
        </w:tc>
      </w:tr>
      <w:tr>
        <w:tc>
          <w:tcPr>
            <w:tcW w:type="dxa" w:w="1701"/>
          </w:tcPr>
          <w:p>
            <w:r>
              <w:rPr>
                <w:rFonts w:ascii="Calibri" w:hAnsi="Calibri"/>
                <w:sz w:val="20"/>
              </w:rPr>
              <w:t>Q1 2022</w:t>
            </w:r>
          </w:p>
        </w:tc>
        <w:tc>
          <w:tcPr>
            <w:tcW w:type="dxa" w:w="3402"/>
          </w:tcPr>
          <w:p>
            <w:r>
              <w:rPr>
                <w:rFonts w:ascii="Calibri" w:hAnsi="Calibri"/>
                <w:sz w:val="20"/>
              </w:rPr>
              <w:t>ed_update_q1_2022.pdf</w:t>
            </w:r>
          </w:p>
        </w:tc>
        <w:tc>
          <w:tcPr>
            <w:tcW w:type="dxa" w:w="1701"/>
          </w:tcPr>
          <w:p>
            <w:r>
              <w:rPr>
                <w:rFonts w:ascii="Calibri" w:hAnsi="Calibri"/>
                <w:sz w:val="20"/>
              </w:rPr>
              <w:t>707 KB</w:t>
            </w:r>
          </w:p>
        </w:tc>
      </w:tr>
      <w:tr>
        <w:tc>
          <w:tcPr>
            <w:tcW w:type="dxa" w:w="1701"/>
            <w:shd w:val="clear" w:color="auto" w:fill="D6E4F0"/>
          </w:tcPr>
          <w:p>
            <w:r>
              <w:rPr>
                <w:rFonts w:ascii="Calibri" w:hAnsi="Calibri"/>
                <w:sz w:val="20"/>
              </w:rPr>
              <w:t>Q2 2022</w:t>
            </w:r>
          </w:p>
        </w:tc>
        <w:tc>
          <w:tcPr>
            <w:tcW w:type="dxa" w:w="3402"/>
            <w:shd w:val="clear" w:color="auto" w:fill="D6E4F0"/>
          </w:tcPr>
          <w:p>
            <w:r>
              <w:rPr>
                <w:rFonts w:ascii="Calibri" w:hAnsi="Calibri"/>
                <w:sz w:val="20"/>
              </w:rPr>
              <w:t>ed_update_q2_2022.pdf</w:t>
            </w:r>
          </w:p>
        </w:tc>
        <w:tc>
          <w:tcPr>
            <w:tcW w:type="dxa" w:w="1701"/>
            <w:shd w:val="clear" w:color="auto" w:fill="D6E4F0"/>
          </w:tcPr>
          <w:p>
            <w:r>
              <w:rPr>
                <w:rFonts w:ascii="Calibri" w:hAnsi="Calibri"/>
                <w:sz w:val="20"/>
              </w:rPr>
              <w:t>421 KB</w:t>
            </w:r>
          </w:p>
        </w:tc>
      </w:tr>
      <w:tr>
        <w:tc>
          <w:tcPr>
            <w:tcW w:type="dxa" w:w="1701"/>
          </w:tcPr>
          <w:p>
            <w:r>
              <w:rPr>
                <w:rFonts w:ascii="Calibri" w:hAnsi="Calibri"/>
                <w:sz w:val="20"/>
              </w:rPr>
              <w:t>Q3 2022</w:t>
            </w:r>
          </w:p>
        </w:tc>
        <w:tc>
          <w:tcPr>
            <w:tcW w:type="dxa" w:w="3402"/>
          </w:tcPr>
          <w:p>
            <w:r>
              <w:rPr>
                <w:rFonts w:ascii="Calibri" w:hAnsi="Calibri"/>
                <w:sz w:val="20"/>
              </w:rPr>
              <w:t>ed_update_q3_2022.pdf</w:t>
            </w:r>
          </w:p>
        </w:tc>
        <w:tc>
          <w:tcPr>
            <w:tcW w:type="dxa" w:w="1701"/>
          </w:tcPr>
          <w:p>
            <w:r>
              <w:rPr>
                <w:rFonts w:ascii="Calibri" w:hAnsi="Calibri"/>
                <w:sz w:val="20"/>
              </w:rPr>
              <w:t>518 KB</w:t>
            </w:r>
          </w:p>
        </w:tc>
      </w:tr>
      <w:tr>
        <w:tc>
          <w:tcPr>
            <w:tcW w:type="dxa" w:w="1701"/>
            <w:shd w:val="clear" w:color="auto" w:fill="D6E4F0"/>
          </w:tcPr>
          <w:p>
            <w:r>
              <w:rPr>
                <w:rFonts w:ascii="Calibri" w:hAnsi="Calibri"/>
                <w:sz w:val="20"/>
              </w:rPr>
              <w:t>Q4 2022</w:t>
            </w:r>
          </w:p>
        </w:tc>
        <w:tc>
          <w:tcPr>
            <w:tcW w:type="dxa" w:w="3402"/>
            <w:shd w:val="clear" w:color="auto" w:fill="D6E4F0"/>
          </w:tcPr>
          <w:p>
            <w:r>
              <w:rPr>
                <w:rFonts w:ascii="Calibri" w:hAnsi="Calibri"/>
                <w:sz w:val="20"/>
              </w:rPr>
              <w:t>ed_update_q4_2022.pdf</w:t>
            </w:r>
          </w:p>
        </w:tc>
        <w:tc>
          <w:tcPr>
            <w:tcW w:type="dxa" w:w="1701"/>
            <w:shd w:val="clear" w:color="auto" w:fill="D6E4F0"/>
          </w:tcPr>
          <w:p>
            <w:r>
              <w:rPr>
                <w:rFonts w:ascii="Calibri" w:hAnsi="Calibri"/>
                <w:sz w:val="20"/>
              </w:rPr>
              <w:t>946 KB</w:t>
            </w:r>
          </w:p>
        </w:tc>
      </w:tr>
      <w:tr>
        <w:tc>
          <w:tcPr>
            <w:tcW w:type="dxa" w:w="1701"/>
          </w:tcPr>
          <w:p>
            <w:r>
              <w:rPr>
                <w:rFonts w:ascii="Calibri" w:hAnsi="Calibri"/>
                <w:sz w:val="20"/>
              </w:rPr>
              <w:t>Q1 2023</w:t>
            </w:r>
          </w:p>
        </w:tc>
        <w:tc>
          <w:tcPr>
            <w:tcW w:type="dxa" w:w="3402"/>
          </w:tcPr>
          <w:p>
            <w:r>
              <w:rPr>
                <w:rFonts w:ascii="Calibri" w:hAnsi="Calibri"/>
                <w:sz w:val="20"/>
              </w:rPr>
              <w:t>ed_update_q1_2023.pdf</w:t>
            </w:r>
          </w:p>
        </w:tc>
        <w:tc>
          <w:tcPr>
            <w:tcW w:type="dxa" w:w="1701"/>
          </w:tcPr>
          <w:p>
            <w:r>
              <w:rPr>
                <w:rFonts w:ascii="Calibri" w:hAnsi="Calibri"/>
                <w:sz w:val="20"/>
              </w:rPr>
              <w:t>767 KB</w:t>
            </w:r>
          </w:p>
        </w:tc>
      </w:tr>
      <w:tr>
        <w:tc>
          <w:tcPr>
            <w:tcW w:type="dxa" w:w="1701"/>
            <w:shd w:val="clear" w:color="auto" w:fill="D6E4F0"/>
          </w:tcPr>
          <w:p>
            <w:r>
              <w:rPr>
                <w:rFonts w:ascii="Calibri" w:hAnsi="Calibri"/>
                <w:sz w:val="20"/>
              </w:rPr>
              <w:t>Q2 2023</w:t>
            </w:r>
          </w:p>
        </w:tc>
        <w:tc>
          <w:tcPr>
            <w:tcW w:type="dxa" w:w="3402"/>
            <w:shd w:val="clear" w:color="auto" w:fill="D6E4F0"/>
          </w:tcPr>
          <w:p>
            <w:r>
              <w:rPr>
                <w:rFonts w:ascii="Calibri" w:hAnsi="Calibri"/>
                <w:sz w:val="20"/>
              </w:rPr>
              <w:t>ed_update_q2_2023.pdf</w:t>
            </w:r>
          </w:p>
        </w:tc>
        <w:tc>
          <w:tcPr>
            <w:tcW w:type="dxa" w:w="1701"/>
            <w:shd w:val="clear" w:color="auto" w:fill="D6E4F0"/>
          </w:tcPr>
          <w:p>
            <w:r>
              <w:rPr>
                <w:rFonts w:ascii="Calibri" w:hAnsi="Calibri"/>
                <w:sz w:val="20"/>
              </w:rPr>
              <w:t>368 KB</w:t>
            </w:r>
          </w:p>
        </w:tc>
      </w:tr>
      <w:tr>
        <w:tc>
          <w:tcPr>
            <w:tcW w:type="dxa" w:w="1701"/>
          </w:tcPr>
          <w:p>
            <w:r>
              <w:rPr>
                <w:rFonts w:ascii="Calibri" w:hAnsi="Calibri"/>
                <w:sz w:val="20"/>
              </w:rPr>
              <w:t>Q3 2023</w:t>
            </w:r>
          </w:p>
        </w:tc>
        <w:tc>
          <w:tcPr>
            <w:tcW w:type="dxa" w:w="3402"/>
          </w:tcPr>
          <w:p>
            <w:r>
              <w:rPr>
                <w:rFonts w:ascii="Calibri" w:hAnsi="Calibri"/>
                <w:sz w:val="20"/>
              </w:rPr>
              <w:t>ed_update_q3_2023.pdf</w:t>
            </w:r>
          </w:p>
        </w:tc>
        <w:tc>
          <w:tcPr>
            <w:tcW w:type="dxa" w:w="1701"/>
          </w:tcPr>
          <w:p>
            <w:r>
              <w:rPr>
                <w:rFonts w:ascii="Calibri" w:hAnsi="Calibri"/>
                <w:sz w:val="20"/>
              </w:rPr>
              <w:t>768 KB</w:t>
            </w:r>
          </w:p>
        </w:tc>
      </w:tr>
      <w:tr>
        <w:tc>
          <w:tcPr>
            <w:tcW w:type="dxa" w:w="1701"/>
            <w:shd w:val="clear" w:color="auto" w:fill="D6E4F0"/>
          </w:tcPr>
          <w:p>
            <w:r>
              <w:rPr>
                <w:rFonts w:ascii="Calibri" w:hAnsi="Calibri"/>
                <w:sz w:val="20"/>
              </w:rPr>
              <w:t>Q4 2023</w:t>
            </w:r>
          </w:p>
        </w:tc>
        <w:tc>
          <w:tcPr>
            <w:tcW w:type="dxa" w:w="3402"/>
            <w:shd w:val="clear" w:color="auto" w:fill="D6E4F0"/>
          </w:tcPr>
          <w:p>
            <w:r>
              <w:rPr>
                <w:rFonts w:ascii="Calibri" w:hAnsi="Calibri"/>
                <w:sz w:val="20"/>
              </w:rPr>
              <w:t>ed_update_q4_2023.pdf</w:t>
            </w:r>
          </w:p>
        </w:tc>
        <w:tc>
          <w:tcPr>
            <w:tcW w:type="dxa" w:w="1701"/>
            <w:shd w:val="clear" w:color="auto" w:fill="D6E4F0"/>
          </w:tcPr>
          <w:p>
            <w:r>
              <w:rPr>
                <w:rFonts w:ascii="Calibri" w:hAnsi="Calibri"/>
                <w:sz w:val="20"/>
              </w:rPr>
              <w:t>766 KB</w:t>
            </w:r>
          </w:p>
        </w:tc>
      </w:tr>
      <w:tr>
        <w:tc>
          <w:tcPr>
            <w:tcW w:type="dxa" w:w="1701"/>
          </w:tcPr>
          <w:p>
            <w:r>
              <w:rPr>
                <w:rFonts w:ascii="Calibri" w:hAnsi="Calibri"/>
                <w:sz w:val="20"/>
              </w:rPr>
              <w:t>Q1 2024</w:t>
            </w:r>
          </w:p>
        </w:tc>
        <w:tc>
          <w:tcPr>
            <w:tcW w:type="dxa" w:w="3402"/>
          </w:tcPr>
          <w:p>
            <w:r>
              <w:rPr>
                <w:rFonts w:ascii="Calibri" w:hAnsi="Calibri"/>
                <w:sz w:val="20"/>
              </w:rPr>
              <w:t>ed_update_q1_2024.pdf</w:t>
            </w:r>
          </w:p>
        </w:tc>
        <w:tc>
          <w:tcPr>
            <w:tcW w:type="dxa" w:w="1701"/>
          </w:tcPr>
          <w:p>
            <w:r>
              <w:rPr>
                <w:rFonts w:ascii="Calibri" w:hAnsi="Calibri"/>
                <w:sz w:val="20"/>
              </w:rPr>
              <w:t>581 KB</w:t>
            </w:r>
          </w:p>
        </w:tc>
      </w:tr>
      <w:tr>
        <w:tc>
          <w:tcPr>
            <w:tcW w:type="dxa" w:w="1701"/>
            <w:shd w:val="clear" w:color="auto" w:fill="D6E4F0"/>
          </w:tcPr>
          <w:p>
            <w:r>
              <w:rPr>
                <w:rFonts w:ascii="Calibri" w:hAnsi="Calibri"/>
                <w:sz w:val="20"/>
              </w:rPr>
              <w:t>Q2 2024</w:t>
            </w:r>
          </w:p>
        </w:tc>
        <w:tc>
          <w:tcPr>
            <w:tcW w:type="dxa" w:w="3402"/>
            <w:shd w:val="clear" w:color="auto" w:fill="D6E4F0"/>
          </w:tcPr>
          <w:p>
            <w:r>
              <w:rPr>
                <w:rFonts w:ascii="Calibri" w:hAnsi="Calibri"/>
                <w:sz w:val="20"/>
              </w:rPr>
              <w:t>ed_update_q2_2024.pdf</w:t>
            </w:r>
          </w:p>
        </w:tc>
        <w:tc>
          <w:tcPr>
            <w:tcW w:type="dxa" w:w="1701"/>
            <w:shd w:val="clear" w:color="auto" w:fill="D6E4F0"/>
          </w:tcPr>
          <w:p>
            <w:r>
              <w:rPr>
                <w:rFonts w:ascii="Calibri" w:hAnsi="Calibri"/>
                <w:sz w:val="20"/>
              </w:rPr>
              <w:t>437 KB</w:t>
            </w:r>
          </w:p>
        </w:tc>
      </w:tr>
      <w:tr>
        <w:tc>
          <w:tcPr>
            <w:tcW w:type="dxa" w:w="1701"/>
          </w:tcPr>
          <w:p>
            <w:r>
              <w:rPr>
                <w:rFonts w:ascii="Calibri" w:hAnsi="Calibri"/>
                <w:sz w:val="20"/>
              </w:rPr>
              <w:t>Q3 2024</w:t>
            </w:r>
          </w:p>
        </w:tc>
        <w:tc>
          <w:tcPr>
            <w:tcW w:type="dxa" w:w="3402"/>
          </w:tcPr>
          <w:p>
            <w:r>
              <w:rPr>
                <w:rFonts w:ascii="Calibri" w:hAnsi="Calibri"/>
                <w:sz w:val="20"/>
              </w:rPr>
              <w:t>ed_update_q3_2024.pdf</w:t>
            </w:r>
          </w:p>
        </w:tc>
        <w:tc>
          <w:tcPr>
            <w:tcW w:type="dxa" w:w="1701"/>
          </w:tcPr>
          <w:p>
            <w:r>
              <w:rPr>
                <w:rFonts w:ascii="Calibri" w:hAnsi="Calibri"/>
                <w:sz w:val="20"/>
              </w:rPr>
              <w:t>1,007 KB</w:t>
            </w:r>
          </w:p>
        </w:tc>
      </w:tr>
      <w:tr>
        <w:tc>
          <w:tcPr>
            <w:tcW w:type="dxa" w:w="1701"/>
            <w:shd w:val="clear" w:color="auto" w:fill="D6E4F0"/>
          </w:tcPr>
          <w:p>
            <w:r>
              <w:rPr>
                <w:rFonts w:ascii="Calibri" w:hAnsi="Calibri"/>
                <w:sz w:val="20"/>
              </w:rPr>
              <w:t>Q4 2024</w:t>
            </w:r>
          </w:p>
        </w:tc>
        <w:tc>
          <w:tcPr>
            <w:tcW w:type="dxa" w:w="3402"/>
            <w:shd w:val="clear" w:color="auto" w:fill="D6E4F0"/>
          </w:tcPr>
          <w:p>
            <w:r>
              <w:rPr>
                <w:rFonts w:ascii="Calibri" w:hAnsi="Calibri"/>
                <w:sz w:val="20"/>
              </w:rPr>
              <w:t>ed_update_q4_2024.pdf</w:t>
            </w:r>
          </w:p>
        </w:tc>
        <w:tc>
          <w:tcPr>
            <w:tcW w:type="dxa" w:w="1701"/>
            <w:shd w:val="clear" w:color="auto" w:fill="D6E4F0"/>
          </w:tcPr>
          <w:p>
            <w:r>
              <w:rPr>
                <w:rFonts w:ascii="Calibri" w:hAnsi="Calibri"/>
                <w:sz w:val="20"/>
              </w:rPr>
              <w:t>880 KB</w:t>
            </w:r>
          </w:p>
        </w:tc>
      </w:tr>
    </w:tbl>
    <w:p/>
    <w:p>
      <w:pPr>
        <w:pStyle w:val="ListBullet"/>
      </w:pPr>
      <w:r>
        <w:rPr>
          <w:rFonts w:ascii="Calibri" w:hAnsi="Calibri"/>
          <w:sz w:val="22"/>
        </w:rPr>
        <w:t>Report topics include: employment &amp; labour market, GDP growth, building permits &amp; construction, tourism &amp; visitor spending, business investment &amp; development, and quarterly/annual comparisons.</w:t>
      </w:r>
    </w:p>
    <w:p>
      <w:r>
        <w:rPr>
          <w:rFonts w:ascii="Calibri" w:hAnsi="Calibri"/>
          <w:b/>
          <w:sz w:val="26"/>
        </w:rPr>
        <w:t>Data Preprocessing</w:t>
      </w:r>
    </w:p>
    <w:p>
      <w:pPr>
        <w:pStyle w:val="ListBullet"/>
      </w:pPr>
      <w:r>
        <w:rPr>
          <w:rFonts w:ascii="Calibri" w:hAnsi="Calibri"/>
          <w:sz w:val="22"/>
        </w:rPr>
        <w:t>Stage 1 — PDF Parsing (MinerU): Each quarterly report PDF is converted into structured Markdown preserving headings, tables, figures, and page boundaries.</w:t>
      </w:r>
    </w:p>
    <w:p>
      <w:pPr>
        <w:pStyle w:val="ListBullet"/>
      </w:pPr>
      <w:r>
        <w:rPr>
          <w:rFonts w:ascii="Calibri" w:hAnsi="Calibri"/>
          <w:sz w:val="22"/>
        </w:rPr>
        <w:t>Stage 2 — TOC Extraction: Regex-based extractor identifies table of contents and maps section boundaries to page ranges for section-level metadata.</w:t>
      </w:r>
    </w:p>
    <w:p>
      <w:pPr>
        <w:pStyle w:val="ListBullet"/>
      </w:pPr>
      <w:r>
        <w:rPr>
          <w:rFonts w:ascii="Calibri" w:hAnsi="Calibri"/>
          <w:sz w:val="22"/>
        </w:rPr>
        <w:t>Stage 3 — Chunking: Parsed text is split into chunks using sentence-level splitting with a 512-token window and 64-token overlap.</w:t>
      </w:r>
    </w:p>
    <w:p>
      <w:pPr>
        <w:pStyle w:val="ListBullet"/>
      </w:pPr>
      <w:r>
        <w:rPr>
          <w:rFonts w:ascii="Calibri" w:hAnsi="Calibri"/>
          <w:sz w:val="22"/>
        </w:rPr>
        <w:t>Stage 4 — Embedding: Chunks are embedded using HuggingFace all-MiniLM-L6-v2 model (384 dimensions) and stored in ChromaDB with full metadata.</w:t>
      </w:r>
    </w:p>
    <w:p>
      <w:r>
        <w:rPr>
          <w:rFonts w:ascii="Calibri" w:hAnsi="Calibri"/>
          <w:b/>
          <w:sz w:val="26"/>
        </w:rPr>
        <w:t>Feature Engineering</w:t>
      </w:r>
    </w:p>
    <w:p>
      <w:pPr>
        <w:pStyle w:val="ListBullet"/>
      </w:pPr>
      <w:r>
        <w:rPr>
          <w:rFonts w:ascii="Calibri" w:hAnsi="Calibri"/>
          <w:sz w:val="22"/>
        </w:rPr>
        <w:t>Each chunk is enriched with metadata fields that enable scoped retrieval:</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val="clear" w:color="auto" w:fill="2F5496"/>
          </w:tcPr>
          <w:p>
            <w:pPr>
              <w:jc w:val="center"/>
            </w:pPr>
            <w:r>
              <w:rPr>
                <w:rFonts w:ascii="Calibri" w:hAnsi="Calibri"/>
                <w:b/>
                <w:color w:val="FFFFFF"/>
                <w:sz w:val="20"/>
              </w:rPr>
              <w:t>Metadata Field</w:t>
            </w:r>
          </w:p>
        </w:tc>
        <w:tc>
          <w:tcPr>
            <w:tcW w:type="dxa" w:w="3402"/>
            <w:shd w:val="clear" w:color="auto" w:fill="2F5496"/>
          </w:tcPr>
          <w:p>
            <w:pPr>
              <w:jc w:val="center"/>
            </w:pPr>
            <w:r>
              <w:rPr>
                <w:rFonts w:ascii="Calibri" w:hAnsi="Calibri"/>
                <w:b/>
                <w:color w:val="FFFFFF"/>
                <w:sz w:val="20"/>
              </w:rPr>
              <w:t>Description</w:t>
            </w:r>
          </w:p>
        </w:tc>
        <w:tc>
          <w:tcPr>
            <w:tcW w:type="dxa" w:w="3402"/>
            <w:shd w:val="clear" w:color="auto" w:fill="2F5496"/>
          </w:tcPr>
          <w:p>
            <w:pPr>
              <w:jc w:val="center"/>
            </w:pPr>
            <w:r>
              <w:rPr>
                <w:rFonts w:ascii="Calibri" w:hAnsi="Calibri"/>
                <w:b/>
                <w:color w:val="FFFFFF"/>
                <w:sz w:val="20"/>
              </w:rPr>
              <w:t>Usage</w:t>
            </w:r>
          </w:p>
        </w:tc>
      </w:tr>
      <w:tr>
        <w:tc>
          <w:tcPr>
            <w:tcW w:type="dxa" w:w="2268"/>
          </w:tcPr>
          <w:p>
            <w:r>
              <w:rPr>
                <w:rFonts w:ascii="Calibri" w:hAnsi="Calibri"/>
                <w:sz w:val="20"/>
              </w:rPr>
              <w:t>book_id</w:t>
            </w:r>
          </w:p>
        </w:tc>
        <w:tc>
          <w:tcPr>
            <w:tcW w:type="dxa" w:w="3402"/>
          </w:tcPr>
          <w:p>
            <w:r>
              <w:rPr>
                <w:rFonts w:ascii="Calibri" w:hAnsi="Calibri"/>
                <w:sz w:val="20"/>
              </w:rPr>
              <w:t>Unique identifier for the source report</w:t>
            </w:r>
          </w:p>
        </w:tc>
        <w:tc>
          <w:tcPr>
            <w:tcW w:type="dxa" w:w="3402"/>
          </w:tcPr>
          <w:p>
            <w:r>
              <w:rPr>
                <w:rFonts w:ascii="Calibri" w:hAnsi="Calibri"/>
                <w:sz w:val="20"/>
              </w:rPr>
              <w:t>Report-scoped retrieval filtering</w:t>
            </w:r>
          </w:p>
        </w:tc>
      </w:tr>
      <w:tr>
        <w:tc>
          <w:tcPr>
            <w:tcW w:type="dxa" w:w="2268"/>
            <w:shd w:val="clear" w:color="auto" w:fill="D6E4F0"/>
          </w:tcPr>
          <w:p>
            <w:r>
              <w:rPr>
                <w:rFonts w:ascii="Calibri" w:hAnsi="Calibri"/>
                <w:sz w:val="20"/>
              </w:rPr>
              <w:t>book_title</w:t>
            </w:r>
          </w:p>
        </w:tc>
        <w:tc>
          <w:tcPr>
            <w:tcW w:type="dxa" w:w="3402"/>
            <w:shd w:val="clear" w:color="auto" w:fill="D6E4F0"/>
          </w:tcPr>
          <w:p>
            <w:r>
              <w:rPr>
                <w:rFonts w:ascii="Calibri" w:hAnsi="Calibri"/>
                <w:sz w:val="20"/>
              </w:rPr>
              <w:t>Report title (e.g., 'ed_update_q3_2023')</w:t>
            </w:r>
          </w:p>
        </w:tc>
        <w:tc>
          <w:tcPr>
            <w:tcW w:type="dxa" w:w="3402"/>
            <w:shd w:val="clear" w:color="auto" w:fill="D6E4F0"/>
          </w:tcPr>
          <w:p>
            <w:r>
              <w:rPr>
                <w:rFonts w:ascii="Calibri" w:hAnsi="Calibri"/>
                <w:sz w:val="20"/>
              </w:rPr>
              <w:t>Display in citations</w:t>
            </w:r>
          </w:p>
        </w:tc>
      </w:tr>
      <w:tr>
        <w:tc>
          <w:tcPr>
            <w:tcW w:type="dxa" w:w="2268"/>
          </w:tcPr>
          <w:p>
            <w:r>
              <w:rPr>
                <w:rFonts w:ascii="Calibri" w:hAnsi="Calibri"/>
                <w:sz w:val="20"/>
              </w:rPr>
              <w:t>chapter</w:t>
            </w:r>
          </w:p>
        </w:tc>
        <w:tc>
          <w:tcPr>
            <w:tcW w:type="dxa" w:w="3402"/>
          </w:tcPr>
          <w:p>
            <w:r>
              <w:rPr>
                <w:rFonts w:ascii="Calibri" w:hAnsi="Calibri"/>
                <w:sz w:val="20"/>
              </w:rPr>
              <w:t>Section name from structure mapping</w:t>
            </w:r>
          </w:p>
        </w:tc>
        <w:tc>
          <w:tcPr>
            <w:tcW w:type="dxa" w:w="3402"/>
          </w:tcPr>
          <w:p>
            <w:r>
              <w:rPr>
                <w:rFonts w:ascii="Calibri" w:hAnsi="Calibri"/>
                <w:sz w:val="20"/>
              </w:rPr>
              <w:t>Section-level filtering</w:t>
            </w:r>
          </w:p>
        </w:tc>
      </w:tr>
      <w:tr>
        <w:tc>
          <w:tcPr>
            <w:tcW w:type="dxa" w:w="2268"/>
            <w:shd w:val="clear" w:color="auto" w:fill="D6E4F0"/>
          </w:tcPr>
          <w:p>
            <w:r>
              <w:rPr>
                <w:rFonts w:ascii="Calibri" w:hAnsi="Calibri"/>
                <w:sz w:val="20"/>
              </w:rPr>
              <w:t>page_idx</w:t>
            </w:r>
          </w:p>
        </w:tc>
        <w:tc>
          <w:tcPr>
            <w:tcW w:type="dxa" w:w="3402"/>
            <w:shd w:val="clear" w:color="auto" w:fill="D6E4F0"/>
          </w:tcPr>
          <w:p>
            <w:r>
              <w:rPr>
                <w:rFonts w:ascii="Calibri" w:hAnsi="Calibri"/>
                <w:sz w:val="20"/>
              </w:rPr>
              <w:t>Zero-indexed page number in original PDF</w:t>
            </w:r>
          </w:p>
        </w:tc>
        <w:tc>
          <w:tcPr>
            <w:tcW w:type="dxa" w:w="3402"/>
            <w:shd w:val="clear" w:color="auto" w:fill="D6E4F0"/>
          </w:tcPr>
          <w:p>
            <w:r>
              <w:rPr>
                <w:rFonts w:ascii="Calibri" w:hAnsi="Calibri"/>
                <w:sz w:val="20"/>
              </w:rPr>
              <w:t>Citation linking to exact page</w:t>
            </w:r>
          </w:p>
        </w:tc>
      </w:tr>
      <w:tr>
        <w:tc>
          <w:tcPr>
            <w:tcW w:type="dxa" w:w="2268"/>
          </w:tcPr>
          <w:p>
            <w:r>
              <w:rPr>
                <w:rFonts w:ascii="Calibri" w:hAnsi="Calibri"/>
                <w:sz w:val="20"/>
              </w:rPr>
              <w:t>category</w:t>
            </w:r>
          </w:p>
        </w:tc>
        <w:tc>
          <w:tcPr>
            <w:tcW w:type="dxa" w:w="3402"/>
          </w:tcPr>
          <w:p>
            <w:r>
              <w:rPr>
                <w:rFonts w:ascii="Calibri" w:hAnsi="Calibri"/>
                <w:sz w:val="20"/>
              </w:rPr>
              <w:t>Document category ('ecdev')</w:t>
            </w:r>
          </w:p>
        </w:tc>
        <w:tc>
          <w:tcPr>
            <w:tcW w:type="dxa" w:w="3402"/>
          </w:tcPr>
          <w:p>
            <w:r>
              <w:rPr>
                <w:rFonts w:ascii="Calibri" w:hAnsi="Calibri"/>
                <w:sz w:val="20"/>
              </w:rPr>
              <w:t>Collection-level filtering</w:t>
            </w:r>
          </w:p>
        </w:tc>
      </w:tr>
      <w:tr>
        <w:tc>
          <w:tcPr>
            <w:tcW w:type="dxa" w:w="2268"/>
            <w:shd w:val="clear" w:color="auto" w:fill="D6E4F0"/>
          </w:tcPr>
          <w:p>
            <w:r>
              <w:rPr>
                <w:rFonts w:ascii="Calibri" w:hAnsi="Calibri"/>
                <w:sz w:val="20"/>
              </w:rPr>
              <w:t>heading_path</w:t>
            </w:r>
          </w:p>
        </w:tc>
        <w:tc>
          <w:tcPr>
            <w:tcW w:type="dxa" w:w="3402"/>
            <w:shd w:val="clear" w:color="auto" w:fill="D6E4F0"/>
          </w:tcPr>
          <w:p>
            <w:r>
              <w:rPr>
                <w:rFonts w:ascii="Calibri" w:hAnsi="Calibri"/>
                <w:sz w:val="20"/>
              </w:rPr>
              <w:t>Full heading hierarchy path</w:t>
            </w:r>
          </w:p>
        </w:tc>
        <w:tc>
          <w:tcPr>
            <w:tcW w:type="dxa" w:w="3402"/>
            <w:shd w:val="clear" w:color="auto" w:fill="D6E4F0"/>
          </w:tcPr>
          <w:p>
            <w:r>
              <w:rPr>
                <w:rFonts w:ascii="Calibri" w:hAnsi="Calibri"/>
                <w:sz w:val="20"/>
              </w:rPr>
              <w:t>Context enrichment</w:t>
            </w:r>
          </w:p>
        </w:tc>
      </w:tr>
    </w:tbl>
    <w:p/>
    <w:p>
      <w:pPr>
        <w:pStyle w:val="ListBullet"/>
      </w:pPr>
      <w:r>
        <w:rPr>
          <w:rFonts w:ascii="Calibri" w:hAnsi="Calibri"/>
          <w:sz w:val="22"/>
        </w:rPr>
        <w:t>These metadata fields enable MetadataFilters in ChromaDB, allowing the hybrid retriever to scope queries to specific reports, quarters, or page ranges, significantly improving retrieval precision for cross-quarter comparisons.</w:t>
      </w:r>
    </w:p>
    <w:p>
      <w:r/>
    </w:p>
    <w:p>
      <w:pPr>
        <w:pStyle w:val="Heading1"/>
        <w:pageBreakBefore/>
      </w:pPr>
      <w:r>
        <w:t>Architectural Design</w:t>
      </w:r>
    </w:p>
    <w:p>
      <w:r>
        <w:rPr>
          <w:rFonts w:ascii="Calibri" w:hAnsi="Calibri"/>
          <w:b/>
          <w:sz w:val="26"/>
        </w:rPr>
        <w:t>End-to-End Solution Architecture</w:t>
      </w:r>
    </w:p>
    <w:p>
      <w:pPr>
        <w:pStyle w:val="ListBullet"/>
      </w:pPr>
      <w:r>
        <w:rPr>
          <w:rFonts w:ascii="Calibri" w:hAnsi="Calibri"/>
          <w:sz w:val="22"/>
        </w:rPr>
        <w:t>The system follows a three-tier modular architecture designed for separation of concerns and independent scalability.</w:t>
      </w:r>
    </w:p>
    <w:p>
      <w:r>
        <w:rPr>
          <w:rFonts w:ascii="Calibri" w:hAnsi="Calibri"/>
          <w:b/>
          <w:sz w:val="22"/>
        </w:rPr>
        <w:t>Tier 1 — Frontend Layer (Next.js 15 + Payload CMS 3.x):</w:t>
      </w:r>
    </w:p>
    <w:p>
      <w:pPr>
        <w:pStyle w:val="ListBullet"/>
      </w:pPr>
      <w:r>
        <w:rPr>
          <w:rFonts w:ascii="Calibri" w:hAnsi="Calibri"/>
          <w:sz w:val="22"/>
        </w:rPr>
        <w:t>Next.js 15 App Router serves the user-facing SPA with pages for Chat, Report Library, Question Generation, Evaluation, and Settings.</w:t>
      </w:r>
    </w:p>
    <w:p>
      <w:pPr>
        <w:pStyle w:val="ListBullet"/>
      </w:pPr>
      <w:r>
        <w:rPr>
          <w:rFonts w:ascii="Calibri" w:hAnsi="Calibri"/>
          <w:sz w:val="22"/>
        </w:rPr>
        <w:t>Payload CMS 3.x provides an auto-generated Admin Panel with 14 collections: Books, Chapters, Chunks, IngestTasks, ChatSessions, ChatMessages, Queries, Questions, Evaluations, Llms, Prompts, PdfUploads, Media, Users.</w:t>
      </w:r>
    </w:p>
    <w:p>
      <w:pPr>
        <w:pStyle w:val="ListBullet"/>
      </w:pPr>
      <w:r>
        <w:rPr>
          <w:rFonts w:ascii="Calibri" w:hAnsi="Calibri"/>
          <w:sz w:val="22"/>
        </w:rPr>
        <w:t>Auto-generated REST and GraphQL APIs for all collections eliminate manual API development.</w:t>
      </w:r>
    </w:p>
    <w:p>
      <w:pPr>
        <w:pStyle w:val="ListBullet"/>
      </w:pPr>
      <w:r>
        <w:rPr>
          <w:rFonts w:ascii="Calibri" w:hAnsi="Calibri"/>
          <w:sz w:val="22"/>
        </w:rPr>
        <w:t>Role-based access control (admin / editor / reader) via JWT authentication.</w:t>
      </w:r>
    </w:p>
    <w:p>
      <w:r>
        <w:rPr>
          <w:rFonts w:ascii="Calibri" w:hAnsi="Calibri"/>
          <w:b/>
          <w:sz w:val="22"/>
        </w:rPr>
        <w:t>Tier 2 — Engine Layer (Python FastAPI):</w:t>
      </w:r>
    </w:p>
    <w:p>
      <w:pPr>
        <w:pStyle w:val="ListBullet"/>
      </w:pPr>
      <w:r>
        <w:rPr>
          <w:rFonts w:ascii="Calibri" w:hAnsi="Calibri"/>
          <w:sz w:val="22"/>
        </w:rPr>
        <w:t>FastAPI application with modular endpoints for query, ingestion, question generation, evaluation, and report management.</w:t>
      </w:r>
    </w:p>
    <w:p>
      <w:pPr>
        <w:pStyle w:val="ListBullet"/>
      </w:pPr>
      <w:r>
        <w:rPr>
          <w:rFonts w:ascii="Calibri" w:hAnsi="Calibri"/>
          <w:sz w:val="22"/>
        </w:rPr>
        <w:t>Built on LlamaIndex core abstractions for standardized RAG components.</w:t>
      </w:r>
    </w:p>
    <w:tbl>
      <w:tblPr>
        <w:tblStyle w:val="TableGrid"/>
        <w:tblW w:type="auto" w:w="0"/>
        <w:jc w:val="center"/>
        <w:tblLook w:firstColumn="1" w:firstRow="1" w:lastColumn="0" w:lastRow="0" w:noHBand="0" w:noVBand="1" w:val="04A0"/>
      </w:tblPr>
      <w:tblGrid>
        <w:gridCol w:w="4680"/>
        <w:gridCol w:w="4680"/>
      </w:tblGrid>
      <w:tr>
        <w:tc>
          <w:tcPr>
            <w:tcW w:type="dxa" w:w="3118"/>
            <w:shd w:val="clear" w:color="auto" w:fill="2F5496"/>
          </w:tcPr>
          <w:p>
            <w:pPr>
              <w:jc w:val="center"/>
            </w:pPr>
            <w:r>
              <w:rPr>
                <w:rFonts w:ascii="Calibri" w:hAnsi="Calibri"/>
                <w:b/>
                <w:color w:val="FFFFFF"/>
                <w:sz w:val="20"/>
              </w:rPr>
              <w:t>Module</w:t>
            </w:r>
          </w:p>
        </w:tc>
        <w:tc>
          <w:tcPr>
            <w:tcW w:type="dxa" w:w="5953"/>
            <w:shd w:val="clear" w:color="auto" w:fill="2F5496"/>
          </w:tcPr>
          <w:p>
            <w:pPr>
              <w:jc w:val="center"/>
            </w:pPr>
            <w:r>
              <w:rPr>
                <w:rFonts w:ascii="Calibri" w:hAnsi="Calibri"/>
                <w:b/>
                <w:color w:val="FFFFFF"/>
                <w:sz w:val="20"/>
              </w:rPr>
              <w:t>Purpose</w:t>
            </w:r>
          </w:p>
        </w:tc>
      </w:tr>
      <w:tr>
        <w:tc>
          <w:tcPr>
            <w:tcW w:type="dxa" w:w="3118"/>
          </w:tcPr>
          <w:p>
            <w:r>
              <w:rPr>
                <w:rFonts w:ascii="Calibri" w:hAnsi="Calibri"/>
                <w:sz w:val="20"/>
              </w:rPr>
              <w:t>readers/</w:t>
            </w:r>
          </w:p>
        </w:tc>
        <w:tc>
          <w:tcPr>
            <w:tcW w:type="dxa" w:w="5953"/>
          </w:tcPr>
          <w:p>
            <w:r>
              <w:rPr>
                <w:rFonts w:ascii="Calibri" w:hAnsi="Calibri"/>
                <w:sz w:val="20"/>
              </w:rPr>
              <w:t>MinerUReader for PDF-to-Document conversion</w:t>
            </w:r>
          </w:p>
        </w:tc>
      </w:tr>
      <w:tr>
        <w:tc>
          <w:tcPr>
            <w:tcW w:type="dxa" w:w="3118"/>
            <w:shd w:val="clear" w:color="auto" w:fill="D6E4F0"/>
          </w:tcPr>
          <w:p>
            <w:r>
              <w:rPr>
                <w:rFonts w:ascii="Calibri" w:hAnsi="Calibri"/>
                <w:sz w:val="20"/>
              </w:rPr>
              <w:t>chunking/</w:t>
            </w:r>
          </w:p>
        </w:tc>
        <w:tc>
          <w:tcPr>
            <w:tcW w:type="dxa" w:w="5953"/>
            <w:shd w:val="clear" w:color="auto" w:fill="D6E4F0"/>
          </w:tcPr>
          <w:p>
            <w:r>
              <w:rPr>
                <w:rFonts w:ascii="Calibri" w:hAnsi="Calibri"/>
                <w:sz w:val="20"/>
              </w:rPr>
              <w:t>Section extraction and sentence-level text splitting</w:t>
            </w:r>
          </w:p>
        </w:tc>
      </w:tr>
      <w:tr>
        <w:tc>
          <w:tcPr>
            <w:tcW w:type="dxa" w:w="3118"/>
          </w:tcPr>
          <w:p>
            <w:r>
              <w:rPr>
                <w:rFonts w:ascii="Calibri" w:hAnsi="Calibri"/>
                <w:sz w:val="20"/>
              </w:rPr>
              <w:t>ingestion/</w:t>
            </w:r>
          </w:p>
        </w:tc>
        <w:tc>
          <w:tcPr>
            <w:tcW w:type="dxa" w:w="5953"/>
          </w:tcPr>
          <w:p>
            <w:r>
              <w:rPr>
                <w:rFonts w:ascii="Calibri" w:hAnsi="Calibri"/>
                <w:sz w:val="20"/>
              </w:rPr>
              <w:t>IngestionPipeline with transformations to ChromaDB</w:t>
            </w:r>
          </w:p>
        </w:tc>
      </w:tr>
      <w:tr>
        <w:tc>
          <w:tcPr>
            <w:tcW w:type="dxa" w:w="3118"/>
            <w:shd w:val="clear" w:color="auto" w:fill="D6E4F0"/>
          </w:tcPr>
          <w:p>
            <w:r>
              <w:rPr>
                <w:rFonts w:ascii="Calibri" w:hAnsi="Calibri"/>
                <w:sz w:val="20"/>
              </w:rPr>
              <w:t>retrievers/</w:t>
            </w:r>
          </w:p>
        </w:tc>
        <w:tc>
          <w:tcPr>
            <w:tcW w:type="dxa" w:w="5953"/>
            <w:shd w:val="clear" w:color="auto" w:fill="D6E4F0"/>
          </w:tcPr>
          <w:p>
            <w:r>
              <w:rPr>
                <w:rFonts w:ascii="Calibri" w:hAnsi="Calibri"/>
                <w:sz w:val="20"/>
              </w:rPr>
              <w:t>HybridRetriever: BM25 + Vector with RRF fusion</w:t>
            </w:r>
          </w:p>
        </w:tc>
      </w:tr>
      <w:tr>
        <w:tc>
          <w:tcPr>
            <w:tcW w:type="dxa" w:w="3118"/>
          </w:tcPr>
          <w:p>
            <w:r>
              <w:rPr>
                <w:rFonts w:ascii="Calibri" w:hAnsi="Calibri"/>
                <w:sz w:val="20"/>
              </w:rPr>
              <w:t>response_synthesizers/</w:t>
            </w:r>
          </w:p>
        </w:tc>
        <w:tc>
          <w:tcPr>
            <w:tcW w:type="dxa" w:w="5953"/>
          </w:tcPr>
          <w:p>
            <w:r>
              <w:rPr>
                <w:rFonts w:ascii="Calibri" w:hAnsi="Calibri"/>
                <w:sz w:val="20"/>
              </w:rPr>
              <w:t>CitationSynthesizer for source-attributed answers</w:t>
            </w:r>
          </w:p>
        </w:tc>
      </w:tr>
      <w:tr>
        <w:tc>
          <w:tcPr>
            <w:tcW w:type="dxa" w:w="3118"/>
            <w:shd w:val="clear" w:color="auto" w:fill="D6E4F0"/>
          </w:tcPr>
          <w:p>
            <w:r>
              <w:rPr>
                <w:rFonts w:ascii="Calibri" w:hAnsi="Calibri"/>
                <w:sz w:val="20"/>
              </w:rPr>
              <w:t>query_engine/</w:t>
            </w:r>
          </w:p>
        </w:tc>
        <w:tc>
          <w:tcPr>
            <w:tcW w:type="dxa" w:w="5953"/>
            <w:shd w:val="clear" w:color="auto" w:fill="D6E4F0"/>
          </w:tcPr>
          <w:p>
            <w:r>
              <w:rPr>
                <w:rFonts w:ascii="Calibri" w:hAnsi="Calibri"/>
                <w:sz w:val="20"/>
              </w:rPr>
              <w:t>RetrieverQueryEngine composing retriever + synthesizer</w:t>
            </w:r>
          </w:p>
        </w:tc>
      </w:tr>
      <w:tr>
        <w:tc>
          <w:tcPr>
            <w:tcW w:type="dxa" w:w="3118"/>
          </w:tcPr>
          <w:p>
            <w:r>
              <w:rPr>
                <w:rFonts w:ascii="Calibri" w:hAnsi="Calibri"/>
                <w:sz w:val="20"/>
              </w:rPr>
              <w:t>question_gen/</w:t>
            </w:r>
          </w:p>
        </w:tc>
        <w:tc>
          <w:tcPr>
            <w:tcW w:type="dxa" w:w="5953"/>
          </w:tcPr>
          <w:p>
            <w:r>
              <w:rPr>
                <w:rFonts w:ascii="Calibri" w:hAnsi="Calibri"/>
                <w:sz w:val="20"/>
              </w:rPr>
              <w:t>LLM-based question generation with auto-scoring</w:t>
            </w:r>
          </w:p>
        </w:tc>
      </w:tr>
      <w:tr>
        <w:tc>
          <w:tcPr>
            <w:tcW w:type="dxa" w:w="3118"/>
            <w:shd w:val="clear" w:color="auto" w:fill="D6E4F0"/>
          </w:tcPr>
          <w:p>
            <w:r>
              <w:rPr>
                <w:rFonts w:ascii="Calibri" w:hAnsi="Calibri"/>
                <w:sz w:val="20"/>
              </w:rPr>
              <w:t>evaluation/</w:t>
            </w:r>
          </w:p>
        </w:tc>
        <w:tc>
          <w:tcPr>
            <w:tcW w:type="dxa" w:w="5953"/>
            <w:shd w:val="clear" w:color="auto" w:fill="D6E4F0"/>
          </w:tcPr>
          <w:p>
            <w:r>
              <w:rPr>
                <w:rFonts w:ascii="Calibri" w:hAnsi="Calibri"/>
                <w:sz w:val="20"/>
              </w:rPr>
              <w:t>5-dimensional response evaluation</w:t>
            </w:r>
          </w:p>
        </w:tc>
      </w:tr>
      <w:tr>
        <w:tc>
          <w:tcPr>
            <w:tcW w:type="dxa" w:w="3118"/>
          </w:tcPr>
          <w:p>
            <w:r>
              <w:rPr>
                <w:rFonts w:ascii="Calibri" w:hAnsi="Calibri"/>
                <w:sz w:val="20"/>
              </w:rPr>
              <w:t>llms/</w:t>
            </w:r>
          </w:p>
        </w:tc>
        <w:tc>
          <w:tcPr>
            <w:tcW w:type="dxa" w:w="5953"/>
          </w:tcPr>
          <w:p>
            <w:r>
              <w:rPr>
                <w:rFonts w:ascii="Calibri" w:hAnsi="Calibri"/>
                <w:sz w:val="20"/>
              </w:rPr>
              <w:t>LLM resolver for Ollama / Azure OpenAI routing</w:t>
            </w:r>
          </w:p>
        </w:tc>
      </w:tr>
    </w:tbl>
    <w:p/>
    <w:p>
      <w:r>
        <w:rPr>
          <w:rFonts w:ascii="Calibri" w:hAnsi="Calibri"/>
          <w:b/>
          <w:sz w:val="22"/>
        </w:rPr>
        <w:t>Tier 3 — Data Layer:</w:t>
      </w:r>
    </w:p>
    <w:p>
      <w:pPr>
        <w:pStyle w:val="ListBullet"/>
      </w:pPr>
      <w:r>
        <w:rPr>
          <w:rFonts w:ascii="Calibri" w:hAnsi="Calibri"/>
          <w:sz w:val="22"/>
        </w:rPr>
        <w:t>ChromaDB: Persistent vector store with HNSW cosine similarity index and BM25 full-text index.</w:t>
      </w:r>
    </w:p>
    <w:p>
      <w:pPr>
        <w:pStyle w:val="ListBullet"/>
      </w:pPr>
      <w:r>
        <w:rPr>
          <w:rFonts w:ascii="Calibri" w:hAnsi="Calibri"/>
          <w:sz w:val="22"/>
        </w:rPr>
        <w:t>PostgreSQL: Relational database managed by Payload CMS for all structured data.</w:t>
      </w:r>
    </w:p>
    <w:p>
      <w:pPr>
        <w:pStyle w:val="ListBullet"/>
      </w:pPr>
      <w:r>
        <w:rPr>
          <w:rFonts w:ascii="Calibri" w:hAnsi="Calibri"/>
          <w:sz w:val="22"/>
        </w:rPr>
        <w:t>Ollama: Local LLM inference server (default: qwen3.5:4b).</w:t>
      </w:r>
    </w:p>
    <w:p>
      <w:pPr>
        <w:pStyle w:val="ListBullet"/>
      </w:pPr>
      <w:r>
        <w:rPr>
          <w:rFonts w:ascii="Calibri" w:hAnsi="Calibri"/>
          <w:sz w:val="22"/>
        </w:rPr>
        <w:t>Azure OpenAI: Cloud LLM option (GPT-4o-mini) with automatic fallback to Ollama.</w:t>
      </w:r>
    </w:p>
    <w:p>
      <w:r>
        <w:rPr>
          <w:rFonts w:ascii="Calibri" w:hAnsi="Calibri"/>
          <w:b/>
          <w:sz w:val="26"/>
        </w:rPr>
        <w:t>Hybrid Retrieval Architecture</w:t>
      </w:r>
    </w:p>
    <w:p>
      <w:pPr>
        <w:pStyle w:val="ListBullet"/>
      </w:pPr>
      <w:r>
        <w:rPr>
          <w:rFonts w:ascii="Calibri" w:hAnsi="Calibri"/>
          <w:sz w:val="22"/>
        </w:rPr>
        <w:t>BM25 Retriever: Uses rank_bm25 over LlamaIndex docstore for keyword-based lexical matching. Effective for exact economic indicator queries (e.g., 'building permits Q3 2023').</w:t>
      </w:r>
    </w:p>
    <w:p>
      <w:pPr>
        <w:pStyle w:val="ListBullet"/>
      </w:pPr>
      <w:r>
        <w:rPr>
          <w:rFonts w:ascii="Calibri" w:hAnsi="Calibri"/>
          <w:sz w:val="22"/>
        </w:rPr>
        <w:t>Vector Retriever: Uses ChromaDB HNSW index with cosine similarity for semantic matching. Effective for conceptual queries (e.g., 'What drove Ottawa employment growth?').</w:t>
      </w:r>
    </w:p>
    <w:p>
      <w:pPr>
        <w:pStyle w:val="ListBullet"/>
      </w:pPr>
      <w:r>
        <w:rPr>
          <w:rFonts w:ascii="Calibri" w:hAnsi="Calibri"/>
          <w:sz w:val="22"/>
        </w:rPr>
        <w:t>QueryFusionRetriever (RRF): Combines both retrievers using Reciprocal Rank Fusion (k=60). Formula: RRF(d) = Σ 1/(k + rank_i(d)).</w:t>
      </w:r>
    </w:p>
    <w:p>
      <w:pPr>
        <w:pStyle w:val="ListBullet"/>
      </w:pPr>
      <w:r>
        <w:rPr>
          <w:rFonts w:ascii="Calibri" w:hAnsi="Calibri"/>
          <w:sz w:val="22"/>
        </w:rPr>
        <w:t>MetadataFilters: Report-scoped filtering pushed down to ChromaDB native where clause to prevent cross-report contamination.</w:t>
      </w:r>
    </w:p>
    <w:p>
      <w:pPr>
        <w:pStyle w:val="ListBullet"/>
      </w:pPr>
      <w:r>
        <w:rPr>
          <w:rFonts w:ascii="Calibri" w:hAnsi="Calibri"/>
          <w:sz w:val="22"/>
        </w:rPr>
        <w:t>Graceful degradation: Falls back to vector-only mode if ChromaDB collection is empty.</w:t>
      </w:r>
    </w:p>
    <w:p>
      <w:r>
        <w:rPr>
          <w:rFonts w:ascii="Calibri" w:hAnsi="Calibri"/>
          <w:b/>
          <w:sz w:val="26"/>
        </w:rPr>
        <w:t>LLM Integration</w:t>
      </w:r>
    </w:p>
    <w:p>
      <w:pPr>
        <w:pStyle w:val="ListBullet"/>
      </w:pPr>
      <w:r>
        <w:rPr>
          <w:rFonts w:ascii="Calibri" w:hAnsi="Calibri"/>
          <w:sz w:val="22"/>
        </w:rPr>
        <w:t>The LLM resolver implements priority-based routing: Azure OpenAI (Priority 1, if configured) → Ollama local (Priority 2, always available).</w:t>
      </w:r>
    </w:p>
    <w:p>
      <w:pPr>
        <w:pStyle w:val="ListBullet"/>
      </w:pPr>
      <w:r>
        <w:rPr>
          <w:rFonts w:ascii="Calibri" w:hAnsi="Calibri"/>
          <w:sz w:val="22"/>
        </w:rPr>
        <w:t>Dual-mode design allows development with free local models and production with cloud models, zero code changes.</w:t>
      </w:r>
    </w:p>
    <w:p>
      <w:r/>
    </w:p>
    <w:p>
      <w:pPr>
        <w:pStyle w:val="Heading1"/>
        <w:pageBreakBefore/>
      </w:pPr>
      <w:r>
        <w:t>Program Design</w:t>
      </w:r>
    </w:p>
    <w:p>
      <w:r>
        <w:rPr>
          <w:rFonts w:ascii="Calibri" w:hAnsi="Calibri"/>
          <w:b/>
          <w:sz w:val="26"/>
        </w:rPr>
        <w:t>Technology Stack</w:t>
      </w:r>
    </w:p>
    <w:tbl>
      <w:tblPr>
        <w:tblStyle w:val="TableGrid"/>
        <w:tblW w:type="auto" w:w="0"/>
        <w:jc w:val="center"/>
        <w:tblLook w:firstColumn="1" w:firstRow="1" w:lastColumn="0" w:lastRow="0" w:noHBand="0" w:noVBand="1" w:val="04A0"/>
      </w:tblPr>
      <w:tblGrid>
        <w:gridCol w:w="4680"/>
        <w:gridCol w:w="4680"/>
      </w:tblGrid>
      <w:tr>
        <w:tc>
          <w:tcPr>
            <w:tcW w:type="dxa" w:w="1701"/>
            <w:shd w:val="clear" w:color="auto" w:fill="2F5496"/>
          </w:tcPr>
          <w:p>
            <w:pPr>
              <w:jc w:val="center"/>
            </w:pPr>
            <w:r>
              <w:rPr>
                <w:rFonts w:ascii="Calibri" w:hAnsi="Calibri"/>
                <w:b/>
                <w:color w:val="FFFFFF"/>
                <w:sz w:val="20"/>
              </w:rPr>
              <w:t>Layer</w:t>
            </w:r>
          </w:p>
        </w:tc>
        <w:tc>
          <w:tcPr>
            <w:tcW w:type="dxa" w:w="7370"/>
            <w:shd w:val="clear" w:color="auto" w:fill="2F5496"/>
          </w:tcPr>
          <w:p>
            <w:pPr>
              <w:jc w:val="center"/>
            </w:pPr>
            <w:r>
              <w:rPr>
                <w:rFonts w:ascii="Calibri" w:hAnsi="Calibri"/>
                <w:b/>
                <w:color w:val="FFFFFF"/>
                <w:sz w:val="20"/>
              </w:rPr>
              <w:t>Technologies</w:t>
            </w:r>
          </w:p>
        </w:tc>
      </w:tr>
      <w:tr>
        <w:tc>
          <w:tcPr>
            <w:tcW w:type="dxa" w:w="1701"/>
          </w:tcPr>
          <w:p>
            <w:r>
              <w:rPr>
                <w:rFonts w:ascii="Calibri" w:hAnsi="Calibri"/>
                <w:sz w:val="20"/>
              </w:rPr>
              <w:t>Frontend</w:t>
            </w:r>
          </w:p>
        </w:tc>
        <w:tc>
          <w:tcPr>
            <w:tcW w:type="dxa" w:w="7370"/>
          </w:tcPr>
          <w:p>
            <w:r>
              <w:rPr>
                <w:rFonts w:ascii="Calibri" w:hAnsi="Calibri"/>
                <w:sz w:val="20"/>
              </w:rPr>
              <w:t>Next.js 15 (App Router), TypeScript, Tailwind CSS, Payload CMS 3.x, React PDF</w:t>
            </w:r>
          </w:p>
        </w:tc>
      </w:tr>
      <w:tr>
        <w:tc>
          <w:tcPr>
            <w:tcW w:type="dxa" w:w="1701"/>
            <w:shd w:val="clear" w:color="auto" w:fill="D6E4F0"/>
          </w:tcPr>
          <w:p>
            <w:r>
              <w:rPr>
                <w:rFonts w:ascii="Calibri" w:hAnsi="Calibri"/>
                <w:sz w:val="20"/>
              </w:rPr>
              <w:t>Backend</w:t>
            </w:r>
          </w:p>
        </w:tc>
        <w:tc>
          <w:tcPr>
            <w:tcW w:type="dxa" w:w="7370"/>
            <w:shd w:val="clear" w:color="auto" w:fill="D6E4F0"/>
          </w:tcPr>
          <w:p>
            <w:r>
              <w:rPr>
                <w:rFonts w:ascii="Calibri" w:hAnsi="Calibri"/>
                <w:sz w:val="20"/>
              </w:rPr>
              <w:t>Python 3.12, FastAPI, LlamaIndex, MinerU, Loguru, uv (package manager)</w:t>
            </w:r>
          </w:p>
        </w:tc>
      </w:tr>
      <w:tr>
        <w:tc>
          <w:tcPr>
            <w:tcW w:type="dxa" w:w="1701"/>
          </w:tcPr>
          <w:p>
            <w:r>
              <w:rPr>
                <w:rFonts w:ascii="Calibri" w:hAnsi="Calibri"/>
                <w:sz w:val="20"/>
              </w:rPr>
              <w:t>AI / ML</w:t>
            </w:r>
          </w:p>
        </w:tc>
        <w:tc>
          <w:tcPr>
            <w:tcW w:type="dxa" w:w="7370"/>
          </w:tcPr>
          <w:p>
            <w:r>
              <w:rPr>
                <w:rFonts w:ascii="Calibri" w:hAnsi="Calibri"/>
                <w:sz w:val="20"/>
              </w:rPr>
              <w:t>Ollama (qwen3.5:4b), Azure OpenAI (GPT-4o-mini), HuggingFace all-MiniLM-L6-v2, ChromaDB</w:t>
            </w:r>
          </w:p>
        </w:tc>
      </w:tr>
      <w:tr>
        <w:tc>
          <w:tcPr>
            <w:tcW w:type="dxa" w:w="1701"/>
            <w:shd w:val="clear" w:color="auto" w:fill="D6E4F0"/>
          </w:tcPr>
          <w:p>
            <w:r>
              <w:rPr>
                <w:rFonts w:ascii="Calibri" w:hAnsi="Calibri"/>
                <w:sz w:val="20"/>
              </w:rPr>
              <w:t>Infrastructure</w:t>
            </w:r>
          </w:p>
        </w:tc>
        <w:tc>
          <w:tcPr>
            <w:tcW w:type="dxa" w:w="7370"/>
            <w:shd w:val="clear" w:color="auto" w:fill="D6E4F0"/>
          </w:tcPr>
          <w:p>
            <w:r>
              <w:rPr>
                <w:rFonts w:ascii="Calibri" w:hAnsi="Calibri"/>
                <w:sz w:val="20"/>
              </w:rPr>
              <w:t>PostgreSQL 15+, Docker Compose, JWT Auth, CORS</w:t>
            </w:r>
          </w:p>
        </w:tc>
      </w:tr>
    </w:tbl>
    <w:p/>
    <w:p>
      <w:r>
        <w:rPr>
          <w:rFonts w:ascii="Calibri" w:hAnsi="Calibri"/>
          <w:b/>
          <w:sz w:val="26"/>
        </w:rPr>
        <w:t>Code Structure</w:t>
      </w:r>
    </w:p>
    <w:tbl>
      <w:tblPr>
        <w:tblStyle w:val="TableGrid"/>
        <w:tblW w:type="auto" w:w="0"/>
        <w:jc w:val="center"/>
        <w:tblLook w:firstColumn="1" w:firstRow="1" w:lastColumn="0" w:lastRow="0" w:noHBand="0" w:noVBand="1" w:val="04A0"/>
      </w:tblPr>
      <w:tblGrid>
        <w:gridCol w:w="4680"/>
        <w:gridCol w:w="4680"/>
      </w:tblGrid>
      <w:tr>
        <w:tc>
          <w:tcPr>
            <w:tcW w:type="dxa" w:w="3685"/>
            <w:shd w:val="clear" w:color="auto" w:fill="2F5496"/>
          </w:tcPr>
          <w:p>
            <w:pPr>
              <w:jc w:val="center"/>
            </w:pPr>
            <w:r>
              <w:rPr>
                <w:rFonts w:ascii="Calibri" w:hAnsi="Calibri"/>
                <w:b/>
                <w:color w:val="FFFFFF"/>
                <w:sz w:val="20"/>
              </w:rPr>
              <w:t>Directory</w:t>
            </w:r>
          </w:p>
        </w:tc>
        <w:tc>
          <w:tcPr>
            <w:tcW w:type="dxa" w:w="5386"/>
            <w:shd w:val="clear" w:color="auto" w:fill="2F5496"/>
          </w:tcPr>
          <w:p>
            <w:pPr>
              <w:jc w:val="center"/>
            </w:pPr>
            <w:r>
              <w:rPr>
                <w:rFonts w:ascii="Calibri" w:hAnsi="Calibri"/>
                <w:b/>
                <w:color w:val="FFFFFF"/>
                <w:sz w:val="20"/>
              </w:rPr>
              <w:t>Purpose</w:t>
            </w:r>
          </w:p>
        </w:tc>
      </w:tr>
      <w:tr>
        <w:tc>
          <w:tcPr>
            <w:tcW w:type="dxa" w:w="3685"/>
          </w:tcPr>
          <w:p>
            <w:r>
              <w:rPr>
                <w:rFonts w:ascii="Calibri" w:hAnsi="Calibri"/>
                <w:sz w:val="20"/>
              </w:rPr>
              <w:t>engine_v2/api/</w:t>
            </w:r>
          </w:p>
        </w:tc>
        <w:tc>
          <w:tcPr>
            <w:tcW w:type="dxa" w:w="5386"/>
          </w:tcPr>
          <w:p>
            <w:r>
              <w:rPr>
                <w:rFonts w:ascii="Calibri" w:hAnsi="Calibri"/>
                <w:sz w:val="20"/>
              </w:rPr>
              <w:t>FastAPI app, routes (query, ingest, books, questions, evaluation, llms)</w:t>
            </w:r>
          </w:p>
        </w:tc>
      </w:tr>
      <w:tr>
        <w:tc>
          <w:tcPr>
            <w:tcW w:type="dxa" w:w="3685"/>
            <w:shd w:val="clear" w:color="auto" w:fill="D6E4F0"/>
          </w:tcPr>
          <w:p>
            <w:r>
              <w:rPr>
                <w:rFonts w:ascii="Calibri" w:hAnsi="Calibri"/>
                <w:sz w:val="20"/>
              </w:rPr>
              <w:t>engine_v2/readers/</w:t>
            </w:r>
          </w:p>
        </w:tc>
        <w:tc>
          <w:tcPr>
            <w:tcW w:type="dxa" w:w="5386"/>
            <w:shd w:val="clear" w:color="auto" w:fill="D6E4F0"/>
          </w:tcPr>
          <w:p>
            <w:r>
              <w:rPr>
                <w:rFonts w:ascii="Calibri" w:hAnsi="Calibri"/>
                <w:sz w:val="20"/>
              </w:rPr>
              <w:t>MinerU PDF reader</w:t>
            </w:r>
          </w:p>
        </w:tc>
      </w:tr>
      <w:tr>
        <w:tc>
          <w:tcPr>
            <w:tcW w:type="dxa" w:w="3685"/>
          </w:tcPr>
          <w:p>
            <w:r>
              <w:rPr>
                <w:rFonts w:ascii="Calibri" w:hAnsi="Calibri"/>
                <w:sz w:val="20"/>
              </w:rPr>
              <w:t>engine_v2/chunking/</w:t>
            </w:r>
          </w:p>
        </w:tc>
        <w:tc>
          <w:tcPr>
            <w:tcW w:type="dxa" w:w="5386"/>
          </w:tcPr>
          <w:p>
            <w:r>
              <w:rPr>
                <w:rFonts w:ascii="Calibri" w:hAnsi="Calibri"/>
                <w:sz w:val="20"/>
              </w:rPr>
              <w:t>Section extraction + text splitting</w:t>
            </w:r>
          </w:p>
        </w:tc>
      </w:tr>
      <w:tr>
        <w:tc>
          <w:tcPr>
            <w:tcW w:type="dxa" w:w="3685"/>
            <w:shd w:val="clear" w:color="auto" w:fill="D6E4F0"/>
          </w:tcPr>
          <w:p>
            <w:r>
              <w:rPr>
                <w:rFonts w:ascii="Calibri" w:hAnsi="Calibri"/>
                <w:sz w:val="20"/>
              </w:rPr>
              <w:t>engine_v2/ingestion/</w:t>
            </w:r>
          </w:p>
        </w:tc>
        <w:tc>
          <w:tcPr>
            <w:tcW w:type="dxa" w:w="5386"/>
            <w:shd w:val="clear" w:color="auto" w:fill="D6E4F0"/>
          </w:tcPr>
          <w:p>
            <w:r>
              <w:rPr>
                <w:rFonts w:ascii="Calibri" w:hAnsi="Calibri"/>
                <w:sz w:val="20"/>
              </w:rPr>
              <w:t>IngestionPipeline to ChromaDB</w:t>
            </w:r>
          </w:p>
        </w:tc>
      </w:tr>
      <w:tr>
        <w:tc>
          <w:tcPr>
            <w:tcW w:type="dxa" w:w="3685"/>
          </w:tcPr>
          <w:p>
            <w:r>
              <w:rPr>
                <w:rFonts w:ascii="Calibri" w:hAnsi="Calibri"/>
                <w:sz w:val="20"/>
              </w:rPr>
              <w:t>engine_v2/retrievers/</w:t>
            </w:r>
          </w:p>
        </w:tc>
        <w:tc>
          <w:tcPr>
            <w:tcW w:type="dxa" w:w="5386"/>
          </w:tcPr>
          <w:p>
            <w:r>
              <w:rPr>
                <w:rFonts w:ascii="Calibri" w:hAnsi="Calibri"/>
                <w:sz w:val="20"/>
              </w:rPr>
              <w:t>HybridRetriever (BM25 + Vector → RRF)</w:t>
            </w:r>
          </w:p>
        </w:tc>
      </w:tr>
      <w:tr>
        <w:tc>
          <w:tcPr>
            <w:tcW w:type="dxa" w:w="3685"/>
            <w:shd w:val="clear" w:color="auto" w:fill="D6E4F0"/>
          </w:tcPr>
          <w:p>
            <w:r>
              <w:rPr>
                <w:rFonts w:ascii="Calibri" w:hAnsi="Calibri"/>
                <w:sz w:val="20"/>
              </w:rPr>
              <w:t>engine_v2/response_synthesizers/</w:t>
            </w:r>
          </w:p>
        </w:tc>
        <w:tc>
          <w:tcPr>
            <w:tcW w:type="dxa" w:w="5386"/>
            <w:shd w:val="clear" w:color="auto" w:fill="D6E4F0"/>
          </w:tcPr>
          <w:p>
            <w:r>
              <w:rPr>
                <w:rFonts w:ascii="Calibri" w:hAnsi="Calibri"/>
                <w:sz w:val="20"/>
              </w:rPr>
              <w:t>CitationSynthesizer</w:t>
            </w:r>
          </w:p>
        </w:tc>
      </w:tr>
      <w:tr>
        <w:tc>
          <w:tcPr>
            <w:tcW w:type="dxa" w:w="3685"/>
          </w:tcPr>
          <w:p>
            <w:r>
              <w:rPr>
                <w:rFonts w:ascii="Calibri" w:hAnsi="Calibri"/>
                <w:sz w:val="20"/>
              </w:rPr>
              <w:t>engine_v2/question_gen/</w:t>
            </w:r>
          </w:p>
        </w:tc>
        <w:tc>
          <w:tcPr>
            <w:tcW w:type="dxa" w:w="5386"/>
          </w:tcPr>
          <w:p>
            <w:r>
              <w:rPr>
                <w:rFonts w:ascii="Calibri" w:hAnsi="Calibri"/>
                <w:sz w:val="20"/>
              </w:rPr>
              <w:t>Question generation + scoring</w:t>
            </w:r>
          </w:p>
        </w:tc>
      </w:tr>
      <w:tr>
        <w:tc>
          <w:tcPr>
            <w:tcW w:type="dxa" w:w="3685"/>
            <w:shd w:val="clear" w:color="auto" w:fill="D6E4F0"/>
          </w:tcPr>
          <w:p>
            <w:r>
              <w:rPr>
                <w:rFonts w:ascii="Calibri" w:hAnsi="Calibri"/>
                <w:sz w:val="20"/>
              </w:rPr>
              <w:t>engine_v2/evaluation/</w:t>
            </w:r>
          </w:p>
        </w:tc>
        <w:tc>
          <w:tcPr>
            <w:tcW w:type="dxa" w:w="5386"/>
            <w:shd w:val="clear" w:color="auto" w:fill="D6E4F0"/>
          </w:tcPr>
          <w:p>
            <w:r>
              <w:rPr>
                <w:rFonts w:ascii="Calibri" w:hAnsi="Calibri"/>
                <w:sz w:val="20"/>
              </w:rPr>
              <w:t>5-dimensional evaluator</w:t>
            </w:r>
          </w:p>
        </w:tc>
      </w:tr>
      <w:tr>
        <w:tc>
          <w:tcPr>
            <w:tcW w:type="dxa" w:w="3685"/>
          </w:tcPr>
          <w:p>
            <w:r>
              <w:rPr>
                <w:rFonts w:ascii="Calibri" w:hAnsi="Calibri"/>
                <w:sz w:val="20"/>
              </w:rPr>
              <w:t>engine_v2/llms/</w:t>
            </w:r>
          </w:p>
        </w:tc>
        <w:tc>
          <w:tcPr>
            <w:tcW w:type="dxa" w:w="5386"/>
          </w:tcPr>
          <w:p>
            <w:r>
              <w:rPr>
                <w:rFonts w:ascii="Calibri" w:hAnsi="Calibri"/>
                <w:sz w:val="20"/>
              </w:rPr>
              <w:t>LLM resolver (Ollama / Azure)</w:t>
            </w:r>
          </w:p>
        </w:tc>
      </w:tr>
      <w:tr>
        <w:tc>
          <w:tcPr>
            <w:tcW w:type="dxa" w:w="3685"/>
            <w:shd w:val="clear" w:color="auto" w:fill="D6E4F0"/>
          </w:tcPr>
          <w:p>
            <w:r>
              <w:rPr>
                <w:rFonts w:ascii="Calibri" w:hAnsi="Calibri"/>
                <w:sz w:val="20"/>
              </w:rPr>
              <w:t>payload-v2/src/collections/</w:t>
            </w:r>
          </w:p>
        </w:tc>
        <w:tc>
          <w:tcPr>
            <w:tcW w:type="dxa" w:w="5386"/>
            <w:shd w:val="clear" w:color="auto" w:fill="D6E4F0"/>
          </w:tcPr>
          <w:p>
            <w:r>
              <w:rPr>
                <w:rFonts w:ascii="Calibri" w:hAnsi="Calibri"/>
                <w:sz w:val="20"/>
              </w:rPr>
              <w:t>14 Payload CMS collection definitions</w:t>
            </w:r>
          </w:p>
        </w:tc>
      </w:tr>
      <w:tr>
        <w:tc>
          <w:tcPr>
            <w:tcW w:type="dxa" w:w="3685"/>
          </w:tcPr>
          <w:p>
            <w:r>
              <w:rPr>
                <w:rFonts w:ascii="Calibri" w:hAnsi="Calibri"/>
                <w:sz w:val="20"/>
              </w:rPr>
              <w:t>payload-v2/src/app/(frontend)/</w:t>
            </w:r>
          </w:p>
        </w:tc>
        <w:tc>
          <w:tcPr>
            <w:tcW w:type="dxa" w:w="5386"/>
          </w:tcPr>
          <w:p>
            <w:r>
              <w:rPr>
                <w:rFonts w:ascii="Calibri" w:hAnsi="Calibri"/>
                <w:sz w:val="20"/>
              </w:rPr>
              <w:t>Next.js pages (chat, readers, engine, settings)</w:t>
            </w:r>
          </w:p>
        </w:tc>
      </w:tr>
    </w:tbl>
    <w:p/>
    <w:p>
      <w:r>
        <w:rPr>
          <w:rFonts w:ascii="Calibri" w:hAnsi="Calibri"/>
          <w:b/>
          <w:sz w:val="26"/>
        </w:rPr>
        <w:t>Key Algorithms and Custom Functions</w:t>
      </w:r>
    </w:p>
    <w:p>
      <w:r>
        <w:rPr>
          <w:rFonts w:ascii="Calibri" w:hAnsi="Calibri"/>
          <w:b/>
          <w:sz w:val="22"/>
        </w:rPr>
        <w:t>1. Hybrid Retrieval with RRF Fusion:</w:t>
      </w:r>
    </w:p>
    <w:p>
      <w:pPr>
        <w:pStyle w:val="ListBullet"/>
      </w:pPr>
      <w:r>
        <w:rPr>
          <w:rFonts w:ascii="Calibri" w:hAnsi="Calibri"/>
          <w:sz w:val="22"/>
        </w:rPr>
        <w:t>HybridRetriever builds a QueryFusionRetriever combining BM25 + Vector retrievers.</w:t>
      </w:r>
    </w:p>
    <w:p>
      <w:pPr>
        <w:pStyle w:val="ListBullet"/>
      </w:pPr>
      <w:r>
        <w:rPr>
          <w:rFonts w:ascii="Calibri" w:hAnsi="Calibri"/>
          <w:sz w:val="22"/>
        </w:rPr>
        <w:t>RRF formula: RRF(d) = Σ 1/(k + rank_i(d)), k=60. Produces a unified ranking benefiting from both lexical precision and semantic recall.</w:t>
      </w:r>
    </w:p>
    <w:p>
      <w:r>
        <w:rPr>
          <w:rFonts w:ascii="Calibri" w:hAnsi="Calibri"/>
          <w:b/>
          <w:sz w:val="22"/>
        </w:rPr>
        <w:t>2. LLM-as-Judge Scoring:</w:t>
      </w:r>
    </w:p>
    <w:p>
      <w:pPr>
        <w:pStyle w:val="ListBullet"/>
      </w:pPr>
      <w:r>
        <w:rPr>
          <w:rFonts w:ascii="Calibri" w:hAnsi="Calibri"/>
          <w:sz w:val="22"/>
        </w:rPr>
        <w:t>Two-phase approach: (1) generate questions from sampled chunks using structured JSON prompt, (2) score each question on relevance, clarity, and difficulty.</w:t>
      </w:r>
    </w:p>
    <w:p>
      <w:pPr>
        <w:pStyle w:val="ListBullet"/>
      </w:pPr>
      <w:r>
        <w:rPr>
          <w:rFonts w:ascii="Calibri" w:hAnsi="Calibri"/>
          <w:sz w:val="22"/>
        </w:rPr>
        <w:t>Overall score = average(relevance, clarity).</w:t>
      </w:r>
    </w:p>
    <w:p>
      <w:r>
        <w:rPr>
          <w:rFonts w:ascii="Calibri" w:hAnsi="Calibri"/>
          <w:b/>
          <w:sz w:val="22"/>
        </w:rPr>
        <w:t>3. Question Depth Assessment:</w:t>
      </w:r>
    </w:p>
    <w:p>
      <w:pPr>
        <w:pStyle w:val="ListBullet"/>
      </w:pPr>
      <w:r>
        <w:rPr>
          <w:rFonts w:ascii="Calibri" w:hAnsi="Calibri"/>
          <w:sz w:val="22"/>
        </w:rPr>
        <w:t>QuestionDepthEvaluator extends LlamaIndex CorrectnessEvaluator with cognitive depth scoring (1-5 scale, Bloom's taxonomy).</w:t>
      </w:r>
    </w:p>
    <w:p>
      <w:pPr>
        <w:pStyle w:val="ListBullet"/>
      </w:pPr>
      <w:r>
        <w:rPr>
          <w:rFonts w:ascii="Calibri" w:hAnsi="Calibri"/>
          <w:sz w:val="22"/>
        </w:rPr>
        <w:t>Labels: Surface (&lt;2.5), Understanding (2.5-4.0), Synthesis (≥4.0).</w:t>
      </w:r>
    </w:p>
    <w:p>
      <w:r>
        <w:rPr>
          <w:rFonts w:ascii="Calibri" w:hAnsi="Calibri"/>
          <w:b/>
          <w:sz w:val="22"/>
        </w:rPr>
        <w:t>4. 5-Dimensional Response Evaluation:</w:t>
      </w:r>
    </w:p>
    <w:tbl>
      <w:tblPr>
        <w:tblStyle w:val="TableGrid"/>
        <w:tblW w:type="auto" w:w="0"/>
        <w:jc w:val="center"/>
        <w:tblLook w:firstColumn="1" w:firstRow="1" w:lastColumn="0" w:lastRow="0" w:noHBand="0" w:noVBand="1" w:val="04A0"/>
      </w:tblPr>
      <w:tblGrid>
        <w:gridCol w:w="4680"/>
        <w:gridCol w:w="4680"/>
      </w:tblGrid>
      <w:tr>
        <w:tc>
          <w:tcPr>
            <w:tcW w:type="dxa" w:w="3402"/>
            <w:shd w:val="clear" w:color="auto" w:fill="2F5496"/>
          </w:tcPr>
          <w:p>
            <w:pPr>
              <w:jc w:val="center"/>
            </w:pPr>
            <w:r>
              <w:rPr>
                <w:rFonts w:ascii="Calibri" w:hAnsi="Calibri"/>
                <w:b/>
                <w:color w:val="FFFFFF"/>
                <w:sz w:val="20"/>
              </w:rPr>
              <w:t>Evaluator</w:t>
            </w:r>
          </w:p>
        </w:tc>
        <w:tc>
          <w:tcPr>
            <w:tcW w:type="dxa" w:w="5669"/>
            <w:shd w:val="clear" w:color="auto" w:fill="2F5496"/>
          </w:tcPr>
          <w:p>
            <w:pPr>
              <w:jc w:val="center"/>
            </w:pPr>
            <w:r>
              <w:rPr>
                <w:rFonts w:ascii="Calibri" w:hAnsi="Calibri"/>
                <w:b/>
                <w:color w:val="FFFFFF"/>
                <w:sz w:val="20"/>
              </w:rPr>
              <w:t>Question Answered</w:t>
            </w:r>
          </w:p>
        </w:tc>
      </w:tr>
      <w:tr>
        <w:tc>
          <w:tcPr>
            <w:tcW w:type="dxa" w:w="3402"/>
          </w:tcPr>
          <w:p>
            <w:r>
              <w:rPr>
                <w:rFonts w:ascii="Calibri" w:hAnsi="Calibri"/>
                <w:sz w:val="20"/>
              </w:rPr>
              <w:t>FaithfulnessEvaluator</w:t>
            </w:r>
          </w:p>
        </w:tc>
        <w:tc>
          <w:tcPr>
            <w:tcW w:type="dxa" w:w="5669"/>
          </w:tcPr>
          <w:p>
            <w:r>
              <w:rPr>
                <w:rFonts w:ascii="Calibri" w:hAnsi="Calibri"/>
                <w:sz w:val="20"/>
              </w:rPr>
              <w:t>Is the answer grounded in retrieved context?</w:t>
            </w:r>
          </w:p>
        </w:tc>
      </w:tr>
      <w:tr>
        <w:tc>
          <w:tcPr>
            <w:tcW w:type="dxa" w:w="3402"/>
            <w:shd w:val="clear" w:color="auto" w:fill="D6E4F0"/>
          </w:tcPr>
          <w:p>
            <w:r>
              <w:rPr>
                <w:rFonts w:ascii="Calibri" w:hAnsi="Calibri"/>
                <w:sz w:val="20"/>
              </w:rPr>
              <w:t>RelevancyEvaluator</w:t>
            </w:r>
          </w:p>
        </w:tc>
        <w:tc>
          <w:tcPr>
            <w:tcW w:type="dxa" w:w="5669"/>
            <w:shd w:val="clear" w:color="auto" w:fill="D6E4F0"/>
          </w:tcPr>
          <w:p>
            <w:r>
              <w:rPr>
                <w:rFonts w:ascii="Calibri" w:hAnsi="Calibri"/>
                <w:sz w:val="20"/>
              </w:rPr>
              <w:t>Is the retrieved context relevant to the query?</w:t>
            </w:r>
          </w:p>
        </w:tc>
      </w:tr>
      <w:tr>
        <w:tc>
          <w:tcPr>
            <w:tcW w:type="dxa" w:w="3402"/>
          </w:tcPr>
          <w:p>
            <w:r>
              <w:rPr>
                <w:rFonts w:ascii="Calibri" w:hAnsi="Calibri"/>
                <w:sz w:val="20"/>
              </w:rPr>
              <w:t>CorrectnessEvaluator</w:t>
            </w:r>
          </w:p>
        </w:tc>
        <w:tc>
          <w:tcPr>
            <w:tcW w:type="dxa" w:w="5669"/>
          </w:tcPr>
          <w:p>
            <w:r>
              <w:rPr>
                <w:rFonts w:ascii="Calibri" w:hAnsi="Calibri"/>
                <w:sz w:val="20"/>
              </w:rPr>
              <w:t>Does the answer match a reference answer?</w:t>
            </w:r>
          </w:p>
        </w:tc>
      </w:tr>
      <w:tr>
        <w:tc>
          <w:tcPr>
            <w:tcW w:type="dxa" w:w="3402"/>
            <w:shd w:val="clear" w:color="auto" w:fill="D6E4F0"/>
          </w:tcPr>
          <w:p>
            <w:r>
              <w:rPr>
                <w:rFonts w:ascii="Calibri" w:hAnsi="Calibri"/>
                <w:sz w:val="20"/>
              </w:rPr>
              <w:t>ContextRelevancyEvaluator</w:t>
            </w:r>
          </w:p>
        </w:tc>
        <w:tc>
          <w:tcPr>
            <w:tcW w:type="dxa" w:w="5669"/>
            <w:shd w:val="clear" w:color="auto" w:fill="D6E4F0"/>
          </w:tcPr>
          <w:p>
            <w:r>
              <w:rPr>
                <w:rFonts w:ascii="Calibri" w:hAnsi="Calibri"/>
                <w:sz w:val="20"/>
              </w:rPr>
              <w:t>Quality score of the retrieved contexts</w:t>
            </w:r>
          </w:p>
        </w:tc>
      </w:tr>
      <w:tr>
        <w:tc>
          <w:tcPr>
            <w:tcW w:type="dxa" w:w="3402"/>
          </w:tcPr>
          <w:p>
            <w:r>
              <w:rPr>
                <w:rFonts w:ascii="Calibri" w:hAnsi="Calibri"/>
                <w:sz w:val="20"/>
              </w:rPr>
              <w:t>AnswerRelevancyEvaluator</w:t>
            </w:r>
          </w:p>
        </w:tc>
        <w:tc>
          <w:tcPr>
            <w:tcW w:type="dxa" w:w="5669"/>
          </w:tcPr>
          <w:p>
            <w:r>
              <w:rPr>
                <w:rFonts w:ascii="Calibri" w:hAnsi="Calibri"/>
                <w:sz w:val="20"/>
              </w:rPr>
              <w:t>How well does the answer address the query?</w:t>
            </w:r>
          </w:p>
        </w:tc>
      </w:tr>
    </w:tbl>
    <w:p/>
    <w:p>
      <w:r/>
    </w:p>
    <w:p>
      <w:pPr>
        <w:pStyle w:val="Heading1"/>
        <w:pageBreakBefore/>
      </w:pPr>
      <w:r>
        <w:t>Recommendations</w:t>
      </w:r>
    </w:p>
    <w:p>
      <w:r>
        <w:rPr>
          <w:rFonts w:ascii="Calibri" w:hAnsi="Calibri"/>
          <w:b/>
          <w:sz w:val="26"/>
        </w:rPr>
        <w:t>Future Improvements</w:t>
      </w:r>
    </w:p>
    <w:p>
      <w:r>
        <w:rPr>
          <w:rFonts w:ascii="Calibri" w:hAnsi="Calibri"/>
          <w:b/>
          <w:sz w:val="22"/>
        </w:rPr>
        <w:t>Short Term:</w:t>
      </w:r>
    </w:p>
    <w:p>
      <w:pPr>
        <w:pStyle w:val="ListBullet"/>
      </w:pPr>
      <w:r>
        <w:rPr>
          <w:rFonts w:ascii="Calibri" w:hAnsi="Calibri"/>
          <w:sz w:val="22"/>
        </w:rPr>
        <w:t>Docker Compose deployment for one-click full-stack startup.</w:t>
      </w:r>
    </w:p>
    <w:p>
      <w:pPr>
        <w:pStyle w:val="ListBullet"/>
      </w:pPr>
      <w:r>
        <w:rPr>
          <w:rFonts w:ascii="Calibri" w:hAnsi="Calibri"/>
          <w:sz w:val="22"/>
        </w:rPr>
        <w:t>Streaming response generation for improved user experience during long answers.</w:t>
      </w:r>
    </w:p>
    <w:p>
      <w:pPr>
        <w:pStyle w:val="ListBullet"/>
      </w:pPr>
      <w:r>
        <w:rPr>
          <w:rFonts w:ascii="Calibri" w:hAnsi="Calibri"/>
          <w:sz w:val="22"/>
        </w:rPr>
        <w:t>Batch ingestion via directory scanning to auto-detect and process new quarterly reports.</w:t>
      </w:r>
    </w:p>
    <w:p>
      <w:pPr>
        <w:pStyle w:val="ListBullet"/>
      </w:pPr>
      <w:r>
        <w:rPr>
          <w:rFonts w:ascii="Calibri" w:hAnsi="Calibri"/>
          <w:sz w:val="22"/>
        </w:rPr>
        <w:t>Enhanced PDF viewer integration with bounding-box citation highlighting.</w:t>
      </w:r>
    </w:p>
    <w:p>
      <w:r>
        <w:rPr>
          <w:rFonts w:ascii="Calibri" w:hAnsi="Calibri"/>
          <w:b/>
          <w:sz w:val="22"/>
        </w:rPr>
        <w:t>Medium Term:</w:t>
      </w:r>
    </w:p>
    <w:p>
      <w:pPr>
        <w:pStyle w:val="ListBullet"/>
      </w:pPr>
      <w:r>
        <w:rPr>
          <w:rFonts w:ascii="Calibri" w:hAnsi="Calibri"/>
          <w:sz w:val="22"/>
        </w:rPr>
        <w:t>Azure AI Search as a 6th retrieval strategy for cloud-native semantic search.</w:t>
      </w:r>
    </w:p>
    <w:p>
      <w:pPr>
        <w:pStyle w:val="ListBullet"/>
      </w:pPr>
      <w:r>
        <w:rPr>
          <w:rFonts w:ascii="Calibri" w:hAnsi="Calibri"/>
          <w:sz w:val="22"/>
        </w:rPr>
        <w:t>Migration to Ottawa GenAI Research Assistant (RAG-Project) for production deployment within City of Ottawa infrastructure.</w:t>
      </w:r>
    </w:p>
    <w:p>
      <w:pPr>
        <w:pStyle w:val="ListBullet"/>
      </w:pPr>
      <w:r>
        <w:rPr>
          <w:rFonts w:ascii="Calibri" w:hAnsi="Calibri"/>
          <w:sz w:val="22"/>
        </w:rPr>
        <w:t>Entra ID authentication for enterprise deployment within City of Ottawa.</w:t>
      </w:r>
    </w:p>
    <w:p>
      <w:pPr>
        <w:pStyle w:val="ListBullet"/>
      </w:pPr>
      <w:r>
        <w:rPr>
          <w:rFonts w:ascii="Calibri" w:hAnsi="Calibri"/>
          <w:sz w:val="22"/>
        </w:rPr>
        <w:t>Statistics Canada API integration for enriching responses with national economic context.</w:t>
      </w:r>
    </w:p>
    <w:p>
      <w:pPr>
        <w:pStyle w:val="ListBullet"/>
      </w:pPr>
      <w:r>
        <w:rPr>
          <w:rFonts w:ascii="Calibri" w:hAnsi="Calibri"/>
          <w:sz w:val="22"/>
        </w:rPr>
        <w:t>Response caching for frequently asked queries to reduce LLM inference costs.</w:t>
      </w:r>
    </w:p>
    <w:p>
      <w:r>
        <w:rPr>
          <w:rFonts w:ascii="Calibri" w:hAnsi="Calibri"/>
          <w:b/>
          <w:sz w:val="22"/>
        </w:rPr>
        <w:t>Long Term:</w:t>
      </w:r>
    </w:p>
    <w:p>
      <w:pPr>
        <w:pStyle w:val="ListBullet"/>
      </w:pPr>
      <w:r>
        <w:rPr>
          <w:rFonts w:ascii="Calibri" w:hAnsi="Calibri"/>
          <w:sz w:val="22"/>
        </w:rPr>
        <w:t>Multi-modal retrieval supporting charts, infographics, and maps from quarterly reports.</w:t>
      </w:r>
    </w:p>
    <w:p>
      <w:pPr>
        <w:pStyle w:val="ListBullet"/>
      </w:pPr>
      <w:r>
        <w:rPr>
          <w:rFonts w:ascii="Calibri" w:hAnsi="Calibri"/>
          <w:sz w:val="22"/>
        </w:rPr>
        <w:t>Conversational memory with context carryover across multiple turns.</w:t>
      </w:r>
    </w:p>
    <w:p>
      <w:pPr>
        <w:pStyle w:val="ListBullet"/>
      </w:pPr>
      <w:r>
        <w:rPr>
          <w:rFonts w:ascii="Calibri" w:hAnsi="Calibri"/>
          <w:sz w:val="22"/>
        </w:rPr>
        <w:t>Fine-tuned embedding model trained on government economic data corpus.</w:t>
      </w:r>
    </w:p>
    <w:p>
      <w:pPr>
        <w:pStyle w:val="ListBullet"/>
      </w:pPr>
      <w:r>
        <w:rPr>
          <w:rFonts w:ascii="Calibri" w:hAnsi="Calibri"/>
          <w:sz w:val="22"/>
        </w:rPr>
        <w:t>Cross-department expansion to Planning, Transit, and Tourism departments.</w:t>
      </w:r>
    </w:p>
    <w:p>
      <w:r>
        <w:rPr>
          <w:rFonts w:ascii="Calibri" w:hAnsi="Calibri"/>
          <w:b/>
          <w:sz w:val="26"/>
        </w:rPr>
        <w:t>Limitations and Ethical Considerations</w:t>
      </w:r>
    </w:p>
    <w:p>
      <w:pPr>
        <w:pStyle w:val="ListBullet"/>
      </w:pPr>
      <w:r>
        <w:rPr>
          <w:rFonts w:ascii="Calibri" w:hAnsi="Calibri"/>
          <w:sz w:val="22"/>
        </w:rPr>
        <w:t>PDF Parsing Quality: MinerU handles most formats well, but complex tables, charts, and economic infographics in EcDev reports may lose fidelity during parsing.</w:t>
      </w:r>
    </w:p>
    <w:p>
      <w:pPr>
        <w:pStyle w:val="ListBullet"/>
      </w:pPr>
      <w:r>
        <w:rPr>
          <w:rFonts w:ascii="Calibri" w:hAnsi="Calibri"/>
          <w:sz w:val="22"/>
        </w:rPr>
        <w:t>LLM Evaluation Consistency: LLM-as-Judge scores can vary between runs; mitigated with structured prompts and batch averaging.</w:t>
      </w:r>
    </w:p>
    <w:p>
      <w:pPr>
        <w:pStyle w:val="ListBullet"/>
      </w:pPr>
      <w:r>
        <w:rPr>
          <w:rFonts w:ascii="Calibri" w:hAnsi="Calibri"/>
          <w:sz w:val="22"/>
        </w:rPr>
        <w:t>Local LLM Performance: Smaller local models (qwen3.5:4b) produce lower quality compared to cloud models (GPT-4o), but offer privacy and cost benefits.</w:t>
      </w:r>
    </w:p>
    <w:p>
      <w:pPr>
        <w:pStyle w:val="ListBullet"/>
      </w:pPr>
      <w:r>
        <w:rPr>
          <w:rFonts w:ascii="Calibri" w:hAnsi="Calibri"/>
          <w:sz w:val="22"/>
        </w:rPr>
        <w:t>BM25 Limitations: Requires at least one document in corpus; system falls back to vector-only mode on empty collections.</w:t>
      </w:r>
    </w:p>
    <w:p>
      <w:pPr>
        <w:pStyle w:val="ListBullet"/>
      </w:pPr>
      <w:r>
        <w:rPr>
          <w:rFonts w:ascii="Calibri" w:hAnsi="Calibri"/>
          <w:sz w:val="22"/>
        </w:rPr>
        <w:t>Data Accuracy: Economic statistics in reports are published by the City of Ottawa. The RAG system retrieves and cites these numbers but does not independently verify them. Users should always cross-reference with official published data.</w:t>
      </w:r>
    </w:p>
    <w:p>
      <w:pPr>
        <w:pStyle w:val="ListBullet"/>
      </w:pPr>
      <w:r>
        <w:rPr>
          <w:rFonts w:ascii="Calibri" w:hAnsi="Calibri"/>
          <w:sz w:val="22"/>
        </w:rPr>
        <w:t>Data Privacy: User queries are stored in PostgreSQL. Production deployment within City of Ottawa should implement data retention policies and comply with MFIPPA (Municipal Freedom of Information and Protection of Privacy Act).</w:t>
      </w:r>
    </w:p>
    <w:p>
      <w:pPr>
        <w:pStyle w:val="ListBullet"/>
      </w:pPr>
      <w:r>
        <w:rPr>
          <w:rFonts w:ascii="Calibri" w:hAnsi="Calibri"/>
          <w:sz w:val="22"/>
        </w:rPr>
        <w:t>AI Transparency: Citation-aware answers promote transparency by allowing analysts to verify claims against original quarterly report pages.</w:t>
      </w:r>
    </w:p>
    <w:p>
      <w:r/>
    </w:p>
    <w:p>
      <w:pPr>
        <w:pStyle w:val="Heading1"/>
        <w:pageBreakBefore/>
      </w:pPr>
      <w:r>
        <w:t>Appendices</w:t>
      </w:r>
    </w:p>
    <w:p>
      <w:r>
        <w:rPr>
          <w:rFonts w:ascii="Calibri" w:hAnsi="Calibri"/>
          <w:b/>
          <w:sz w:val="26"/>
        </w:rPr>
        <w:t>Appendix A: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val="clear" w:color="auto" w:fill="2F5496"/>
          </w:tcPr>
          <w:p>
            <w:pPr>
              <w:jc w:val="center"/>
            </w:pPr>
            <w:r>
              <w:rPr>
                <w:rFonts w:ascii="Calibri" w:hAnsi="Calibri"/>
                <w:b/>
                <w:color w:val="FFFFFF"/>
                <w:sz w:val="20"/>
              </w:rPr>
              <w:t>Method</w:t>
            </w:r>
          </w:p>
        </w:tc>
        <w:tc>
          <w:tcPr>
            <w:tcW w:type="dxa" w:w="3118"/>
            <w:shd w:val="clear" w:color="auto" w:fill="2F5496"/>
          </w:tcPr>
          <w:p>
            <w:pPr>
              <w:jc w:val="center"/>
            </w:pPr>
            <w:r>
              <w:rPr>
                <w:rFonts w:ascii="Calibri" w:hAnsi="Calibri"/>
                <w:b/>
                <w:color w:val="FFFFFF"/>
                <w:sz w:val="20"/>
              </w:rPr>
              <w:t>Endpoint</w:t>
            </w:r>
          </w:p>
        </w:tc>
        <w:tc>
          <w:tcPr>
            <w:tcW w:type="dxa" w:w="4819"/>
            <w:shd w:val="clear" w:color="auto" w:fill="2F5496"/>
          </w:tcPr>
          <w:p>
            <w:pPr>
              <w:jc w:val="center"/>
            </w:pPr>
            <w:r>
              <w:rPr>
                <w:rFonts w:ascii="Calibri" w:hAnsi="Calibri"/>
                <w:b/>
                <w:color w:val="FFFFFF"/>
                <w:sz w:val="20"/>
              </w:rPr>
              <w:t>Purpose</w:t>
            </w:r>
          </w:p>
        </w:tc>
      </w:tr>
      <w:tr>
        <w:tc>
          <w:tcPr>
            <w:tcW w:type="dxa" w:w="1134"/>
          </w:tcPr>
          <w:p>
            <w:r>
              <w:rPr>
                <w:rFonts w:ascii="Calibri" w:hAnsi="Calibri"/>
                <w:sz w:val="20"/>
              </w:rPr>
              <w:t>POST</w:t>
            </w:r>
          </w:p>
        </w:tc>
        <w:tc>
          <w:tcPr>
            <w:tcW w:type="dxa" w:w="3118"/>
          </w:tcPr>
          <w:p>
            <w:r>
              <w:rPr>
                <w:rFonts w:ascii="Calibri" w:hAnsi="Calibri"/>
                <w:sz w:val="20"/>
              </w:rPr>
              <w:t>/api/query</w:t>
            </w:r>
          </w:p>
        </w:tc>
        <w:tc>
          <w:tcPr>
            <w:tcW w:type="dxa" w:w="4819"/>
          </w:tcPr>
          <w:p>
            <w:r>
              <w:rPr>
                <w:rFonts w:ascii="Calibri" w:hAnsi="Calibri"/>
                <w:sz w:val="20"/>
              </w:rPr>
              <w:t>Execute RAG query with optional report filters</w:t>
            </w:r>
          </w:p>
        </w:tc>
      </w:tr>
      <w:tr>
        <w:tc>
          <w:tcPr>
            <w:tcW w:type="dxa" w:w="1134"/>
            <w:shd w:val="clear" w:color="auto" w:fill="D6E4F0"/>
          </w:tcPr>
          <w:p>
            <w:r>
              <w:rPr>
                <w:rFonts w:ascii="Calibri" w:hAnsi="Calibri"/>
                <w:sz w:val="20"/>
              </w:rPr>
              <w:t>POST</w:t>
            </w:r>
          </w:p>
        </w:tc>
        <w:tc>
          <w:tcPr>
            <w:tcW w:type="dxa" w:w="3118"/>
            <w:shd w:val="clear" w:color="auto" w:fill="D6E4F0"/>
          </w:tcPr>
          <w:p>
            <w:r>
              <w:rPr>
                <w:rFonts w:ascii="Calibri" w:hAnsi="Calibri"/>
                <w:sz w:val="20"/>
              </w:rPr>
              <w:t>/api/ingest</w:t>
            </w:r>
          </w:p>
        </w:tc>
        <w:tc>
          <w:tcPr>
            <w:tcW w:type="dxa" w:w="4819"/>
            <w:shd w:val="clear" w:color="auto" w:fill="D6E4F0"/>
          </w:tcPr>
          <w:p>
            <w:r>
              <w:rPr>
                <w:rFonts w:ascii="Calibri" w:hAnsi="Calibri"/>
                <w:sz w:val="20"/>
              </w:rPr>
              <w:t>Trigger PDF ingestion pipeline</w:t>
            </w:r>
          </w:p>
        </w:tc>
      </w:tr>
      <w:tr>
        <w:tc>
          <w:tcPr>
            <w:tcW w:type="dxa" w:w="1134"/>
          </w:tcPr>
          <w:p>
            <w:r>
              <w:rPr>
                <w:rFonts w:ascii="Calibri" w:hAnsi="Calibri"/>
                <w:sz w:val="20"/>
              </w:rPr>
              <w:t>GET</w:t>
            </w:r>
          </w:p>
        </w:tc>
        <w:tc>
          <w:tcPr>
            <w:tcW w:type="dxa" w:w="3118"/>
          </w:tcPr>
          <w:p>
            <w:r>
              <w:rPr>
                <w:rFonts w:ascii="Calibri" w:hAnsi="Calibri"/>
                <w:sz w:val="20"/>
              </w:rPr>
              <w:t>/api/books</w:t>
            </w:r>
          </w:p>
        </w:tc>
        <w:tc>
          <w:tcPr>
            <w:tcW w:type="dxa" w:w="4819"/>
          </w:tcPr>
          <w:p>
            <w:r>
              <w:rPr>
                <w:rFonts w:ascii="Calibri" w:hAnsi="Calibri"/>
                <w:sz w:val="20"/>
              </w:rPr>
              <w:t>List all reports with metadata</w:t>
            </w:r>
          </w:p>
        </w:tc>
      </w:tr>
      <w:tr>
        <w:tc>
          <w:tcPr>
            <w:tcW w:type="dxa" w:w="1134"/>
            <w:shd w:val="clear" w:color="auto" w:fill="D6E4F0"/>
          </w:tcPr>
          <w:p>
            <w:r>
              <w:rPr>
                <w:rFonts w:ascii="Calibri" w:hAnsi="Calibri"/>
                <w:sz w:val="20"/>
              </w:rPr>
              <w:t>POST</w:t>
            </w:r>
          </w:p>
        </w:tc>
        <w:tc>
          <w:tcPr>
            <w:tcW w:type="dxa" w:w="3118"/>
            <w:shd w:val="clear" w:color="auto" w:fill="D6E4F0"/>
          </w:tcPr>
          <w:p>
            <w:r>
              <w:rPr>
                <w:rFonts w:ascii="Calibri" w:hAnsi="Calibri"/>
                <w:sz w:val="20"/>
              </w:rPr>
              <w:t>/api/questions/generate</w:t>
            </w:r>
          </w:p>
        </w:tc>
        <w:tc>
          <w:tcPr>
            <w:tcW w:type="dxa" w:w="4819"/>
            <w:shd w:val="clear" w:color="auto" w:fill="D6E4F0"/>
          </w:tcPr>
          <w:p>
            <w:r>
              <w:rPr>
                <w:rFonts w:ascii="Calibri" w:hAnsi="Calibri"/>
                <w:sz w:val="20"/>
              </w:rPr>
              <w:t>Generate review questions</w:t>
            </w:r>
          </w:p>
        </w:tc>
      </w:tr>
      <w:tr>
        <w:tc>
          <w:tcPr>
            <w:tcW w:type="dxa" w:w="1134"/>
          </w:tcPr>
          <w:p>
            <w:r>
              <w:rPr>
                <w:rFonts w:ascii="Calibri" w:hAnsi="Calibri"/>
                <w:sz w:val="20"/>
              </w:rPr>
              <w:t>POST</w:t>
            </w:r>
          </w:p>
        </w:tc>
        <w:tc>
          <w:tcPr>
            <w:tcW w:type="dxa" w:w="3118"/>
          </w:tcPr>
          <w:p>
            <w:r>
              <w:rPr>
                <w:rFonts w:ascii="Calibri" w:hAnsi="Calibri"/>
                <w:sz w:val="20"/>
              </w:rPr>
              <w:t>/api/evaluation/evaluate</w:t>
            </w:r>
          </w:p>
        </w:tc>
        <w:tc>
          <w:tcPr>
            <w:tcW w:type="dxa" w:w="4819"/>
          </w:tcPr>
          <w:p>
            <w:r>
              <w:rPr>
                <w:rFonts w:ascii="Calibri" w:hAnsi="Calibri"/>
                <w:sz w:val="20"/>
              </w:rPr>
              <w:t>Run 5-dimensional evaluation</w:t>
            </w:r>
          </w:p>
        </w:tc>
      </w:tr>
      <w:tr>
        <w:tc>
          <w:tcPr>
            <w:tcW w:type="dxa" w:w="1134"/>
            <w:shd w:val="clear" w:color="auto" w:fill="D6E4F0"/>
          </w:tcPr>
          <w:p>
            <w:r>
              <w:rPr>
                <w:rFonts w:ascii="Calibri" w:hAnsi="Calibri"/>
                <w:sz w:val="20"/>
              </w:rPr>
              <w:t>GET</w:t>
            </w:r>
          </w:p>
        </w:tc>
        <w:tc>
          <w:tcPr>
            <w:tcW w:type="dxa" w:w="3118"/>
            <w:shd w:val="clear" w:color="auto" w:fill="D6E4F0"/>
          </w:tcPr>
          <w:p>
            <w:r>
              <w:rPr>
                <w:rFonts w:ascii="Calibri" w:hAnsi="Calibri"/>
                <w:sz w:val="20"/>
              </w:rPr>
              <w:t>/api/llms</w:t>
            </w:r>
          </w:p>
        </w:tc>
        <w:tc>
          <w:tcPr>
            <w:tcW w:type="dxa" w:w="4819"/>
            <w:shd w:val="clear" w:color="auto" w:fill="D6E4F0"/>
          </w:tcPr>
          <w:p>
            <w:r>
              <w:rPr>
                <w:rFonts w:ascii="Calibri" w:hAnsi="Calibri"/>
                <w:sz w:val="20"/>
              </w:rPr>
              <w:t>List available LLM providers</w:t>
            </w:r>
          </w:p>
        </w:tc>
      </w:tr>
      <w:tr>
        <w:tc>
          <w:tcPr>
            <w:tcW w:type="dxa" w:w="1134"/>
          </w:tcPr>
          <w:p>
            <w:r>
              <w:rPr>
                <w:rFonts w:ascii="Calibri" w:hAnsi="Calibri"/>
                <w:sz w:val="20"/>
              </w:rPr>
              <w:t>GET</w:t>
            </w:r>
          </w:p>
        </w:tc>
        <w:tc>
          <w:tcPr>
            <w:tcW w:type="dxa" w:w="3118"/>
          </w:tcPr>
          <w:p>
            <w:r>
              <w:rPr>
                <w:rFonts w:ascii="Calibri" w:hAnsi="Calibri"/>
                <w:sz w:val="20"/>
              </w:rPr>
              <w:t>/api/health</w:t>
            </w:r>
          </w:p>
        </w:tc>
        <w:tc>
          <w:tcPr>
            <w:tcW w:type="dxa" w:w="4819"/>
          </w:tcPr>
          <w:p>
            <w:r>
              <w:rPr>
                <w:rFonts w:ascii="Calibri" w:hAnsi="Calibri"/>
                <w:sz w:val="20"/>
              </w:rPr>
              <w:t>Health check</w:t>
            </w:r>
          </w:p>
        </w:tc>
      </w:tr>
    </w:tbl>
    <w:p/>
    <w:p>
      <w:r>
        <w:rPr>
          <w:rFonts w:ascii="Calibri" w:hAnsi="Calibri"/>
          <w:b/>
          <w:sz w:val="26"/>
        </w:rPr>
        <w:t>Appendix B: Environment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val="clear" w:color="auto" w:fill="2F5496"/>
          </w:tcPr>
          <w:p>
            <w:pPr>
              <w:jc w:val="center"/>
            </w:pPr>
            <w:r>
              <w:rPr>
                <w:rFonts w:ascii="Calibri" w:hAnsi="Calibri"/>
                <w:b/>
                <w:color w:val="FFFFFF"/>
                <w:sz w:val="20"/>
              </w:rPr>
              <w:t>Variable</w:t>
            </w:r>
          </w:p>
        </w:tc>
        <w:tc>
          <w:tcPr>
            <w:tcW w:type="dxa" w:w="2551"/>
            <w:shd w:val="clear" w:color="auto" w:fill="2F5496"/>
          </w:tcPr>
          <w:p>
            <w:pPr>
              <w:jc w:val="center"/>
            </w:pPr>
            <w:r>
              <w:rPr>
                <w:rFonts w:ascii="Calibri" w:hAnsi="Calibri"/>
                <w:b/>
                <w:color w:val="FFFFFF"/>
                <w:sz w:val="20"/>
              </w:rPr>
              <w:t>Default</w:t>
            </w:r>
          </w:p>
        </w:tc>
        <w:tc>
          <w:tcPr>
            <w:tcW w:type="dxa" w:w="3685"/>
            <w:shd w:val="clear" w:color="auto" w:fill="2F5496"/>
          </w:tcPr>
          <w:p>
            <w:pPr>
              <w:jc w:val="center"/>
            </w:pPr>
            <w:r>
              <w:rPr>
                <w:rFonts w:ascii="Calibri" w:hAnsi="Calibri"/>
                <w:b/>
                <w:color w:val="FFFFFF"/>
                <w:sz w:val="20"/>
              </w:rPr>
              <w:t>Description</w:t>
            </w:r>
          </w:p>
        </w:tc>
      </w:tr>
      <w:tr>
        <w:tc>
          <w:tcPr>
            <w:tcW w:type="dxa" w:w="2835"/>
          </w:tcPr>
          <w:p>
            <w:r>
              <w:rPr>
                <w:rFonts w:ascii="Calibri" w:hAnsi="Calibri"/>
                <w:sz w:val="20"/>
              </w:rPr>
              <w:t>OLLAMA_BASE_URL</w:t>
            </w:r>
          </w:p>
        </w:tc>
        <w:tc>
          <w:tcPr>
            <w:tcW w:type="dxa" w:w="2551"/>
          </w:tcPr>
          <w:p>
            <w:r>
              <w:rPr>
                <w:rFonts w:ascii="Calibri" w:hAnsi="Calibri"/>
                <w:sz w:val="20"/>
              </w:rPr>
              <w:t>http://127.0.0.1:11434</w:t>
            </w:r>
          </w:p>
        </w:tc>
        <w:tc>
          <w:tcPr>
            <w:tcW w:type="dxa" w:w="3685"/>
          </w:tcPr>
          <w:p>
            <w:r>
              <w:rPr>
                <w:rFonts w:ascii="Calibri" w:hAnsi="Calibri"/>
                <w:sz w:val="20"/>
              </w:rPr>
              <w:t>Ollama server URL</w:t>
            </w:r>
          </w:p>
        </w:tc>
      </w:tr>
      <w:tr>
        <w:tc>
          <w:tcPr>
            <w:tcW w:type="dxa" w:w="2835"/>
            <w:shd w:val="clear" w:color="auto" w:fill="D6E4F0"/>
          </w:tcPr>
          <w:p>
            <w:r>
              <w:rPr>
                <w:rFonts w:ascii="Calibri" w:hAnsi="Calibri"/>
                <w:sz w:val="20"/>
              </w:rPr>
              <w:t>OLLAMA_MODEL</w:t>
            </w:r>
          </w:p>
        </w:tc>
        <w:tc>
          <w:tcPr>
            <w:tcW w:type="dxa" w:w="2551"/>
            <w:shd w:val="clear" w:color="auto" w:fill="D6E4F0"/>
          </w:tcPr>
          <w:p>
            <w:r>
              <w:rPr>
                <w:rFonts w:ascii="Calibri" w:hAnsi="Calibri"/>
                <w:sz w:val="20"/>
              </w:rPr>
              <w:t>qwen3.5:4b</w:t>
            </w:r>
          </w:p>
        </w:tc>
        <w:tc>
          <w:tcPr>
            <w:tcW w:type="dxa" w:w="3685"/>
            <w:shd w:val="clear" w:color="auto" w:fill="D6E4F0"/>
          </w:tcPr>
          <w:p>
            <w:r>
              <w:rPr>
                <w:rFonts w:ascii="Calibri" w:hAnsi="Calibri"/>
                <w:sz w:val="20"/>
              </w:rPr>
              <w:t>Local LLM model</w:t>
            </w:r>
          </w:p>
        </w:tc>
      </w:tr>
      <w:tr>
        <w:tc>
          <w:tcPr>
            <w:tcW w:type="dxa" w:w="2835"/>
          </w:tcPr>
          <w:p>
            <w:r>
              <w:rPr>
                <w:rFonts w:ascii="Calibri" w:hAnsi="Calibri"/>
                <w:sz w:val="20"/>
              </w:rPr>
              <w:t>AZURE_OAI_ENDPOINT</w:t>
            </w:r>
          </w:p>
        </w:tc>
        <w:tc>
          <w:tcPr>
            <w:tcW w:type="dxa" w:w="2551"/>
          </w:tcPr>
          <w:p>
            <w:r>
              <w:rPr>
                <w:rFonts w:ascii="Calibri" w:hAnsi="Calibri"/>
                <w:sz w:val="20"/>
              </w:rPr>
              <w:t>(optional)</w:t>
            </w:r>
          </w:p>
        </w:tc>
        <w:tc>
          <w:tcPr>
            <w:tcW w:type="dxa" w:w="3685"/>
          </w:tcPr>
          <w:p>
            <w:r>
              <w:rPr>
                <w:rFonts w:ascii="Calibri" w:hAnsi="Calibri"/>
                <w:sz w:val="20"/>
              </w:rPr>
              <w:t>Azure OpenAI endpoint</w:t>
            </w:r>
          </w:p>
        </w:tc>
      </w:tr>
      <w:tr>
        <w:tc>
          <w:tcPr>
            <w:tcW w:type="dxa" w:w="2835"/>
            <w:shd w:val="clear" w:color="auto" w:fill="D6E4F0"/>
          </w:tcPr>
          <w:p>
            <w:r>
              <w:rPr>
                <w:rFonts w:ascii="Calibri" w:hAnsi="Calibri"/>
                <w:sz w:val="20"/>
              </w:rPr>
              <w:t>AZURE_OAI_KEY</w:t>
            </w:r>
          </w:p>
        </w:tc>
        <w:tc>
          <w:tcPr>
            <w:tcW w:type="dxa" w:w="2551"/>
            <w:shd w:val="clear" w:color="auto" w:fill="D6E4F0"/>
          </w:tcPr>
          <w:p>
            <w:r>
              <w:rPr>
                <w:rFonts w:ascii="Calibri" w:hAnsi="Calibri"/>
                <w:sz w:val="20"/>
              </w:rPr>
              <w:t>(optional)</w:t>
            </w:r>
          </w:p>
        </w:tc>
        <w:tc>
          <w:tcPr>
            <w:tcW w:type="dxa" w:w="3685"/>
            <w:shd w:val="clear" w:color="auto" w:fill="D6E4F0"/>
          </w:tcPr>
          <w:p>
            <w:r>
              <w:rPr>
                <w:rFonts w:ascii="Calibri" w:hAnsi="Calibri"/>
                <w:sz w:val="20"/>
              </w:rPr>
              <w:t>Azure OpenAI API key</w:t>
            </w:r>
          </w:p>
        </w:tc>
      </w:tr>
      <w:tr>
        <w:tc>
          <w:tcPr>
            <w:tcW w:type="dxa" w:w="2835"/>
          </w:tcPr>
          <w:p>
            <w:r>
              <w:rPr>
                <w:rFonts w:ascii="Calibri" w:hAnsi="Calibri"/>
                <w:sz w:val="20"/>
              </w:rPr>
              <w:t>AZURE_OAI_DEPLOYMENT</w:t>
            </w:r>
          </w:p>
        </w:tc>
        <w:tc>
          <w:tcPr>
            <w:tcW w:type="dxa" w:w="2551"/>
          </w:tcPr>
          <w:p>
            <w:r>
              <w:rPr>
                <w:rFonts w:ascii="Calibri" w:hAnsi="Calibri"/>
                <w:sz w:val="20"/>
              </w:rPr>
              <w:t>gpt-4o-mini</w:t>
            </w:r>
          </w:p>
        </w:tc>
        <w:tc>
          <w:tcPr>
            <w:tcW w:type="dxa" w:w="3685"/>
          </w:tcPr>
          <w:p>
            <w:r>
              <w:rPr>
                <w:rFonts w:ascii="Calibri" w:hAnsi="Calibri"/>
                <w:sz w:val="20"/>
              </w:rPr>
              <w:t>Azure model deployment</w:t>
            </w:r>
          </w:p>
        </w:tc>
      </w:tr>
      <w:tr>
        <w:tc>
          <w:tcPr>
            <w:tcW w:type="dxa" w:w="2835"/>
            <w:shd w:val="clear" w:color="auto" w:fill="D6E4F0"/>
          </w:tcPr>
          <w:p>
            <w:r>
              <w:rPr>
                <w:rFonts w:ascii="Calibri" w:hAnsi="Calibri"/>
                <w:sz w:val="20"/>
              </w:rPr>
              <w:t>EMBEDDING_MODEL</w:t>
            </w:r>
          </w:p>
        </w:tc>
        <w:tc>
          <w:tcPr>
            <w:tcW w:type="dxa" w:w="2551"/>
            <w:shd w:val="clear" w:color="auto" w:fill="D6E4F0"/>
          </w:tcPr>
          <w:p>
            <w:r>
              <w:rPr>
                <w:rFonts w:ascii="Calibri" w:hAnsi="Calibri"/>
                <w:sz w:val="20"/>
              </w:rPr>
              <w:t>all-MiniLM-L6-v2</w:t>
            </w:r>
          </w:p>
        </w:tc>
        <w:tc>
          <w:tcPr>
            <w:tcW w:type="dxa" w:w="3685"/>
            <w:shd w:val="clear" w:color="auto" w:fill="D6E4F0"/>
          </w:tcPr>
          <w:p>
            <w:r>
              <w:rPr>
                <w:rFonts w:ascii="Calibri" w:hAnsi="Calibri"/>
                <w:sz w:val="20"/>
              </w:rPr>
              <w:t>HuggingFace embedding model</w:t>
            </w:r>
          </w:p>
        </w:tc>
      </w:tr>
      <w:tr>
        <w:tc>
          <w:tcPr>
            <w:tcW w:type="dxa" w:w="2835"/>
          </w:tcPr>
          <w:p>
            <w:r>
              <w:rPr>
                <w:rFonts w:ascii="Calibri" w:hAnsi="Calibri"/>
                <w:sz w:val="20"/>
              </w:rPr>
              <w:t>CHROMA_PERSIST_DIR</w:t>
            </w:r>
          </w:p>
        </w:tc>
        <w:tc>
          <w:tcPr>
            <w:tcW w:type="dxa" w:w="2551"/>
          </w:tcPr>
          <w:p>
            <w:r>
              <w:rPr>
                <w:rFonts w:ascii="Calibri" w:hAnsi="Calibri"/>
                <w:sz w:val="20"/>
              </w:rPr>
              <w:t>data/chroma_persist</w:t>
            </w:r>
          </w:p>
        </w:tc>
        <w:tc>
          <w:tcPr>
            <w:tcW w:type="dxa" w:w="3685"/>
          </w:tcPr>
          <w:p>
            <w:r>
              <w:rPr>
                <w:rFonts w:ascii="Calibri" w:hAnsi="Calibri"/>
                <w:sz w:val="20"/>
              </w:rPr>
              <w:t>ChromaDB persistence dir</w:t>
            </w:r>
          </w:p>
        </w:tc>
      </w:tr>
      <w:tr>
        <w:tc>
          <w:tcPr>
            <w:tcW w:type="dxa" w:w="2835"/>
            <w:shd w:val="clear" w:color="auto" w:fill="D6E4F0"/>
          </w:tcPr>
          <w:p>
            <w:r>
              <w:rPr>
                <w:rFonts w:ascii="Calibri" w:hAnsi="Calibri"/>
                <w:sz w:val="20"/>
              </w:rPr>
              <w:t>PAYLOAD_URL</w:t>
            </w:r>
          </w:p>
        </w:tc>
        <w:tc>
          <w:tcPr>
            <w:tcW w:type="dxa" w:w="2551"/>
            <w:shd w:val="clear" w:color="auto" w:fill="D6E4F0"/>
          </w:tcPr>
          <w:p>
            <w:r>
              <w:rPr>
                <w:rFonts w:ascii="Calibri" w:hAnsi="Calibri"/>
                <w:sz w:val="20"/>
              </w:rPr>
              <w:t>http://localhost:3001</w:t>
            </w:r>
          </w:p>
        </w:tc>
        <w:tc>
          <w:tcPr>
            <w:tcW w:type="dxa" w:w="3685"/>
            <w:shd w:val="clear" w:color="auto" w:fill="D6E4F0"/>
          </w:tcPr>
          <w:p>
            <w:r>
              <w:rPr>
                <w:rFonts w:ascii="Calibri" w:hAnsi="Calibri"/>
                <w:sz w:val="20"/>
              </w:rPr>
              <w:t>Payload CMS URL</w:t>
            </w:r>
          </w:p>
        </w:tc>
      </w:tr>
      <w:tr>
        <w:tc>
          <w:tcPr>
            <w:tcW w:type="dxa" w:w="2835"/>
          </w:tcPr>
          <w:p>
            <w:r>
              <w:rPr>
                <w:rFonts w:ascii="Calibri" w:hAnsi="Calibri"/>
                <w:sz w:val="20"/>
              </w:rPr>
              <w:t>TOP_K</w:t>
            </w:r>
          </w:p>
        </w:tc>
        <w:tc>
          <w:tcPr>
            <w:tcW w:type="dxa" w:w="2551"/>
          </w:tcPr>
          <w:p>
            <w:r>
              <w:rPr>
                <w:rFonts w:ascii="Calibri" w:hAnsi="Calibri"/>
                <w:sz w:val="20"/>
              </w:rPr>
              <w:t>5</w:t>
            </w:r>
          </w:p>
        </w:tc>
        <w:tc>
          <w:tcPr>
            <w:tcW w:type="dxa" w:w="3685"/>
          </w:tcPr>
          <w:p>
            <w:r>
              <w:rPr>
                <w:rFonts w:ascii="Calibri" w:hAnsi="Calibri"/>
                <w:sz w:val="20"/>
              </w:rPr>
              <w:t>Retrieval result count</w:t>
            </w:r>
          </w:p>
        </w:tc>
      </w:tr>
    </w:tbl>
    <w:p/>
    <w:p>
      <w:r>
        <w:rPr>
          <w:rFonts w:ascii="Calibri" w:hAnsi="Calibri"/>
          <w:b/>
          <w:sz w:val="26"/>
        </w:rPr>
        <w:t>Appendix C: Project Repository</w:t>
      </w:r>
    </w:p>
    <w:p>
      <w:pPr>
        <w:pStyle w:val="ListBullet"/>
      </w:pPr>
      <w:r>
        <w:rPr>
          <w:rFonts w:ascii="Calibri" w:hAnsi="Calibri"/>
          <w:sz w:val="22"/>
        </w:rPr>
        <w:t>GitHub: github.com/Teegee0/textbook-rag</w:t>
      </w:r>
    </w:p>
    <w:p>
      <w:pPr>
        <w:pStyle w:val="ListBullet"/>
      </w:pPr>
      <w:r>
        <w:rPr>
          <w:rFonts w:ascii="Calibri" w:hAnsi="Calibri"/>
          <w:sz w:val="22"/>
        </w:rPr>
        <w:t>Branch: main</w:t>
      </w:r>
    </w:p>
    <w:p>
      <w:pPr>
        <w:pStyle w:val="ListBullet"/>
      </w:pPr>
      <w:r>
        <w:rPr>
          <w:rFonts w:ascii="Calibri" w:hAnsi="Calibri"/>
          <w:sz w:val="22"/>
        </w:rPr>
        <w:t>Python: 3.12 (managed with uv)</w:t>
      </w:r>
    </w:p>
    <w:p>
      <w:pPr>
        <w:pStyle w:val="ListBullet"/>
      </w:pPr>
      <w:r>
        <w:rPr>
          <w:rFonts w:ascii="Calibri" w:hAnsi="Calibri"/>
          <w:sz w:val="22"/>
        </w:rPr>
        <w:t>Node.js: 20+ (for Payload CMS / Next.js)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