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20"/>
        <w:jc w:val="center"/>
      </w:pPr>
      <w:r>
        <w:rPr>
          <w:rFonts w:ascii="Times New Roman" w:hAnsi="Times New Roman" w:eastAsia="SimHei"/>
          <w:b/>
          <w:color w:val="000000"/>
          <w:sz w:val="32"/>
        </w:rPr>
        <w:t>参考文献</w:t>
      </w:r>
    </w:p>
    <w:p>
      <w:pPr>
        <w:widowControl/>
        <w:spacing w:line="259" w:lineRule="auto" w:after="100"/>
        <w:ind w:left="403" w:hanging="403"/>
      </w:pPr>
      <w:r>
        <w:rPr>
          <w:rFonts w:ascii="Times New Roman" w:hAnsi="Times New Roman" w:eastAsia="SimSun"/>
          <w:b w:val="0"/>
          <w:color w:val="000000"/>
          <w:sz w:val="21"/>
        </w:rPr>
        <w:t>[1] Kaplan J, McCandlish S, Henighan T, et al. Scaling Laws for Neural Language Models[EB/OL]. arXiv:2001.08361, 2020. https://arxiv.org/abs/2001.08361 (accessed 2026-09-26).</w:t>
      </w:r>
    </w:p>
    <w:p>
      <w:pPr>
        <w:widowControl/>
        <w:spacing w:line="259" w:lineRule="auto" w:after="100"/>
        <w:ind w:left="403" w:hanging="403"/>
      </w:pPr>
      <w:r>
        <w:rPr>
          <w:rFonts w:ascii="Times New Roman" w:hAnsi="Times New Roman" w:eastAsia="SimSun"/>
          <w:b w:val="0"/>
          <w:color w:val="000000"/>
          <w:sz w:val="21"/>
        </w:rPr>
        <w:t>[2] Bahri Y, Dyer E, Kaplan J, Lee J, Sharma U. Explaining neural scaling laws[J]. Proceedings of the National Academy of Sciences, 2024, 121(27): e2311878121. https://doi.org/10.1073/pnas.2311878121.</w:t>
      </w:r>
    </w:p>
    <w:p>
      <w:pPr>
        <w:widowControl/>
        <w:spacing w:line="259" w:lineRule="auto" w:after="100"/>
        <w:ind w:left="403" w:hanging="403"/>
      </w:pPr>
      <w:r>
        <w:rPr>
          <w:rFonts w:ascii="Times New Roman" w:hAnsi="Times New Roman" w:eastAsia="SimSun"/>
          <w:b w:val="0"/>
          <w:color w:val="000000"/>
          <w:sz w:val="21"/>
        </w:rPr>
        <w:t>[3] Hoffmann J, Borgeaud S, Mensch A, et al. Training Compute-Optimal Large Language Models[EB/OL]. arXiv:2203.15556, 2022. https://arxiv.org/abs/2203.15556 (accessed 2026-09-26).</w:t>
      </w:r>
    </w:p>
    <w:p>
      <w:pPr>
        <w:widowControl/>
        <w:spacing w:line="259" w:lineRule="auto" w:after="100"/>
        <w:ind w:left="403" w:hanging="403"/>
      </w:pPr>
      <w:r>
        <w:rPr>
          <w:rFonts w:ascii="Times New Roman" w:hAnsi="Times New Roman" w:eastAsia="SimSun"/>
          <w:b w:val="0"/>
          <w:color w:val="000000"/>
          <w:sz w:val="21"/>
        </w:rPr>
        <w:t>[4] Asai A, He J, Shao R, et al. Synthesizing scientific literature with retrieval-augmented language models[J]. Nature, 2026, 650(8103): 857-863. https://doi.org/10.1038/s41586-025-10072-4.</w:t>
      </w:r>
    </w:p>
    <w:p>
      <w:pPr>
        <w:widowControl/>
        <w:spacing w:line="259" w:lineRule="auto" w:after="100"/>
        <w:ind w:left="403" w:hanging="403"/>
      </w:pPr>
      <w:r>
        <w:rPr>
          <w:rFonts w:ascii="Times New Roman" w:hAnsi="Times New Roman" w:eastAsia="SimSun"/>
          <w:b w:val="0"/>
          <w:color w:val="000000"/>
          <w:sz w:val="21"/>
        </w:rPr>
        <w:t>[5] Zhuang X, Peng J, Ma R, et al. Meta-rater: A Multi-dimensional Data Selection Method for Pre-training Language Models[C]//Proceedings of the 63rd Annual Meeting of the Association for Computational Linguistics. Vienna: Association for Computational Linguistics, 2025: 10856-10896. https://doi.org/10.18653/v1/2025.acl-long.533.</w:t>
      </w:r>
    </w:p>
    <w:p>
      <w:pPr>
        <w:widowControl/>
        <w:spacing w:line="259" w:lineRule="auto" w:after="100"/>
        <w:ind w:left="403" w:hanging="403"/>
      </w:pPr>
      <w:r>
        <w:rPr>
          <w:rFonts w:ascii="Times New Roman" w:hAnsi="Times New Roman" w:eastAsia="SimSun"/>
          <w:b w:val="0"/>
          <w:color w:val="000000"/>
          <w:sz w:val="21"/>
        </w:rPr>
        <w:t>[6] Penedo G, Kydlíček H, Ben Allal L, et al. The FineWeb Datasets: Decanting the Web for the Finest Text Data at Scale[C]//Advances in Neural Information Processing Systems. 2024, 37: 30811-30849. https://doi.org/10.52202/079017-0970.</w:t>
      </w:r>
    </w:p>
    <w:p>
      <w:pPr>
        <w:widowControl/>
        <w:spacing w:line="259" w:lineRule="auto" w:after="100"/>
        <w:ind w:left="403" w:hanging="403"/>
      </w:pPr>
      <w:r>
        <w:rPr>
          <w:rFonts w:ascii="Times New Roman" w:hAnsi="Times New Roman" w:eastAsia="SimSun"/>
          <w:b w:val="0"/>
          <w:color w:val="000000"/>
          <w:sz w:val="21"/>
        </w:rPr>
        <w:t>[7] Biderman S, Schoelkopf H, Anthony Q G, et al. Pythia: A Suite for Analyzing Large Language Models Across Training and Scaling[C]//Proceedings of the 40th International Conference on Machine Learning. PMLR, 2023, 202: 2397-2430. https://proceedings.mlr.press/v202/biderman23a.html (accessed 2026-09-26).</w:t>
      </w:r>
    </w:p>
    <w:p>
      <w:pPr>
        <w:widowControl/>
        <w:spacing w:line="259" w:lineRule="auto" w:after="100"/>
        <w:ind w:left="403" w:hanging="403"/>
      </w:pPr>
      <w:r>
        <w:rPr>
          <w:rFonts w:ascii="Times New Roman" w:hAnsi="Times New Roman" w:eastAsia="SimSun"/>
          <w:b w:val="0"/>
          <w:color w:val="000000"/>
          <w:sz w:val="21"/>
        </w:rPr>
        <w:t>[8] Warner B, Chaffin A, Clavié B, et al. Smarter, Better, Faster, Longer: A Modern Bidirectional Encoder for Fast, Memory Efficient, and Long Context Finetuning and Inference[C]//Proceedings of the 63rd Annual Meeting of the Association for Computational Linguistics. Vienna: Association for Computational Linguistics, 2025: 2526-2547. https://doi.org/10.18653/v1/2025.acl-long.127.</w:t>
      </w:r>
    </w:p>
    <w:p>
      <w:pPr>
        <w:widowControl/>
        <w:spacing w:line="259" w:lineRule="auto" w:after="100"/>
        <w:ind w:left="403" w:hanging="403"/>
      </w:pPr>
      <w:r>
        <w:rPr>
          <w:rFonts w:ascii="Times New Roman" w:hAnsi="Times New Roman" w:eastAsia="SimSun"/>
          <w:b w:val="0"/>
          <w:color w:val="000000"/>
          <w:sz w:val="21"/>
        </w:rPr>
        <w:t>[9] Liu Q, Zheng X, Muennighoff N, et al. RegMix: Data Mixture as Regression for Language Model Pre-training[C]//International Conference on Learning Representations. 2025. https://openreview.net/forum?id=5BjQOUXq7i (accessed 2026-09-26).</w:t>
      </w:r>
    </w:p>
    <w:p>
      <w:pPr>
        <w:widowControl/>
        <w:spacing w:line="259" w:lineRule="auto" w:after="100"/>
        <w:ind w:left="403" w:hanging="403"/>
      </w:pPr>
      <w:r>
        <w:rPr>
          <w:rFonts w:ascii="Times New Roman" w:hAnsi="Times New Roman" w:eastAsia="SimSun"/>
          <w:b w:val="0"/>
          <w:color w:val="000000"/>
          <w:sz w:val="21"/>
        </w:rPr>
        <w:t>[10] Scheffé H. Experiments with Mixtures[J]. Journal of the Royal Statistical Society: Series B (Methodological), 1958, 20(2): 344-360. https://doi.org/10.1111/j.2517-6161.1958.tb00299.x.</w:t>
      </w:r>
    </w:p>
    <w:p>
      <w:pPr>
        <w:widowControl/>
        <w:spacing w:line="259" w:lineRule="auto" w:after="100"/>
        <w:ind w:left="403" w:hanging="403"/>
      </w:pPr>
      <w:r>
        <w:rPr>
          <w:rFonts w:ascii="Times New Roman" w:hAnsi="Times New Roman" w:eastAsia="SimSun"/>
          <w:b w:val="0"/>
          <w:color w:val="000000"/>
          <w:sz w:val="21"/>
        </w:rPr>
        <w:t>[11] Aitchison J. The Statistical Analysis of Compositional Data[J]. Journal of the Royal Statistical Society: Series B (Methodological), 1982, 44(2): 139-160. https://doi.org/10.1111/j.2517-6161.1982.tb01195.x.</w:t>
      </w:r>
    </w:p>
    <w:p>
      <w:pPr>
        <w:widowControl/>
        <w:spacing w:line="259" w:lineRule="auto" w:after="100"/>
        <w:ind w:left="403" w:hanging="403"/>
      </w:pPr>
      <w:r>
        <w:rPr>
          <w:rFonts w:ascii="Times New Roman" w:hAnsi="Times New Roman" w:eastAsia="SimSun"/>
          <w:b w:val="0"/>
          <w:color w:val="000000"/>
          <w:sz w:val="21"/>
        </w:rPr>
        <w:t>[12] Spearman C. ‘General Intelligence,’ Objectively Determined and Measured[J]. The American Journal of Psychology, 1904, 15(2): 201-292. https://doi.org/10.2307/1412107.</w:t>
      </w:r>
    </w:p>
    <w:p>
      <w:pPr>
        <w:widowControl/>
        <w:spacing w:line="259" w:lineRule="auto" w:after="100"/>
        <w:ind w:left="403" w:hanging="403"/>
      </w:pPr>
      <w:r>
        <w:rPr>
          <w:rFonts w:ascii="Times New Roman" w:hAnsi="Times New Roman" w:eastAsia="SimSun"/>
          <w:b w:val="0"/>
          <w:color w:val="000000"/>
          <w:sz w:val="21"/>
        </w:rPr>
        <w:t>[13] Efron B. Bootstrap Methods: Another Look at the Jackknife[J]. The Annals of Statistics, 1979, 7(1): 1-26. https://doi.org/10.1214/aos/1176344552.</w:t>
      </w:r>
    </w:p>
    <w:p>
      <w:pPr>
        <w:widowControl/>
        <w:spacing w:line="259" w:lineRule="auto" w:after="100"/>
        <w:ind w:left="403" w:hanging="403"/>
      </w:pPr>
      <w:r>
        <w:rPr>
          <w:rFonts w:ascii="Times New Roman" w:hAnsi="Times New Roman" w:eastAsia="SimSun"/>
          <w:b w:val="0"/>
          <w:color w:val="000000"/>
          <w:sz w:val="21"/>
        </w:rPr>
        <w:t>[14] SciPy Developers. SciPy Documentation: minimize(method='SLSQP')[EB/OL]. 2026. https://docs.scipy.org/doc/scipy/reference/optimize.minimize-slsqp.html (accessed 2026-09-26).</w:t>
      </w:r>
    </w:p>
    <w:p>
      <w:pPr>
        <w:widowControl/>
        <w:spacing w:line="259" w:lineRule="auto" w:after="100"/>
        <w:ind w:left="403" w:hanging="403"/>
      </w:pPr>
      <w:r>
        <w:rPr>
          <w:rFonts w:ascii="Times New Roman" w:hAnsi="Times New Roman" w:eastAsia="SimSun"/>
          <w:b w:val="0"/>
          <w:color w:val="000000"/>
          <w:sz w:val="21"/>
        </w:rPr>
        <w:t>[15] Schaeffer R, Miranda B, Koyejo S. Are Emergent Abilities of Large Language Models a Mirage?[C]//Advances in Neural Information Processing Systems. 2023, 36: 55565-55581. https://doi.org/10.52202/075280-2425.</w:t>
      </w:r>
    </w:p>
    <w:p>
      <w:pPr>
        <w:widowControl/>
        <w:spacing w:line="259" w:lineRule="auto" w:after="100"/>
        <w:ind w:left="403" w:hanging="403"/>
      </w:pPr>
      <w:r>
        <w:rPr>
          <w:rFonts w:ascii="Times New Roman" w:hAnsi="Times New Roman" w:eastAsia="SimSun"/>
          <w:b w:val="0"/>
          <w:color w:val="000000"/>
          <w:sz w:val="21"/>
        </w:rPr>
        <w:t>[16] Zhou J, Lu T, Mishra S, et al. Instruction-Following Evaluation for Large Language Models[EB/OL]. arXiv:2311.07911, 2023. https://arxiv.org/abs/2311.07911 (accessed 2026-09-26).</w:t>
      </w:r>
    </w:p>
    <w:p>
      <w:pPr>
        <w:widowControl/>
        <w:spacing w:line="259" w:lineRule="auto" w:after="100"/>
        <w:ind w:left="403" w:hanging="403"/>
      </w:pPr>
      <w:r>
        <w:rPr>
          <w:rFonts w:ascii="Times New Roman" w:hAnsi="Times New Roman" w:eastAsia="SimSun"/>
          <w:b w:val="0"/>
          <w:color w:val="000000"/>
          <w:sz w:val="21"/>
        </w:rPr>
        <w:t>[17] Suzgun M, Scales N, Schärli N, et al. Challenging BIG-Bench Tasks and Whether Chain-of-Thought Can Solve Them[C]//Findings of the Association for Computational Linguistics: ACL 2023. Toronto: Association for Computational Linguistics, 2023: 13003-13051. https://doi.org/10.18653/v1/2023.findings-acl.824.</w:t>
      </w:r>
    </w:p>
    <w:p>
      <w:pPr>
        <w:widowControl/>
        <w:spacing w:line="259" w:lineRule="auto" w:after="100"/>
        <w:ind w:left="403" w:hanging="403"/>
      </w:pPr>
      <w:r>
        <w:rPr>
          <w:rFonts w:ascii="Times New Roman" w:hAnsi="Times New Roman" w:eastAsia="SimSun"/>
          <w:b w:val="0"/>
          <w:color w:val="000000"/>
          <w:sz w:val="21"/>
        </w:rPr>
        <w:t>[18] Hendrycks D, Burns C, Kadavath S, et al. Measuring Mathematical Problem Solving With the MATH Dataset[C]//Proceedings of the Neural Information Processing Systems Track on Datasets and Benchmarks. 2021, 1. https://datasets-benchmarks-proceedings.neurips.cc/paper/2021/hash/be83ab3ecd0db773eb2dc1b0a17836a1-Abstract-round2.html (accessed 2026-09-26).</w:t>
      </w:r>
    </w:p>
    <w:p>
      <w:pPr>
        <w:widowControl/>
        <w:spacing w:line="259" w:lineRule="auto" w:after="100"/>
        <w:ind w:left="403" w:hanging="403"/>
      </w:pPr>
      <w:r>
        <w:rPr>
          <w:rFonts w:ascii="Times New Roman" w:hAnsi="Times New Roman" w:eastAsia="SimSun"/>
          <w:b w:val="0"/>
          <w:color w:val="000000"/>
          <w:sz w:val="21"/>
        </w:rPr>
        <w:t>[19] Rein D, Hou B L, Stickland A C, et al. GPQA: A Graduate-Level Google-Proof Q&amp;A Benchmark[C]//First Conference on Language Modeling. 2024. https://openreview.net/forum?id=Ti67584b98 (accessed 2026-09-26).</w:t>
      </w:r>
    </w:p>
    <w:p>
      <w:pPr>
        <w:widowControl/>
        <w:spacing w:line="259" w:lineRule="auto" w:after="100"/>
        <w:ind w:left="403" w:hanging="403"/>
      </w:pPr>
      <w:r>
        <w:rPr>
          <w:rFonts w:ascii="Times New Roman" w:hAnsi="Times New Roman" w:eastAsia="SimSun"/>
          <w:b w:val="0"/>
          <w:color w:val="000000"/>
          <w:sz w:val="21"/>
        </w:rPr>
        <w:t>[20] Sprague Z R, Ye X, Bostrom K, Chaudhuri S, Durrett G. MuSR: Testing the Limits of Chain-of-thought with Multistep Soft Reasoning[C]//The Twelfth International Conference on Learning Representations. 2024. https://openreview.net/forum?id=jenyYQzue1 (accessed 2026-09-26).</w:t>
      </w:r>
    </w:p>
    <w:p>
      <w:pPr>
        <w:widowControl/>
        <w:spacing w:line="259" w:lineRule="auto" w:after="100"/>
        <w:ind w:left="403" w:hanging="403"/>
      </w:pPr>
      <w:r>
        <w:rPr>
          <w:rFonts w:ascii="Times New Roman" w:hAnsi="Times New Roman" w:eastAsia="SimSun"/>
          <w:b w:val="0"/>
          <w:color w:val="000000"/>
          <w:sz w:val="21"/>
        </w:rPr>
        <w:t>[21] Wang Y, Ma X, Zhang G, et al. MMLU-Pro: A More Robust and Challenging Multi-Task Language Understanding Benchmark[C]//Advances in Neural Information Processing Systems. 2024, 37: 95266-95290. https://doi.org/10.52202/079017-3018.</w:t>
      </w:r>
    </w:p>
    <w:p>
      <w:pPr>
        <w:widowControl/>
        <w:spacing w:line="259" w:lineRule="auto" w:after="100"/>
        <w:ind w:left="403" w:hanging="403"/>
      </w:pPr>
      <w:r>
        <w:rPr>
          <w:rFonts w:ascii="Times New Roman" w:hAnsi="Times New Roman" w:eastAsia="SimSun"/>
          <w:b w:val="0"/>
          <w:color w:val="000000"/>
          <w:sz w:val="21"/>
        </w:rPr>
        <w:t>[22] Open LLM Leaderboard maintainers. Open LLM Leaderboard Detailed Evaluation Results[DB/OL]. Hugging Face dataset snapshot, commit aa81ecc38fdc5708254b833923368970efdf5ef5, 2025. https://huggingface.co/datasets/open-llm-leaderboard/results/tree/aa81ecc38fdc5708254b833923368970efdf5ef5 (accessed 2026-09-26).</w:t>
      </w:r>
    </w:p>
    <w:p>
      <w:pPr>
        <w:widowControl/>
        <w:spacing w:line="259" w:lineRule="auto" w:after="100"/>
        <w:ind w:left="403" w:hanging="403"/>
      </w:pPr>
      <w:r>
        <w:rPr>
          <w:rFonts w:ascii="Times New Roman" w:hAnsi="Times New Roman" w:eastAsia="SimSun"/>
          <w:b w:val="0"/>
          <w:color w:val="000000"/>
          <w:sz w:val="21"/>
        </w:rPr>
        <w:t>[23] Epoch AI. Data on AI Models[DB/OL]. 2026. https://epoch.ai/data/ai-models (accessed 2026-09-26).</w:t>
      </w:r>
    </w:p>
    <w:sectPr w:rsidR="00FC693F" w:rsidRPr="0006063C" w:rsidSect="00034616">
      <w:footerReference w:type="default" r:id="rId9"/>
      <w:pgSz w:w="12240" w:h="15840"/>
      <w:pgMar w:top="1123" w:right="1238" w:bottom="1037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参考文献</dc:title>
  <dc:subject>最终正文引用表</dc:subject>
  <dc:creator>REF-FINAL</dc:creator>
  <cp:keywords>references, citation audit</cp:keywords>
  <dc:description>Generated from verified final citation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