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24"/>
        </w:rPr>
        <w:t>表 1 四问结果接口与最终资格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问题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冻结主接口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核心输出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最终资格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不可越过的解释边界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Q1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Q1_GAP + Q01C + T06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质量代理；配比预测与运输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CLOSED_WITH_LIMITATION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Q 不是人工真值；跨尺度仅 TRANSPORT_ONLY</w:t>
            </w:r>
          </w:p>
        </w:tc>
      </w:tr>
      <w:tr>
        <w:tc>
          <w:tcPr>
            <w:tcW w:type="dxa" w:w="2862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Q2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Q2_GAP + T06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B1 来源内标度律；分来源验证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CLOSED_WITH_LIMITATION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不得称统一四变量模型已多源验证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Q3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T07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10^18/10^20/10^22 FLOPs 条件最优 N、D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CLOSED_WITH_LIMITATION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Q 未识别；p 固定；10^22 的 D 达上界</w:t>
            </w:r>
          </w:p>
        </w:tc>
      </w:tr>
      <w:tr>
        <w:tc>
          <w:tcPr>
            <w:tcW w:type="dxa" w:w="2862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Q4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Q4_GAP + T05/T08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12/24 月 slow/baseline/upper 情景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CLOSED_WITH_SCENARIO_LIMITATION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全部 SCENARIO_ONLY_UNVALIDATED；Loss 转换为 0 次</w:t>
            </w:r>
          </w:p>
        </w:tc>
      </w:tr>
    </w:tbl>
    <w:p>
      <w:pPr>
        <w:spacing w:before="100"/>
      </w:pPr>
      <w:r>
        <w:rPr>
          <w:rFonts w:ascii="Microsoft YaHei" w:hAnsi="Microsoft YaHei" w:eastAsia="Microsoft YaHei"/>
          <w:sz w:val="14"/>
        </w:rPr>
        <w:t>注：本表只汇总冻结接口。资格优先级为 FINAL_SCIENTIFIC_FREEZE &gt; FINAL_PAPER_PATCH_CONTRACT &gt; FINAL_RESULT_INDEX_V2。</w:t>
      </w:r>
    </w:p>
    <w:sectPr w:rsidR="00FC693F" w:rsidRPr="0006063C" w:rsidSect="00034616">
      <w:pgSz w:w="15840" w:h="12240" w:orient="landscape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