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24"/>
        </w:rPr>
        <w:t>表 2 Q1 质量代理构造与主分母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</w:trPr>
        <w:tc>
          <w:tcPr>
            <w:tcW w:type="dxa" w:w="2677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项目</w:t>
            </w:r>
          </w:p>
        </w:tc>
        <w:tc>
          <w:tcPr>
            <w:tcW w:type="dxa" w:w="2677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冻结定义或数值</w:t>
            </w:r>
          </w:p>
        </w:tc>
        <w:tc>
          <w:tcPr>
            <w:tcW w:type="dxa" w:w="2677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单位/分母</w:t>
            </w:r>
          </w:p>
        </w:tc>
        <w:tc>
          <w:tcPr>
            <w:tcW w:type="dxa" w:w="2677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资格</w:t>
            </w:r>
          </w:p>
        </w:tc>
      </w:tr>
      <w:tr>
        <w:tc>
          <w:tcPr>
            <w:tcW w:type="dxa" w:w="267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可用性组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 个特征，组内等权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0–1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严格完整案例</w:t>
            </w:r>
          </w:p>
        </w:tc>
      </w:tr>
      <w:tr>
        <w:tc>
          <w:tcPr>
            <w:tcW w:type="dxa" w:w="2677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知识组</w:t>
            </w:r>
          </w:p>
        </w:tc>
        <w:tc>
          <w:tcPr>
            <w:tcW w:type="dxa" w:w="2677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 个特征，组内等权</w:t>
            </w:r>
          </w:p>
        </w:tc>
        <w:tc>
          <w:tcPr>
            <w:tcW w:type="dxa" w:w="2677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0–1</w:t>
            </w:r>
          </w:p>
        </w:tc>
        <w:tc>
          <w:tcPr>
            <w:tcW w:type="dxa" w:w="2677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严格完整案例</w:t>
            </w:r>
          </w:p>
        </w:tc>
      </w:tr>
      <w:tr>
        <w:tc>
          <w:tcPr>
            <w:tcW w:type="dxa" w:w="267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教育推理组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 个特征，组内等权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0–1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严格完整案例</w:t>
            </w:r>
          </w:p>
        </w:tc>
      </w:tr>
      <w:tr>
        <w:tc>
          <w:tcPr>
            <w:tcW w:type="dxa" w:w="2677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Q_baseline</w:t>
            </w:r>
          </w:p>
        </w:tc>
        <w:tc>
          <w:tcPr>
            <w:tcW w:type="dxa" w:w="2677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三组等权；缺失不重分配</w:t>
            </w:r>
          </w:p>
        </w:tc>
        <w:tc>
          <w:tcPr>
            <w:tcW w:type="dxa" w:w="2677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0–1</w:t>
            </w:r>
          </w:p>
        </w:tc>
        <w:tc>
          <w:tcPr>
            <w:tcW w:type="dxa" w:w="2677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操作性质量代理</w:t>
            </w:r>
          </w:p>
        </w:tc>
      </w:tr>
      <w:tr>
        <w:tc>
          <w:tcPr>
            <w:tcW w:type="dxa" w:w="267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物理记录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272505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全量口径</w:t>
            </w:r>
          </w:p>
        </w:tc>
      </w:tr>
      <w:tr>
        <w:tc>
          <w:tcPr>
            <w:tcW w:type="dxa" w:w="2677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唯一键</w:t>
            </w:r>
          </w:p>
        </w:tc>
        <w:tc>
          <w:tcPr>
            <w:tcW w:type="dxa" w:w="2677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261086</w:t>
            </w:r>
          </w:p>
        </w:tc>
        <w:tc>
          <w:tcPr>
            <w:tcW w:type="dxa" w:w="2677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个</w:t>
            </w:r>
          </w:p>
        </w:tc>
        <w:tc>
          <w:tcPr>
            <w:tcW w:type="dxa" w:w="2677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去重口径</w:t>
            </w:r>
          </w:p>
        </w:tc>
      </w:tr>
      <w:tr>
        <w:tc>
          <w:tcPr>
            <w:tcW w:type="dxa" w:w="267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主 Q 有效/缺失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261067 / 19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唯一键</w:t>
            </w:r>
          </w:p>
        </w:tc>
        <w:tc>
          <w:tcPr>
            <w:tcW w:type="dxa" w:w="26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 特征严格完整案例</w:t>
            </w:r>
          </w:p>
        </w:tc>
      </w:tr>
    </w:tbl>
    <w:p>
      <w:pPr>
        <w:spacing w:before="100"/>
      </w:pPr>
      <w:r>
        <w:rPr>
          <w:rFonts w:ascii="Microsoft YaHei" w:hAnsi="Microsoft YaHei" w:eastAsia="Microsoft YaHei"/>
          <w:sz w:val="14"/>
        </w:rPr>
        <w:t>注：Q_baseline 只可称为基于冻结信号构造的操作性质量代理；不得称为语义质量金标准或人工真值。</w:t>
      </w:r>
    </w:p>
    <w:sectPr w:rsidR="00FC693F" w:rsidRPr="0006063C" w:rsidSect="00034616">
      <w:pgSz w:w="12240" w:h="15840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