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DC4D5" w14:textId="77777777" w:rsidR="00E749C6" w:rsidRDefault="00E749C6">
      <w:pPr>
        <w:snapToGrid w:val="0"/>
        <w:spacing w:line="312" w:lineRule="auto"/>
        <w:jc w:val="center"/>
      </w:pPr>
      <w:r>
        <w:rPr>
          <w:rFonts w:ascii="华文中宋" w:eastAsia="华文中宋" w:hAnsi="华文中宋"/>
          <w:b/>
          <w:color w:val="000000"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alt="资源 2" style="width:102.5pt;height:65.5pt">
            <v:fill o:detectmouseclick="t"/>
            <v:imagedata r:id="rId6" o:title="资源 2"/>
          </v:shape>
        </w:pic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pict>
          <v:shape id="图片 9" o:spid="_x0000_i1026" type="#_x0000_t75" alt="" style="width:78.5pt;height:75.5pt">
            <v:fill o:detectmouseclick="t"/>
            <v:imagedata r:id="rId7" o:title=""/>
          </v:shape>
        </w:pict>
      </w:r>
      <w:r>
        <w:rPr>
          <w:rFonts w:hint="eastAsia"/>
        </w:rPr>
        <w:t xml:space="preserve">   </w: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begin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instrText xml:space="preserve"> INCLUDEPICTURE "C:\\Users\\li\\Downloads\\华为标志 Huawei Logo (1)\\华为标志 Huawei Logo 2018\\竖版标志Vertical Version\\CMYK\\JPG\\HW_POS_CMYK_Vertical-300ppi.jpg" \* MERGEFORMATINET </w:instrTex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separate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pict>
          <v:shape id="_x0000_i1027" type="#_x0000_t75" style="width:79.5pt;height:79.5pt">
            <v:imagedata r:id="rId8" r:href="rId9"/>
          </v:shape>
        </w:pic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end"/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 w:rsidR="002763FE" w:rsidRPr="00FF6707">
        <w:rPr>
          <w:noProof/>
        </w:rPr>
        <w:pict>
          <v:shape id="_x0000_i1028" type="#_x0000_t75" style="width:68.5pt;height:64.5pt;visibility:visible">
            <v:imagedata r:id="rId10" o:title="" cropright="46893f"/>
          </v:shape>
        </w:pict>
      </w:r>
      <w:r w:rsidR="00B673B5"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</w:p>
    <w:p w14:paraId="16E4E776" w14:textId="77777777" w:rsidR="00E749C6" w:rsidRDefault="00E749C6">
      <w:pPr>
        <w:snapToGrid w:val="0"/>
        <w:spacing w:line="312" w:lineRule="auto"/>
        <w:jc w:val="center"/>
        <w:rPr>
          <w:rFonts w:ascii="华文中宋" w:eastAsia="华文中宋" w:hAnsi="华文中宋"/>
          <w:b/>
          <w:color w:val="000000"/>
          <w:sz w:val="36"/>
          <w:szCs w:val="36"/>
        </w:rPr>
      </w:pPr>
    </w:p>
    <w:p w14:paraId="669069AA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bookmarkStart w:id="0" w:name="OLE_LINK1"/>
      <w:bookmarkStart w:id="1" w:name="OLE_LINK2"/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4D3289C1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</w:t>
      </w:r>
      <w:bookmarkEnd w:id="0"/>
      <w:bookmarkEnd w:id="1"/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26DB99A4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51A1EAF7" w14:textId="77777777" w:rsidR="00E749C6" w:rsidRDefault="00E749C6">
      <w:pPr>
        <w:spacing w:line="20" w:lineRule="atLeast"/>
        <w:jc w:val="center"/>
        <w:rPr>
          <w:rFonts w:hint="eastAsia"/>
          <w:sz w:val="44"/>
          <w:szCs w:val="44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842"/>
        <w:gridCol w:w="6512"/>
      </w:tblGrid>
      <w:tr w:rsidR="00E749C6" w14:paraId="64CA028E" w14:textId="77777777">
        <w:trPr>
          <w:trHeight w:val="1134"/>
          <w:jc w:val="center"/>
        </w:trPr>
        <w:tc>
          <w:tcPr>
            <w:tcW w:w="1842" w:type="dxa"/>
            <w:tcBorders>
              <w:bottom w:val="single" w:sz="12" w:space="0" w:color="auto"/>
            </w:tcBorders>
            <w:vAlign w:val="bottom"/>
          </w:tcPr>
          <w:p w14:paraId="4BBFDD06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校</w:t>
            </w:r>
          </w:p>
        </w:tc>
        <w:tc>
          <w:tcPr>
            <w:tcW w:w="6512" w:type="dxa"/>
            <w:tcBorders>
              <w:bottom w:val="single" w:sz="12" w:space="0" w:color="auto"/>
            </w:tcBorders>
          </w:tcPr>
          <w:p w14:paraId="1A8EFA1C" w14:textId="77777777" w:rsidR="00E749C6" w:rsidRDefault="00E749C6">
            <w:pPr>
              <w:spacing w:line="20" w:lineRule="atLeast"/>
              <w:rPr>
                <w:rFonts w:hint="eastAsia"/>
                <w:b/>
                <w:sz w:val="36"/>
                <w:szCs w:val="36"/>
              </w:rPr>
            </w:pPr>
          </w:p>
          <w:p w14:paraId="7A1DD039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79DBCC08" w14:textId="77777777">
        <w:trPr>
          <w:trHeight w:val="1134"/>
          <w:jc w:val="center"/>
        </w:trPr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4D0F880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12" w:space="0" w:color="auto"/>
            </w:tcBorders>
          </w:tcPr>
          <w:p w14:paraId="4FDA0417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2FEE8C9E" w14:textId="77777777">
        <w:trPr>
          <w:trHeight w:val="625"/>
          <w:jc w:val="center"/>
        </w:trPr>
        <w:tc>
          <w:tcPr>
            <w:tcW w:w="1842" w:type="dxa"/>
            <w:vMerge w:val="restart"/>
            <w:tcBorders>
              <w:top w:val="single" w:sz="12" w:space="0" w:color="auto"/>
            </w:tcBorders>
            <w:vAlign w:val="center"/>
          </w:tcPr>
          <w:p w14:paraId="002F3B68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8" w:space="0" w:color="auto"/>
            </w:tcBorders>
          </w:tcPr>
          <w:p w14:paraId="2F06B8DC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:rsidR="00E749C6" w14:paraId="7C097089" w14:textId="77777777">
        <w:trPr>
          <w:trHeight w:val="625"/>
          <w:jc w:val="center"/>
        </w:trPr>
        <w:tc>
          <w:tcPr>
            <w:tcW w:w="1842" w:type="dxa"/>
            <w:vMerge/>
            <w:vAlign w:val="center"/>
          </w:tcPr>
          <w:p w14:paraId="6D955034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8" w:space="0" w:color="auto"/>
            </w:tcBorders>
          </w:tcPr>
          <w:p w14:paraId="1432CDAF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:rsidR="00E749C6" w14:paraId="208EFDFC" w14:textId="77777777">
        <w:trPr>
          <w:trHeight w:val="625"/>
          <w:jc w:val="center"/>
        </w:trPr>
        <w:tc>
          <w:tcPr>
            <w:tcW w:w="1842" w:type="dxa"/>
            <w:vMerge/>
            <w:tcBorders>
              <w:bottom w:val="single" w:sz="12" w:space="0" w:color="auto"/>
            </w:tcBorders>
            <w:vAlign w:val="center"/>
          </w:tcPr>
          <w:p w14:paraId="112F404B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12" w:space="0" w:color="auto"/>
            </w:tcBorders>
          </w:tcPr>
          <w:p w14:paraId="5CC22EEC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 w14:paraId="28B275C1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615C3258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90453E1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612A686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/>
          <w:color w:val="333333"/>
          <w:kern w:val="0"/>
          <w:sz w:val="32"/>
          <w:szCs w:val="32"/>
        </w:rPr>
      </w:pPr>
    </w:p>
    <w:p w14:paraId="348B169B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56EF0D6D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BE2F5A0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36"/>
          <w:szCs w:val="36"/>
        </w:rPr>
      </w:pPr>
    </w:p>
    <w:p w14:paraId="3CF5CB99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3C908992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0FFA697A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14AD3315" w14:textId="77777777" w:rsidR="00E749C6" w:rsidRDefault="00E749C6">
      <w:pPr>
        <w:spacing w:line="360" w:lineRule="auto"/>
        <w:jc w:val="left"/>
        <w:rPr>
          <w:rFonts w:ascii="宋体" w:hAnsi="宋体"/>
          <w:sz w:val="28"/>
        </w:rPr>
      </w:pPr>
    </w:p>
    <w:p w14:paraId="538D643A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  <w:r>
        <w:rPr>
          <w:rFonts w:ascii="Times New Roman" w:hAnsi="Times New Roman" w:eastAsia="黑体" w:cs="Times New Roman"/>
          <w:b/>
          <w:color w:val="000000"/>
          <w:sz w:val="30"/>
        </w:rPr>
        <w:t>题  目：算力约束下提升大语言模型能力的资源配置建模</w:t>
      </w:r>
    </w:p>
    <w:p w14:paraId="724AD65D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</w:p>
    <w:p w14:paraId="3C0EB10F" w14:textId="77777777" w:rsidR="00E749C6" w:rsidRDefault="00E749C6">
      <w:pPr>
        <w:spacing w:line="360" w:lineRule="auto"/>
        <w:jc w:val="center"/>
        <w:rPr>
          <w:rFonts w:ascii="隶书" w:eastAsia="隶书" w:hAnsi="宋体"/>
          <w:sz w:val="36"/>
        </w:rPr>
      </w:pPr>
      <w:r>
        <w:rPr>
          <w:rFonts w:ascii="Times New Roman" w:hAnsi="Times New Roman" w:eastAsia="黑体" w:cs="Times New Roman"/>
          <w:b/>
          <w:color w:val="000000"/>
          <w:sz w:val="30"/>
        </w:rPr>
        <w:t>摘  要</w:t>
      </w:r>
    </w:p>
    <w:p w14:paraId="1AAB6F48" w14:textId="77777777" w:rsidR="00E749C6" w:rsidRDefault="00E749C6">
      <w:pPr>
        <w:spacing w:line="276" w:lineRule="auto" w:after="0"/>
        <w:ind w:firstLineChars="200" w:firstLine="420"/>
        <w:jc w:val="both"/>
        <w:rPr>
          <w:rFonts w:ascii="隶书" w:eastAsia="隶书" w:hAnsi="宋体"/>
          <w:sz w:val="36"/>
        </w:rPr>
      </w:pPr>
      <w:r>
        <w:rPr>
          <w:rFonts w:ascii="Times New Roman" w:hAnsi="Times New Roman" w:eastAsia="宋体" w:cs="Times New Roman"/>
          <w:color w:val="000000"/>
          <w:sz w:val="21"/>
        </w:rPr>
        <w:t>本文围绕算力约束下大语言模型的质量评价、条件标度、资源配置和 Benchmark 情景建立来源分层框架。问题一对 272505 条物理记录去重得到 261086 个唯一键，其中 261067 条满足 11 个主特征完整案例。Q_baseline 定位为操作性质量代理；A2/A3 全局判据分别通过 1/4 和 3/4，扩展仅部分稳定；作者盲审总体质量相关为 n=47、ρ=0.032696、95% 区间 [-0.253384,0.315957]，未形成稳定正向一致性。问题二冻结 B1 来源内模型 L0=1.6897976+0.3539803N_B^-0.3399766+1.2403056D_B^-0.2798781。B3 同源插值获支持，B2/B4/B5 失败，B9/B10 仅为 OOS 压力或估算情景，因此正式结论是分层估计、联合表达的条件广义标度律，而非统一四变量多源验证。问题三保持冻结：在 M0_B1、H=2048、Q 不识别且不优化、p 固定时，1e18、1e20、1e22 FLOPs 的条件最优 (N_B,D_B,Loss) 分别为 (0.078248576,1.993850677,3.553996156)、(0.625922700,24.925757775,2.609142026) 和 (5.202388053,299.893000000,2.143211279)，最后一档 D_B 触及支持上界。问题四在 25 个模型、10 个族上直接建模 Benchmark；IFEval 与 MUSR 选 M0，其余四任务及辅助均值选 M1，所有 M2 均未过升级门槛。端点窗口样本相同使规模与非规模增量均为 0、比例不可定义；以 2025-01-28 为原点的 12/24 月三情景全部为 SCENARIO_ONLY_UNVALIDATED，Loss 到 Benchmark 转换次数为 0。本文给出的是冻结模型与支持域内的条件资源配置和未验证情景，不把质量代理、失败验证或情景数值升级为人工真值、普适标度律或已验证预测。</w:t>
      </w:r>
    </w:p>
    <w:p w14:paraId="1633A361" w14:textId="77777777" w:rsidR="00E749C6" w:rsidRDefault="00E749C6">
      <w:pPr>
        <w:spacing w:line="360" w:lineRule="auto" w:before="100"/>
        <w:jc w:val="left"/>
        <w:rPr>
          <w:rFonts w:ascii="隶书" w:eastAsia="隶书" w:hAnsi="宋体" w:hint="eastAsia"/>
          <w:sz w:val="36"/>
        </w:rPr>
      </w:pPr>
      <w:r>
        <w:rPr>
          <w:rFonts w:ascii="Times New Roman" w:hAnsi="Times New Roman" w:eastAsia="黑体" w:cs="Times New Roman"/>
          <w:b/>
          <w:color w:val="000000"/>
          <w:sz w:val="22"/>
        </w:rPr>
        <w:t>关键词：</w:t>
      </w:r>
      <w:r>
        <w:rPr>
          <w:rFonts w:ascii="Times New Roman" w:hAnsi="Times New Roman" w:eastAsia="宋体" w:cs="Times New Roman"/>
          <w:color w:val="000000"/>
          <w:sz w:val="22"/>
        </w:rPr>
        <w:t>大语言模型；数据质量；条件标度律；算力约束；资源配置；未验证情景</w:t>
      </w:r>
      <w:r>
        <w:br w:type="page"/>
      </w:r>
    </w:p>
    <w:p>
      <w:pPr>
        <w:pStyle w:val="1"/>
        <w:pageBreakBefore w:val="0"/>
      </w:pPr>
      <w:r>
        <w:t>目录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 引言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2 问题重述与总体思路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3 数据 假设与符号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4 问题一 数据质量评价与领域配比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5 问题二 条件广义标度律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6 问题三 算力预算下的条件优化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7 问题四 Benchmark分解与未来情景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8 统一验证与灵敏度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9 模型评价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10 改进与推广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11 结论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12 参考文献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13 附录与复现说明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 w:cs="Times New Roman"/>
          <w:b/>
          <w:color w:val="000000"/>
          <w:sz w:val="28"/>
        </w:rPr>
        <w:t>1 引言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大语言模型训练同时受参数规模、训练数据量、数据质量、领域配比和算力预算约束。经典标度律以参数量和 token 数解释验证损失的经验变化〔REF-01〕〔REF-02〕，但这些关系通常不能直接回答质量信号是否可迁移、领域配比能否跨尺度运输，以及有限预算应如何在不同资源之间分配。下游 Benchmark 还引入另一层困难：交叉熵损失与任务得分来自不同观测体系，相关关系不自动构成可迁移预测桥。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本文按证据来源和识别资格组织四问。问题一先建立 A 侧质量代理与配比模型；问题二冻结 B1 来源内标度模型，并将质量与配比放入来源分层表达；问题三在已冻结的 B1 模型和支持域内求条件最优 N 与 D；问题四直接使用 Benchmark 数据选择任务级模型，并将未来结果限定为预注册数学网格下的未验证情景。全文不把弱人工相关、外部验证失败、支持域外压力样本或带时间项的未升级模型改写成肯定性结论。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2 问题重述与总体思路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2.1 问题一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问题一要求统一不同方向和类型的质量指标，识别指标冲突，形成样本级质量评价，并研究 17 维领域配比与 13 个验证领域损失之间的关系。关键约束是：缺失记录不能被填零掩盖；扩展集与抽样集的稳定性必须单独检查；人工盲审只能按实际成对有效分母统计。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2.2 问题二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问题二要求在参数规模 N、数据量 D、质量 Q 和配比 p 之间建立广义关系，并给出边际效用、弹性和替代条件。A 侧质量与 B 侧质量没有配对标定，RegMix 配比与 B1 标度实验也不在同一来源，因此正式模型采用分层估计和联合表达，避免把跨来源情景误写成联合拟合。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2.3 问题三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问题三要求在总算力预算下配置 N、D、Q 和 p。冻结结果已经确定正式主情景只优化 N 与 D，H 外生给定，Q 为未识别且未优化，p 固定为 p0。质量成本、配比运输和方向冲突只进入敏感性情景，不改变主结果。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2.4 问题四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问题四要求区分规模与非规模进步，并给出未来 12 个月和 24 个月的能力情景。本文分别处理直接 Benchmark 模型、Loss-Benchmark 桥接、历史 compute 增长识别和未来数学网格。直接 Benchmark 情景的原点固定为 2025-01-28；历史 compute 增长不可识别的旧接口日期不用于这些数值情景。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2.5 技术路线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全文采用四层证据结构：来源内条件关系、跨来源情景、不可识别量和冲突证据。每一层分别给出数据分母、支持范围、验证结果和资格。模型建立后依次执行分母审计、单位审计、支持域审计、独立复算和资格一致性检查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1  四问数据流、冻结接口与资格分层技术路线  [FIG-00 待接入]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3 数据、假设与符号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3.1 数据来源与分母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A1 至 A3 合计 272505 条物理记录，按 (id, sub_path) 去重后得到 261086 个唯一键。主质量分要求 11 个特征全部有限且可用，得到 261067 条有效记录和 19 条缺失记录。领域配比支路使用 17 维非负单纯形输入和 13 个验证领域损失；1M 数据用于同尺度检验，60M 与 1B 只用于跨尺度运输诊断，10B 与 70B 为估算情景。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B1 提供参数规模与数据量的来源内标度数据，经验支持框为 N_B∈[0.070542,11.965825]、D_B∈[0.134,299.893]。B6 提供 0.1≤Q_score≤0.6 范围内的来源内质量关系。B2、B3、B4、B5、B9 和 B10 具有不同数据性质，必须分别验证，不能合并计算总 RMSE。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问题四直接 Benchmark 主样本包含 25 个预训练、开放权重、许可和身份明确的模型，覆盖 10 个模型族。C1 与 C2 的共同 4576 行在容差内等价，只视为同一批观测。端点分解对 M1 任务使用 23 个 compute 有效模型；M0 任务不使用规模中心。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3.2 模型假设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1. 不同来源保留 observed、semisynthetic、interpolated、estimated 等原始性质，不因进入同一流程而视为同质证据。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2. N_B 和 D_B 分别以十亿参数和十亿 token 表示；算力公式使用物理 N 与 D，代入前必须乘以 10^9。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3. Q_baseline 只对 11 个主特征完整的记录定义。缺失记录保留，但不填零、不重分配权重。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4. 主质量分采用三个可解释组的组内等权和组间等权。该规则用于可复现聚合，不代表人工真值。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5. A2 与 A3 的扩展冲突资格固定为 PARTIALLY_STABLE；共同有效域不足时，域级门槛为 NOT_EVALUABLE。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6. 作者盲审在 sampling seal 后完成；无效或缺失评分不修复、不插补、不重抽样。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7. M0_B1 只在 B1 来源和经验支持框内解释；跨来源验证失败不触发重拟合。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8. B6 的加法质量项只在 B6 来源与冻结质量范围内成立；A 侧 Q 与 B 侧 Q_score 不进行无证据标定。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9. 配比运输只作为情景。固定领域质量向量时，Q_mix=p^Tq 位于 p 的列空间，因此 Q 与完整 p 不作为独立自由坐标同时解释。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10. 问题三正式主情景只优化 N_B 与 D_B；Q 为 NOT_IDENTIFIED_NOT_OPTIMIZED，p 为 FIXED_P0_NOT_OPTIMIZED。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11. 问题四的任务模型分别选择 M0 或 M1；M2 在所有任务和辅助均值上均未通过升级门槛。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12. 问题四的未来 compute 增长率来自冻结的 1.0、1.5、2.0 年乘数数学网格，不是历史估计。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13. 未来数值全部为 SCENARIO_ONLY_UNVALIDATED；Loss-Benchmark 桥接保持 CONDITIONAL_ASSOCIATION_ONLY，且不参与直接 Benchmark 数值计算。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3.3 主要符号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1  主要符号与资格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符号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单位或范围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资格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N_B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参数规模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十亿参数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支持框内解释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D_B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训练数据量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十亿 token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支持框内解释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Q_baseline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 侧主质量分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 至 1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操作性质量代理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Q_score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B6 质量水平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0.1 至 0.6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B6 来源内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17 维领域配比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非负且和为 1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Q1 来源内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交叉熵验证损失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Loss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 侧输出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上下文长度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2048 至 131072 的冻结集合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外生变量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总训练计算量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FLOPs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问题三预算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b_C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对 log10(compute) 的斜率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点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 来源内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Δ_scale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冻结端点规模增量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点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本次为 0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Δ_non_scale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冻结端点非规模增量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点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本次为 0</w:t>
            </w:r>
          </w:p>
        </w:tc>
      </w:tr>
    </w:tbl>
    <w:p>
      <w:pPr>
        <w:spacing w:after="0"/>
      </w:pP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4 问题一 数据质量评价与领域配比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4.1 质量代理的构造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质量处理依次完成字段审计、多维字段标量化、方向统一、归一化和分组聚合。设第 g 组包含 m_g 个方向统一后的特征 z_gj，则记录 i 的组得分和主质量分定义为：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sSub>
                <m:e>
                  <m:r>
                    <m:t>Q</m:t>
                  </m:r>
                </m:e>
                <m:sub>
                  <m:r>
                    <m:t>ig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ig1</m:t>
                      </m:r>
                    </m:sub>
                  </m:sSub>
                  <m:r>
                    <m:t>+⋯+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ig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  <m:r>
                <m:t>,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i1</m:t>
                      </m:r>
                    </m:sub>
                  </m:sSub>
                  <m:r>
                    <m:t>+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i2</m:t>
                      </m:r>
                    </m:sub>
                  </m:sSub>
                  <m:r>
                    <m:t>+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i3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(1)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三组先分别等权，再进行组间等权。该结构避免特征数量较多的组自动获得更高权重。任一主特征缺失时，Q_valid=False，Q_baseline 保持缺失。主结果得到 261067 条有效记录，覆盖率为 261067/261086；其余 19 条只保留在分母审计中。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主质量分是冻结信号下的操作性代理。它能支持同一处理规则下的排序、分层和敏感性比较，但不代表真实语义质量，也不因数值范围为 0 至 1 而获得人工标定含义。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4.2 冲突诊断与扩展稳定性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本文使用三个质量组之间的范围和标准差诊断冲突，并保持预先声明的等组权消解规则。扩展检验不重建主质量分，而是检查冲突现象在 A2 和 A3 是否保持。A2 的四个全局判据通过 1 个，A3 通过 3 个，共同资格为 PARTIALLY_STABLE；两者共同有效域均只有 1 个，低于预注册门槛，因此域级结论为 NOT_EVALUABLE。没有观察到一致方向反转，但也不能据此宣称跨域结构稳定。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2  主质量覆盖、扩展冲突稳定性与作者盲审效应量  [FIG-Q1-01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4.3 作者盲审核验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抽样 seal 固定 60 个 review_id、7 个域和种子 20260925，评分发生在 seal 之后。作者表解析得到 46 条四项完整评分、1 条部分评分、10 条结构性无效记录和 3 条缺失记录。10 条无效记录包含越界候选且字段对齐无法无歧义恢复，因此不猜测修正。各统计量严格使用对应指标的成对有效分母。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2  作者盲审与质量代理的相关结果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核验项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有效分母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Spearman ρ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95% bootstrap 区间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解释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与总体质量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0.032696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[-0.253384, 0.315957]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未显示稳定正向一致性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与可读性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-0.293551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[-0.568145, 0.000325]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方向不稳定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与完整性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0.055104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[-0.290693, 0.362965]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描述性结果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与污染分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0.058878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[-0.252439, 0.371249]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污染分越低越好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表 2 的结果不用于重新选择特征或修改阈值。总体质量相关接近 0，可读性相关为负且区间触及 0，其他指标也没有稳定正向证据，因此人工核验只能作为质量代理解释边界的一部分。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4.4 领域配比模型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设 p 为 17 维训练领域配比，满足 p_j≥0 且 Σp_j=1；对 13 个验证领域分别拟合线性损失响应。冻结同尺度 1M 检验中，相对逐域训练均值基线的等域 MSE 改善为 55.03%，Spearman 为 0.62507。60M 与 1B 结果只用于跨尺度运输诊断，10B 与 70B 仅为估算情景。因配比分量存在单纯形共线性，单个系数不解释为 17 个相互独立的因果效应。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3  领域配比同尺度检验与跨尺度运输诊断  [FIG-Q1-02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4.5 问题一结论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Q_baseline 在冻结信号和严格完整案例规则下可复现，但扩展冲突仅部分稳定，有限作者盲审没有显示稳定正向一致性。配比模型在 1M 同尺度检验中提供来源内支持，跨尺度结果只构成运输诊断。由此，问题一向后续问题提供质量代理、配比方向和明确的识别边界，而不提供人工真值或无条件跨尺度参数。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5 问题二 条件广义标度律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5.1 B1 来源内主模型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正式主模型保持为参数规模与数据量的加性幂律：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t>,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  <m:r>
                <m:t>)=E+A</m:t>
              </m:r>
              <m:sSubSup>
                <m:e>
                  <m:r>
                    <m:t>N</m:t>
                  </m:r>
                </m:e>
                <m:sub>
                  <m:r>
                    <m:t>B</m:t>
                  </m:r>
                </m:sub>
                <m:sup>
                  <m:r>
                    <m:t>−α</m:t>
                  </m:r>
                </m:sup>
              </m:sSubSup>
              <m:r>
                <m:t>+B</m:t>
              </m:r>
              <m:sSubSup>
                <m:e>
                  <m:r>
                    <m:t>D</m:t>
                  </m:r>
                </m:e>
                <m:sub>
                  <m:r>
                    <m:t>B</m:t>
                  </m:r>
                </m:sub>
                <m:sup>
                  <m:r>
                    <m:t>−β</m:t>
                  </m:r>
                </m:sup>
              </m:sSubSup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(2)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冻结参数为 E=1.6897975629820348、A=0.3539803206065571、B=1.2403055835426349、α=0.339976581941082、β=0.2798781285468448。参数资格为 IDENTIFIED_SOURCE_CONDITIONAL，只适用于 B1 与其经验支持框。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3  M0_B1参数与支持框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3119"/>
        <w:gridCol w:w="3119"/>
        <w:gridCol w:w="3119"/>
      </w:tblGrid>
      <w:tr>
        <w:trPr>
          <w:tblHeader w:val="true"/>
        </w:trP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参数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冻结值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解释资格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1.6897975629820348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来源内不可约项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0.3539803206065571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来源内参数项系数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1.2403055835426349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来源内数据项系数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α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0.339976581941082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来源内参数指数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β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0.2798781285468448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来源内数据指数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N_B 支持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[0.070542, 11.965825]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超出范围为 OOS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D_B 支持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[0.134, 299.893]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超出范围为 OOS</w:t>
            </w:r>
          </w:p>
        </w:tc>
      </w:tr>
    </w:tbl>
    <w:p>
      <w:pPr>
        <w:spacing w:after="0"/>
      </w:pP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5.2 分来源验证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验证按来源单独计算，不合并半合成、插值、公开观测和估算记录。B2、B4、B5 均保留失败结论；B3 的支持来自同源 Pythia 插值，不构成独立外部复制。B9 与 B10 的参数规模均为 100B 至 10000B，全部超出 B1 的 N_B 上界。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4  分来源验证结果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来源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原始记录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支持内/OOS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RMSE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最终资格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1029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120/909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2.03943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VALIDATION_FAILED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4000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4000/0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0.00382128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VALIDATION_SUPPORTED，同源插值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8/49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0.411194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VALIDATION_FAILED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8/36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0.201239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VALIDATION_FAILED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132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0/132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不可计算真实误差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OOS_STRESS_ONLY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0/128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0.00109383，仅对估算参考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ESTIMATED_SCENARIO_ONLY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B2 表现为系统性低估；B4 和 B5 的支持内样本及族数很少，仍不足以升级模型。所有失败结果都不因方向不利而被删除，也不触发主模型重拟合。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4  B1来源内拟合与分来源验证  [FIG-Q2-01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5.3 质量与配比的分层表达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B6 的来源内加法质量项定义为：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sSub>
                <m:e>
                  <m:r>
                    <m:t>Δ</m:t>
                  </m:r>
                </m:e>
                <m:sub>
                  <m:r>
                    <m:t>Q</m:t>
                  </m:r>
                </m:sub>
              </m:sSub>
              <m:r>
                <m:t>(</m:t>
              </m:r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  <m:r>
                <m:t>)=−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add</m:t>
                  </m:r>
                </m:sub>
              </m:sSub>
              <m:r>
                <m:t>(</m:t>
              </m:r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  <m:r>
                <m:t>−0.6)</m:t>
              </m:r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(3)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其中 k_add=0.3544081081063713，只在 B6 来源和 0.1≤Q_score≤0.6 内成立。A 侧 Q_baseline 与 B 侧 Q_score 没有新增标定，映射 h_s 只使用冻结情景。配比项采用 RegMix 冻结系数 c 与参考配比 p0。正式联合表达为：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sSubSup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gen</m:t>
                  </m:r>
                </m:sub>
                <m:sup>
                  <m:r>
                    <m:t>s</m:t>
                  </m:r>
                </m:sup>
              </m:sSubSup>
              <m:r>
                <m:t>=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t>+</m:t>
              </m:r>
              <m:sSubSup>
                <m:e>
                  <m:r>
                    <m:t>ρ</m:t>
                  </m:r>
                </m:e>
                <m:sub>
                  <m:r>
                    <m:t>Q</m:t>
                  </m:r>
                </m:sub>
                <m:sup>
                  <m:r>
                    <m:t>s</m:t>
                  </m:r>
                </m:sup>
              </m:sSubSup>
              <m:sSub>
                <m:e>
                  <m:r>
                    <m:t>Δ</m:t>
                  </m:r>
                </m:e>
                <m:sub>
                  <m:r>
                    <m:t>Q</m:t>
                  </m:r>
                </m:sub>
              </m:sSub>
              <m:r>
                <m:t>(</m:t>
              </m:r>
              <m:sSub>
                <m:e>
                  <m:r>
                    <m:t>h</m:t>
                  </m:r>
                </m:e>
                <m:sub>
                  <m:r>
                    <m:t>s</m:t>
                  </m:r>
                </m:sub>
              </m:sSub>
              <m:r>
                <m:t>(</m:t>
              </m:r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  <m:r>
                <m:t>))+</m:t>
              </m:r>
              <m:sSubSup>
                <m:e>
                  <m:r>
                    <m:t>τ</m:t>
                  </m:r>
                </m:e>
                <m:sub>
                  <m:r>
                    <m:t>p</m:t>
                  </m:r>
                </m:sub>
                <m:sup>
                  <m:r>
                    <m:t>s</m:t>
                  </m:r>
                </m:sup>
              </m:sSubSup>
              <m:sSup>
                <m:e>
                  <m:r>
                    <m:t>c</m:t>
                  </m:r>
                </m:e>
                <m:sup>
                  <m:r>
                    <m:t>T</m:t>
                  </m:r>
                </m:sup>
              </m:sSup>
              <m:r>
                <m:t>(p−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(4)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上式的三个模块具有不同来源资格。L0 来源于 B1；质量项只在 B6 来源内识别，跨来源时为情景；配比项只在 RegMix 同尺度来源内具有支持，向 B1 运输为情景。因此，L_gen^(s) 是分层估计后的联合表达，不是统一联合拟合。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5.4 边际效用、弹性与替代条件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对 B1 主模型求偏导得到：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f>
                <m:fPr>
                  <m:type m:val="bar"/>
                </m:fPr>
                <m:num>
                  <m:r>
                    <m:t>∂L</m:t>
                  </m:r>
                </m:num>
                <m:den>
                  <m:r>
                    <m:t>∂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t>=−αA</m:t>
              </m:r>
              <m:sSubSup>
                <m:e>
                  <m:r>
                    <m:t>N</m:t>
                  </m:r>
                </m:e>
                <m:sub>
                  <m:r>
                    <m:t>B</m:t>
                  </m:r>
                </m:sub>
                <m:sup>
                  <m:r>
                    <m:t>−α−1</m:t>
                  </m:r>
                </m:sup>
              </m:sSubSup>
              <m:r>
                <m:t>,</m:t>
              </m:r>
              <m:f>
                <m:fPr>
                  <m:type m:val="bar"/>
                </m:fPr>
                <m:num>
                  <m:r>
                    <m:t>∂L</m:t>
                  </m:r>
                </m:num>
                <m:den>
                  <m:r>
                    <m:t>∂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t>=−βB</m:t>
              </m:r>
              <m:sSubSup>
                <m:e>
                  <m:r>
                    <m:t>D</m:t>
                  </m:r>
                </m:e>
                <m:sub>
                  <m:r>
                    <m:t>B</m:t>
                  </m:r>
                </m:sub>
                <m:sup>
                  <m:r>
                    <m:t>−β−1</m:t>
                  </m:r>
                </m:sup>
              </m:sSubSup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(5)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在工作点 N_B=1、D_B=100 时，∂L/∂N_B=-0.120345，∂L/∂D_B=-0.000956624。S03 的冻结条件下，∂L/∂Q_A=-0.354408；保持 Loss 不变的局部替代量约为 dN_B/dQ_A=-2.94493、dD_B/dQ_A=-370.478。这些量只在相应来源与映射情景下成立，不能解释为跨来源因果替代率。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固定领域质量向量 q 时，Q_mix=p^Tq 位于 p 的列空间；设计秩在加入 Q_mix 前后均为 17，相对投影残差为 9.36888e-16。因此，Q_mix 与完整 p 不作为两个独立自由坐标，解释时应固定其中一个或只报告联合可行方向。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5.5 问题二结论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M0_B1 在 B1 支持域内提供来源条件标度关系。外部验证包含失败、同源插值支持、OOS 压力和估算情景，不能概括为跨来源均获支持。质量与配比只通过分层模块进入联合表达，且没有改变问题三冻结数值输入。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6 问题三 算力预算下的条件优化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6.1 冻结优化问题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问题三保持 T07 冻结。主情景 S00_NULL_M0_B1 采用 H=2048，只优化 N_B 与 D_B。物理量为 N=10^9N_B、D=10^9D_B，总成本为：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r>
                <m:t>C=6ND+ηNDH,</m:t>
              </m:r>
              <m:r>
                <m:t>N=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t>,</m:t>
              </m:r>
              <m:r>
                <m:t>D=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(6)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其中 η=2e-4。主情景没有质量成本，Q 为 NOT_IDENTIFIED_NOT_OPTIMIZED，p 为 FIXED_P0_NOT_OPTIMIZED。约束包括预算上界、B1 支持框和变量非负条件。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6.2 三档预算结果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5  算力预算下的冻结条件最优配置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预算 FLOPs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最优 N_B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最优 D_B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预测 Loss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活跃边界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1e18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0.078248576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1.993850677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3.553996156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预算活跃，N/D 在支持内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1e20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0.625922700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24.925757775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2.609142026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预算活跃，N/D 在支持内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1e22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5.202388053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299.893000000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2.143211279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预算活跃，D 达到支持上界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1e22 结果受 D_B 上界支配，不能解释为无约束的真实最优数据规模。全部结果都是冻结模型、B1 支持域、指定预算和外生 H 下的条件最优，不是唯一全局真值。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5  三档预算下的冻结条件最优配置  [FIG-Q3-01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6.3 数值验证与上下文敏感性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主表 75 行中 69 行为 OPTIMAL，6 行为 NO_NUMERIC_OPTIMUM。最大相对预算越界为 9.403629568e-13，最大 KKT residual 为 2.7932317030401693e-08，最大等式残差为 9.403629568e-13。数值解没有通过 clip 或扩大支持域获得。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临界上下文长度为 H_crit=6/η=30000。冻结 H 集合为 2048、4096、8192、32768、131072。H 超过 30000 后，注意力项系数超过训练项；部分预算的活跃边界随 H 改变。这种变化只称为预注册活跃约束和弹性排序意义下的结构转移，不称为物理相变。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6  冻结上下文长度下的活跃约束敏感性  [FIG-Q3-02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6.4 质量成本、配比与冲突情景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三类质量成本 G_EXP、G_POWER 和 G_LOG 均为假设比较，没有任何一种被识别为真实成本。S01 在参考点退化为 null；S03 在较大预算下选择质量上界，但配置和 Loss 依赖成本函数，资格为 SCENARIO_ONLY。S14、S15 和 S16 的配比结果只表示 RegMix 跨来源运输假设下的情景。S17 保持 NO_NUMERIC_OPTIMUM，B8 仅作为方向冲突证据。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6.5 参数不确定性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主模型使用 80 个 B1 整行参数 draw，不进行逐参数独立抽样。三档预算的 Loss 2.5%/50%/97.5% 分位分别为 3.553938/3.553994/3.554101、2.609105/2.609142/2.609161 和 2.143193/2.143212/2.143228。质量情景使用 200 个 B1/B6 条件整行组合，标记为 NOT_JOINT_POSTERIOR，不分配情景概率。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7 问题四 Benchmark分解与未来情景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7.1 直接 Benchmark 建模口径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主样本包含 25 个预训练、开放权重、许可和身份明确的模型，覆盖 10 个模型族。compute 优先采用直接观测；只有 N 与 D 同时为观测值时才使用 6ND。C1 只用于与 C2 做等价和原字段审计，二者共同 4576 行不重复计数。Loss-Benchmark 桥接保持 CONDITIONAL_ASSOCIATION_ONLY，直接 Benchmark 模型没有使用 Loss，数值转换次数为 0。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对每个任务预注册 M0_CONSTANT、M1_SCALE 和 M2_SCALE_TIME 三个嵌套规格。M0 只包含任务常数基线；M1 在常数基线上加入 log10(compute) 项；M2 再加入线性时间项。三个规格按预注册门槛逐级比较。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IFEval 与 MUSR 选择 M0；BBH、MATH Lvl 5、GPQA、MMLU-PRO 及辅助均值选择 M1。所有 M2 都没有通过冻结升级门槛，因此 M2 只用于前沿情景，资格为 SCENARIO_ONLY_UNVALIDATED。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6  任务级模型选择与端点分解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选中模型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M1 的 b_C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Δ_scale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Δ_non_scale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IFEval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M0_CONSTANT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BBH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8.015483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MATH Lvl 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3.704133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GPQA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2.883141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MUSR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M0_CONSTANT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MMLU-PRO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9.616437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六任务均值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4.499295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五个 M1 目标的规模斜率均为正。M2 未升级不改变 M1 的来源内规模关联结论，也不使 M2 的时间项获得验证资格。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7.2 端点规模与非规模分解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冻结起点为 2024-06-17，终点为 2025-01-28。对需要规模中心的 M1 任务，正负 365 天窗口包含完全相同的 23 个 compute 有效模型，集合对称差为 0；M0 任务不使用规模中心。因选中 M1 没有时间项、M0 没有规模或时间项，七个目标的 Δ_scale 与 Δ_non_scale 均严格为 0，恒等误差为 0，比例记为 NOT_DEFINED。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这些零值来自冻结窗口定义与模型结构，不能解释为规模没有作用。事实上，所有选中 M1 的 b_C 都为正。端点分解回答的是冻结窗口中可识别的拟合增量，不是对长期机制的否定。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7.3 未来 12 个月与 24 个月情景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直接 Benchmark 情景原点为 2025-01-28，12 个月和 24 个月时点分别为 2026-01-28 与 2027-01-28。慢速、基准和上限敏感性增长率来自 1.0、1.5、2.0 年乘数数学网格，不是历史数据估计。表中数值单位为 Benchmark 点，全部资格为 SCENARIO_ONLY_UNVALIDATED。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7  未验证的12个月和24个月Benchmark情景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3119"/>
        <w:gridCol w:w="3119"/>
        <w:gridCol w:w="3119"/>
      </w:tblGrid>
      <w:tr>
        <w:trPr>
          <w:tblHeader w:val="true"/>
        </w:trP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12个月 SLOW/BASELINE/UPPER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24个月 SLOW/BASELINE/UPPER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IFEval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27.002799 / 27.647843 / 28.105508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26.676006 / 27.966093 / 28.881424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BBH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34.107388 / 35.451789 / 36.405656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23.122995 / 25.811797 / 27.719532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MATH Lvl 5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3.894673 / 4.913355 / 5.636120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-3.971072 / -1.933709 / -0.488178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GPQA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27.124326 / 27.668664 / 28.054879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22.076170 / 23.164847 / 23.937275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MUSR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32.876304 / 33.105237 / 33.267667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22.580095 / 23.037961 / 23.362822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MMLU-PRO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17.353537 / 19.145090 / 20.416216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4.422898 / 8.006002 / 10.548255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六任务均值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23.511163 / 24.414168 / 25.054860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16.214986 / 18.020997 / 19.302381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同一预测时点内，所有任务均满足 SLOW≤BASELINE≤UPPER_SENSITIVITY。多数任务从 12 个月到 24 个月下降，是未通过升级门槛的 M2 中负时间项绝对值大于正 compute 项所致。MATH Lvl 5 的 24 个月原始值保持为负；范围约束后的 0 只属于敏感性列，不替代主情景值。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7  六任务12个月和24个月三情景结果  [FIG-Q4-01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7.4 不确定性与解释边界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问题四分别报告参数或重采样不确定性、模型选择不确定性、情景结构不确定性和时间外推不确定性，不合并为伪精确置信区间。family-out 与 group split 可评价；primary scale 子集的时间外测试少于 10 个模型，该协议为 NOT_EVALUABLE。历史 compute 增长继续为 NOT_IDENTIFIABLE，因此数学网格不能改写为估计增长率。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7.5 问题四结论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直接 Benchmark 结果支持部分任务的来源内正规模关联，但不支持带时间项模型升级。端点零分解来自相同窗口样本和选中模型结构，不能解释为规模贡献为零。未来数值只表示预注册数学网格与未升级 M2 下的情景，不是经过验证的预测，也不与 Loss 空间数值互相换算。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8 统一验证与灵敏度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本文将验证分为五类。第一，分母验证确保物理记录、唯一键、完整案例和成对有效评分不混用。第二，单位验证确保十亿单位变量进入算力公式前转换为物理量。第三，支持域验证将 B1 内插、来源外推和估算场景分开。第四，数值验证复算预算、KKT 条件、预测公式和窗口分解。第五，资格验证检查摘要、正文、图题、表注和结论是否使用一致限定词。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Q1 的主要灵敏度来自冲突定义、扩展集和人工盲审；结果表明主质量分可复现，但人工一致性弱。Q2 的关键灵敏度来自来源差异；同源插值支持与公开跨族失败同时存在。Q3 的敏感性由 H、质量成本、配比运输和参数整行 draw 构成，均不改变主 null 的资格。Q4 的关键敏感性来自模型选择、时间项和情景网格；M2 未通过升级门槛，因此所有时间外数值保持未验证资格。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9 模型评价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9.1 优点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第一，模型链条保留了数据来源、支持域和有效分母，结果可以逐项回到冻结接口。第二，分层估计避免把不同来源强行合并，能够同时报告支持、失败、OOS 和估算结果。第三，问题三的成本单位、约束与 KKT 审计完整，条件最优解具有明确可行性证据。第四，问题四把直接 Benchmark 建模与 Loss 桥接隔离，避免未经识别的数值换算。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9.2 局限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Q_baseline 依赖操作性信号，有限作者盲审没有显示稳定正向一致性；扩展集也只达到部分稳定。B1 标度参数是来源内关系，B2、B4、B5 验证失败，B9 与 B10 全部超出支持域。A 侧 Q、B 侧 Q_score 和 RegMix 配比之间缺少共同实验设计，不能联合识别。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问题三的高预算解受到 D_B 上界约束；质量成本函数和配比运输系数都没有真实成本或跨来源因果含义。问题四主样本只有 25 个模型和 10 个族，带时间项模型未通过门槛，时间外协议部分不可评价。未来情景在训练时间范围外，且使用数学网格而非历史增长估计。以上限制共同决定了本文结论只能在冻结模型、支持域和情景合同内使用。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10 改进与推广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后续改进应优先补充已经封存抽样规则下的独立人工标签，并设计 A 侧与 B 侧可配对的质量干预实验；这类新数据可用于检验质量代理，而不是回填本轮无效评分。标度律方面，可在预先注册的支持域扩展中增加独立模型族和真实 Loss 观测，避免用估算值替代外部验证。Benchmark 方面，需要更长时间跨度、更多 compute 有效模型和真正的时间外测试，才可能把情景模型升级为预测模型。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在工程应用中，本框架适合作为资格感知的资源规划工具：来源内模型用于可支持的计算，跨来源映射只用于条件比较，OOS 与估算结果单独标记。任何新增数据都应先进入新的科学阶段和预注册验收流程，不能回写本轮冻结结果。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11 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本文完成了从质量代理、领域配比、条件标度律、算力优化到 Benchmark 情景的统一建模。问题一得到覆盖 261067 个唯一键的操作性质量代理，但扩展冲突仅部分稳定，人工盲审没有显示稳定正向一致性。问题二冻结 B1 来源内标度模型，B3 同源插值获得支持，而 B2、B4、B5 外部验证失败；质量和配比只以分层模块进入联合表达。问题三在冻结 M0_B1、H=2048 和 B1 支持域内给出三档预算的条件最优 N_B 与 D_B，最高预算的数据量触及支持上界。问题四在直接 Benchmark 数据上选择任务级 M0 或 M1，所有 M2 均未通过升级门槛；端点分解为零来自窗口与模型结构，未来数值全部为未验证情景。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因此，本研究能够支持的是条件性资源配置与情景比较，而不是人工真值、统一四变量多源验证、唯一全局最优或已验证未来预测。把限定词与数值一同保留，是本模型可复核和可使用的前提。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12 参考文献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本候选稿保留以下稳定引用插槽，尚未接入经核验的最终参考文献资产。所有作者、题名、期刊、年份、卷期、页码和 DOI 必须由 paper/final_references/ 的正式交付物填充，当前不自行补写。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1. 〔REF-01〕经典大语言模型标度律背景文献插槽，对应预检键 kaplan2020scaling。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2. 〔REF-02〕计算最优训练与参数数据配置文献插槽，对应预检键 hoffmann2022training。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3. 〔REF-03〕Pythia 模型族与训练轨迹来源文献插槽，对应预检键 biderman2023pythia。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4. 〔REF-04〕大规模数据筛选与质量评价文献插槽，对应预检键 penedo2024fineweb。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5. 〔REF-05〕质量评价方法背景文献插槽，对应预检键 zhuang2025metarater。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6. 〔REF-06〕标度律解释与理论背景文献插槽，对应预检键 bahri2024explaining。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13 附录与复现说明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13.1 冻结接口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科学裁决以 paper/FINAL_SCIENTIFIC_FREEZE.md 为最高优先级，正文补丁以 paper/FINAL_PAPER_PATCH_CONTRACT.md 为准，结果索引为 paper/FINAL_RESULT_INDEX_V2.md。Q1、Q2、Q3、Q4 的最终主接口分别为 paper/Q1_GAP_RESULT_FREEZE.md、paper/Q2_GAP_RESULT_FREEZE.md、paper/T07_RESULT_FREEZE.md 和 paper/Q4_GAP_RESULT_FREEZE.md。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13.2 图表与引用接入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FIG 与 REF 的待接入项、固定编号、来源和验收条件列于同目录的 INTEGRATION_INBOX.md。接入时只替换稳定插槽，不改动冻结数字、模型选择、阈值或资格词。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13.3 AI 工具使用声明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AI 工具用于冻结接口整理、文字一致性检查、Word 排版和版面核验。所有科学数字与资格均来自项目冻结文件；本阶段没有新增实验、重拟合、阈值调整或模型搜索。最终提交时应按竞赛要求核对并完善正式声明文本。</w:t>
      </w:r>
    </w:p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9F759" w14:textId="77777777" w:rsidR="00E749C6" w:rsidRDefault="00E749C6">
      <w:r>
        <w:separator/>
      </w:r>
    </w:p>
  </w:endnote>
  <w:endnote w:type="continuationSeparator" w:id="0">
    <w:p w14:paraId="7C44B82D" w14:textId="77777777" w:rsidR="00E749C6" w:rsidRDefault="00E7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8B774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DFBDD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7E250" w14:textId="77777777" w:rsidR="00E749C6" w:rsidRDefault="00E749C6">
      <w:r>
        <w:separator/>
      </w:r>
    </w:p>
  </w:footnote>
  <w:footnote w:type="continuationSeparator" w:id="0">
    <w:p w14:paraId="534AB36F" w14:textId="77777777" w:rsidR="00E749C6" w:rsidRDefault="00E74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1C6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53A15699"/>
  <w15:chartTrackingRefBased/>
  <w15:docId w15:val="{B24BC34A-B4C1-45BA-8E5A-79D5DA9A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40" w:lineRule="auto" w:before="0" w:after="0"/>
      <w:jc w:val="both"/>
    </w:pPr>
    <w:rPr>
      <w:rFonts w:ascii="Times New Roman" w:hAnsi="Times New Roman" w:eastAsia="宋体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20" w:line="240" w:lineRule="auto"/>
      <w:jc w:val="center"/>
      <w:outlineLvl w:val="0"/>
    </w:pPr>
    <w:rPr>
      <w:rFonts w:ascii="Times New Roman" w:hAnsi="Times New Roman" w:eastAsia="黑体"/>
      <w:b/>
      <w:bCs/>
      <w:color w:val="00000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60" w:line="240" w:lineRule="auto"/>
      <w:jc w:val="left"/>
      <w:outlineLvl w:val="1"/>
    </w:pPr>
    <w:rPr>
      <w:rFonts w:ascii="Times New Roman" w:hAnsi="Times New Roman" w:eastAsia="黑体"/>
      <w:b/>
      <w:bCs/>
      <w:color w:val="000000"/>
      <w:kern w:val="0"/>
      <w:sz w:val="24"/>
      <w:szCs w:val="32"/>
    </w:rPr>
  </w:style>
  <w:style w:type="paragraph" w:styleId="3">
    <w:name w:val="heading 3"/>
    <w:basedOn w:val="a"/>
    <w:link w:val="30"/>
    <w:uiPriority w:val="9"/>
    <w:qFormat/>
    <w:pPr>
      <w:keepNext/>
      <w:keepLines/>
      <w:widowControl/>
      <w:spacing w:before="120" w:beforeAutospacing="1" w:after="40" w:afterAutospacing="1" w:line="240" w:lineRule="auto"/>
      <w:jc w:val="left"/>
      <w:outlineLvl w:val="2"/>
    </w:pPr>
    <w:rPr>
      <w:rFonts w:ascii="Times New Roman" w:hAnsi="Times New Roman" w:eastAsia="楷体"/>
      <w:b/>
      <w:bCs/>
      <w:color w:val="000000"/>
      <w:kern w:val="0"/>
      <w:sz w:val="24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keepNext/>
      <w:widowControl/>
      <w:topLinePunct/>
      <w:adjustRightInd w:val="0"/>
      <w:snapToGrid w:val="0"/>
      <w:spacing w:before="80" w:after="60" w:line="240" w:lineRule="atLeast"/>
      <w:ind w:left="1702"/>
      <w:jc w:val="center"/>
    </w:pPr>
    <w:rPr>
      <w:rFonts w:ascii="Times New Roman" w:eastAsia="宋体" w:hAnsi="Times New Roman"/>
      <w:color w:val="000000"/>
      <w:kern w:val="0"/>
      <w:sz w:val="21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  <w:style w:type="paragraph" w:customStyle="1" w:styleId="FigurePlaceholder">
    <w:name w:val="Figure Placeholder"/>
    <w:pPr>
      <w:keepLines/>
      <w:spacing w:before="120" w:after="120"/>
      <w:jc w:val="center"/>
    </w:pPr>
    <w:rPr>
      <w:rFonts w:ascii="Times New Roman" w:hAnsi="Times New Roman" w:eastAsia="宋体"/>
      <w:i/>
      <w:color w:val="595959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../../../../../../../li/Downloads/&#21326;&#20026;&#26631;&#24535;%20Huawei%20Logo%20(1)/&#21326;&#20026;&#26631;&#24535;%20Huawei%20Logo%202018/&#31446;&#29256;&#26631;&#24535;Vertical%20Version/CMYK/JPG/HW_POS_CMYK_Vertical-300ppi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</Words>
  <Characters>381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算力约束下提升大语言模型能力的资源配置建模</dc:title>
  <dc:subject>华为杯中国研究生数学建模竞赛候选论文V1</dc:subject>
  <dc:creator/>
  <cp:keywords>大语言模型；数据质量；条件标度律；算力约束；资源配置；未验证情景</cp:keywords>
  <cp:lastModifiedBy>zihua zhi</cp:lastModifiedBy>
  <cp:revision>2</cp:revision>
  <cp:lastPrinted>2023-09-12T00:52:00Z</cp:lastPrinted>
  <dcterms:created xsi:type="dcterms:W3CDTF">2026-09-25T15:57:00Z</dcterms:created>
  <dcterms:modified xsi:type="dcterms:W3CDTF">2026-09-25T15:57:00Z</dcterms:modified>
  <dc:description>Built from the official Word template using frozen scientific interfaces.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