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DC4D5" w14:textId="77777777" w:rsidR="00E749C6" w:rsidRDefault="00E749C6">
      <w:pPr>
        <w:snapToGrid w:val="0"/>
        <w:spacing w:line="312" w:lineRule="auto"/>
        <w:jc w:val="center"/>
      </w:pPr>
      <w:r>
        <w:rPr>
          <w:rFonts w:ascii="华文中宋" w:eastAsia="华文中宋" w:hAnsi="华文中宋"/>
          <w:b/>
          <w:color w:val="000000"/>
          <w:sz w:val="36"/>
          <w:szCs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i1025" type="#_x0000_t75" alt="资源 2" style="width:102.5pt;height:65.5pt">
            <v:fill o:detectmouseclick="t"/>
            <v:imagedata r:id="rId6" o:title="资源 2"/>
          </v:shape>
        </w:pict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pict>
          <v:shape id="图片 9" o:spid="_x0000_i1026" type="#_x0000_t75" alt="" style="width:78.5pt;height:75.5pt">
            <v:fill o:detectmouseclick="t"/>
            <v:imagedata r:id="rId7" o:title=""/>
          </v:shape>
        </w:pict>
      </w:r>
      <w:r>
        <w:rPr>
          <w:rFonts w:hint="eastAsia"/>
        </w:rPr>
        <w:t xml:space="preserve">   </w: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begin"/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instrText xml:space="preserve"> INCLUDEPICTURE "C:\\Users\\li\\Downloads\\华为标志 Huawei Logo (1)\\华为标志 Huawei Logo 2018\\竖版标志Vertical Version\\CMYK\\JPG\\HW_POS_CMYK_Vertical-300ppi.jpg" \* MERGEFORMATINET </w:instrTex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separate"/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pict>
          <v:shape id="_x0000_i1027" type="#_x0000_t75" style="width:79.5pt;height:79.5pt">
            <v:imagedata r:id="rId8" r:href="rId9"/>
          </v:shape>
        </w:pic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end"/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 w:rsidR="002763FE" w:rsidRPr="00FF6707">
        <w:rPr>
          <w:noProof/>
        </w:rPr>
        <w:pict>
          <v:shape id="_x0000_i1028" type="#_x0000_t75" style="width:68.5pt;height:64.5pt;visibility:visible">
            <v:imagedata r:id="rId10" o:title="" cropright="46893f"/>
          </v:shape>
        </w:pict>
      </w:r>
      <w:r w:rsidR="00B673B5"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</w:p>
    <w:p w14:paraId="16E4E776" w14:textId="77777777" w:rsidR="00E749C6" w:rsidRDefault="00E749C6">
      <w:pPr>
        <w:snapToGrid w:val="0"/>
        <w:spacing w:line="312" w:lineRule="auto"/>
        <w:jc w:val="center"/>
        <w:rPr>
          <w:rFonts w:ascii="华文中宋" w:eastAsia="华文中宋" w:hAnsi="华文中宋"/>
          <w:b/>
          <w:color w:val="000000"/>
          <w:sz w:val="36"/>
          <w:szCs w:val="36"/>
        </w:rPr>
      </w:pPr>
    </w:p>
    <w:p w14:paraId="669069AA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36"/>
          <w:szCs w:val="36"/>
        </w:rPr>
      </w:pPr>
      <w:bookmarkStart w:id="0" w:name="OLE_LINK1"/>
      <w:bookmarkStart w:id="1" w:name="OLE_LINK2"/>
      <w:r>
        <w:rPr>
          <w:rFonts w:ascii="华文新魏" w:eastAsia="华文新魏" w:hAnsi="宋体" w:hint="eastAsia"/>
          <w:b/>
          <w:bCs/>
          <w:shadow/>
          <w:sz w:val="36"/>
          <w:szCs w:val="36"/>
        </w:rPr>
        <w:t>中国研究生创新实践系列大赛</w:t>
      </w:r>
    </w:p>
    <w:p w14:paraId="4D3289C1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 xml:space="preserve"> “华为杯”</w:t>
      </w:r>
      <w:bookmarkEnd w:id="0"/>
      <w:bookmarkEnd w:id="1"/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第二十</w:t>
      </w:r>
      <w:r w:rsidR="002763FE">
        <w:rPr>
          <w:rFonts w:ascii="华文新魏" w:eastAsia="华文新魏" w:hAnsi="宋体" w:hint="eastAsia"/>
          <w:b/>
          <w:bCs/>
          <w:shadow/>
          <w:sz w:val="44"/>
          <w:szCs w:val="44"/>
        </w:rPr>
        <w:t>三</w:t>
      </w: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届中国研究生</w:t>
      </w:r>
    </w:p>
    <w:p w14:paraId="26DB99A4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数学建模竞赛</w:t>
      </w:r>
    </w:p>
    <w:p w14:paraId="51A1EAF7" w14:textId="77777777" w:rsidR="00E749C6" w:rsidRDefault="00E749C6">
      <w:pPr>
        <w:spacing w:line="20" w:lineRule="atLeast"/>
        <w:jc w:val="center"/>
        <w:rPr>
          <w:rFonts w:hint="eastAsia"/>
          <w:sz w:val="44"/>
          <w:szCs w:val="44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842"/>
        <w:gridCol w:w="6512"/>
      </w:tblGrid>
      <w:tr w:rsidR="00E749C6" w14:paraId="64CA028E" w14:textId="77777777">
        <w:trPr>
          <w:trHeight w:val="1134"/>
          <w:jc w:val="center"/>
        </w:trPr>
        <w:tc>
          <w:tcPr>
            <w:tcW w:w="1842" w:type="dxa"/>
            <w:tcBorders>
              <w:bottom w:val="single" w:sz="12" w:space="0" w:color="auto"/>
            </w:tcBorders>
            <w:vAlign w:val="bottom"/>
          </w:tcPr>
          <w:p w14:paraId="4BBFDD06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学</w:t>
            </w:r>
            <w:r>
              <w:rPr>
                <w:rFonts w:hint="eastAsia"/>
                <w:b/>
                <w:sz w:val="36"/>
                <w:szCs w:val="36"/>
              </w:rPr>
              <w:t xml:space="preserve">    </w:t>
            </w:r>
            <w:r>
              <w:rPr>
                <w:rFonts w:hint="eastAsia"/>
                <w:b/>
                <w:sz w:val="36"/>
                <w:szCs w:val="36"/>
              </w:rPr>
              <w:t>校</w:t>
            </w:r>
          </w:p>
        </w:tc>
        <w:tc>
          <w:tcPr>
            <w:tcW w:w="6512" w:type="dxa"/>
            <w:tcBorders>
              <w:bottom w:val="single" w:sz="12" w:space="0" w:color="auto"/>
            </w:tcBorders>
          </w:tcPr>
          <w:p w14:paraId="1A8EFA1C" w14:textId="77777777" w:rsidR="00E749C6" w:rsidRDefault="00E749C6">
            <w:pPr>
              <w:spacing w:line="20" w:lineRule="atLeast"/>
              <w:rPr>
                <w:rFonts w:hint="eastAsia"/>
                <w:b/>
                <w:sz w:val="36"/>
                <w:szCs w:val="36"/>
              </w:rPr>
            </w:pPr>
          </w:p>
          <w:p w14:paraId="7A1DD039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:rsidR="00E749C6" w14:paraId="79DBCC08" w14:textId="77777777">
        <w:trPr>
          <w:trHeight w:val="1134"/>
          <w:jc w:val="center"/>
        </w:trPr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34D0F880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参赛队号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12" w:space="0" w:color="auto"/>
            </w:tcBorders>
          </w:tcPr>
          <w:p w14:paraId="4FDA0417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:rsidR="00E749C6" w14:paraId="2FEE8C9E" w14:textId="77777777">
        <w:trPr>
          <w:trHeight w:val="625"/>
          <w:jc w:val="center"/>
        </w:trPr>
        <w:tc>
          <w:tcPr>
            <w:tcW w:w="1842" w:type="dxa"/>
            <w:vMerge w:val="restart"/>
            <w:tcBorders>
              <w:top w:val="single" w:sz="12" w:space="0" w:color="auto"/>
            </w:tcBorders>
            <w:vAlign w:val="center"/>
          </w:tcPr>
          <w:p w14:paraId="002F3B68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队员姓名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8" w:space="0" w:color="auto"/>
            </w:tcBorders>
          </w:tcPr>
          <w:p w14:paraId="2F06B8DC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1.</w:t>
            </w:r>
          </w:p>
        </w:tc>
      </w:tr>
      <w:tr w:rsidR="00E749C6" w14:paraId="7C097089" w14:textId="77777777">
        <w:trPr>
          <w:trHeight w:val="625"/>
          <w:jc w:val="center"/>
        </w:trPr>
        <w:tc>
          <w:tcPr>
            <w:tcW w:w="1842" w:type="dxa"/>
            <w:vMerge/>
            <w:vAlign w:val="center"/>
          </w:tcPr>
          <w:p w14:paraId="6D955034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8" w:space="0" w:color="auto"/>
            </w:tcBorders>
          </w:tcPr>
          <w:p w14:paraId="1432CDAF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2.</w:t>
            </w:r>
          </w:p>
        </w:tc>
      </w:tr>
      <w:tr w:rsidR="00E749C6" w14:paraId="208EFDFC" w14:textId="77777777">
        <w:trPr>
          <w:trHeight w:val="625"/>
          <w:jc w:val="center"/>
        </w:trPr>
        <w:tc>
          <w:tcPr>
            <w:tcW w:w="1842" w:type="dxa"/>
            <w:vMerge/>
            <w:tcBorders>
              <w:bottom w:val="single" w:sz="12" w:space="0" w:color="auto"/>
            </w:tcBorders>
            <w:vAlign w:val="center"/>
          </w:tcPr>
          <w:p w14:paraId="112F404B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12" w:space="0" w:color="auto"/>
            </w:tcBorders>
          </w:tcPr>
          <w:p w14:paraId="5CC22EEC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3.</w:t>
            </w:r>
          </w:p>
        </w:tc>
      </w:tr>
    </w:tbl>
    <w:p w14:paraId="28B275C1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615C3258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290453E1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2612A686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/>
          <w:color w:val="333333"/>
          <w:kern w:val="0"/>
          <w:sz w:val="32"/>
          <w:szCs w:val="32"/>
        </w:rPr>
      </w:pPr>
    </w:p>
    <w:p w14:paraId="348B169B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56EF0D6D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2BE2F5A0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36"/>
          <w:szCs w:val="36"/>
        </w:rPr>
      </w:pPr>
    </w:p>
    <w:p w14:paraId="3CF5CB99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36"/>
          <w:szCs w:val="36"/>
        </w:rPr>
      </w:pPr>
      <w:r>
        <w:rPr>
          <w:rFonts w:ascii="华文新魏" w:eastAsia="华文新魏" w:hAnsi="宋体" w:hint="eastAsia"/>
          <w:b/>
          <w:bCs/>
          <w:shadow/>
          <w:sz w:val="36"/>
          <w:szCs w:val="36"/>
        </w:rPr>
        <w:t>中国研究生创新实践系列大赛</w:t>
      </w:r>
    </w:p>
    <w:p w14:paraId="3C908992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 xml:space="preserve"> “华为杯”第二十</w:t>
      </w:r>
      <w:r w:rsidR="002763FE">
        <w:rPr>
          <w:rFonts w:ascii="华文新魏" w:eastAsia="华文新魏" w:hAnsi="宋体" w:hint="eastAsia"/>
          <w:b/>
          <w:bCs/>
          <w:shadow/>
          <w:sz w:val="44"/>
          <w:szCs w:val="44"/>
        </w:rPr>
        <w:t>三</w:t>
      </w: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届中国研究生</w:t>
      </w:r>
    </w:p>
    <w:p w14:paraId="0FFA697A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数学建模竞赛</w:t>
      </w:r>
    </w:p>
    <w:p w14:paraId="14AD3315" w14:textId="77777777" w:rsidR="00E749C6" w:rsidRDefault="00E749C6">
      <w:pPr>
        <w:spacing w:line="360" w:lineRule="auto"/>
        <w:jc w:val="left"/>
        <w:rPr>
          <w:rFonts w:ascii="宋体" w:hAnsi="宋体"/>
          <w:sz w:val="28"/>
        </w:rPr>
      </w:pPr>
    </w:p>
    <w:p w14:paraId="538D643A" w14:textId="77777777" w:rsidR="00E749C6" w:rsidRDefault="00E749C6">
      <w:pPr>
        <w:spacing w:line="360" w:lineRule="auto"/>
        <w:jc w:val="left"/>
        <w:rPr>
          <w:rFonts w:ascii="隶书" w:eastAsia="隶书" w:hAnsi="宋体"/>
          <w:sz w:val="36"/>
        </w:rPr>
      </w:pPr>
      <w:r>
        <w:rPr>
          <w:rFonts w:ascii="Times New Roman" w:hAnsi="Times New Roman" w:eastAsia="黑体" w:cs="Times New Roman"/>
          <w:b/>
          <w:color w:val="000000"/>
          <w:sz w:val="30"/>
        </w:rPr>
        <w:t>题  目：算力约束下提升大语言模型能力的资源配置建模</w:t>
      </w:r>
    </w:p>
    <w:p w14:paraId="724AD65D" w14:textId="77777777" w:rsidR="00E749C6" w:rsidRDefault="00E749C6">
      <w:pPr>
        <w:spacing w:line="360" w:lineRule="auto"/>
        <w:jc w:val="left"/>
        <w:rPr>
          <w:rFonts w:ascii="隶书" w:eastAsia="隶书" w:hAnsi="宋体"/>
          <w:sz w:val="36"/>
        </w:rPr>
      </w:pPr>
    </w:p>
    <w:p w14:paraId="3C0EB10F" w14:textId="77777777" w:rsidR="00E749C6" w:rsidRDefault="00E749C6">
      <w:pPr>
        <w:spacing w:line="360" w:lineRule="auto"/>
        <w:jc w:val="center"/>
        <w:rPr>
          <w:rFonts w:ascii="隶书" w:eastAsia="隶书" w:hAnsi="宋体"/>
          <w:sz w:val="36"/>
        </w:rPr>
      </w:pPr>
      <w:r>
        <w:rPr>
          <w:rFonts w:ascii="Times New Roman" w:hAnsi="Times New Roman" w:eastAsia="黑体" w:cs="Times New Roman"/>
          <w:b/>
          <w:color w:val="000000"/>
          <w:sz w:val="30"/>
        </w:rPr>
        <w:t>摘  要</w:t>
      </w:r>
    </w:p>
    <w:p w14:paraId="1AAB6F48" w14:textId="77777777" w:rsidR="00E749C6" w:rsidRDefault="00E749C6">
      <w:pPr>
        <w:spacing w:line="300" w:lineRule="auto" w:after="0"/>
        <w:ind w:firstLineChars="200" w:firstLine="440"/>
        <w:jc w:val="both"/>
        <w:rPr>
          <w:rFonts w:ascii="隶书" w:eastAsia="隶书" w:hAnsi="宋体"/>
          <w:sz w:val="36"/>
        </w:rPr>
      </w:pPr>
      <w:r>
        <w:rPr>
          <w:rFonts w:ascii="Times New Roman" w:hAnsi="Times New Roman" w:eastAsia="宋体" w:cs="Times New Roman"/>
          <w:color w:val="000000"/>
          <w:sz w:val="22"/>
        </w:rPr>
        <w:t>本文针对大语言模型训练中的数据质量、数据配比、标度关系、算力配置与未来能力情景，建立一套按来源分层、按资格解释的统一建模框架。问题一以 A1 至 A3 的 272505 条物理记录为基础，按联合键去重得到 261086 个唯一键；其中 261067 条满足 11 个主质量特征的严格完整案例条件。主质量分采用组内等权、三组等权的冻结规则，定位为可复现的操作性质量代理。扩展冲突检验中 A2 与 A3 分别通过 1/4 和 3/4 个全局判据，资格为部分稳定；作者盲审的总体质量相关为 n=47、Spearman ρ=0.032696、95% bootstrap 区间为 [-0.253384, 0.315957]，没有形成稳定正向一致性。因此，质量分不解释为人工真值或跨域语义金标准。</w:t>
      </w:r>
    </w:p>
    <w:p/>
    <w:p/>
    <w:p>
      <w:pPr>
        <w:spacing w:before="100"/>
        <w:jc w:val="left"/>
      </w:pPr>
      <w:r>
        <w:rPr>
          <w:rFonts w:ascii="Times New Roman" w:hAnsi="Times New Roman" w:eastAsia="黑体" w:cs="Times New Roman"/>
          <w:b/>
          <w:color w:val="000000"/>
          <w:sz w:val="22"/>
        </w:rPr>
        <w:t>关键词：</w:t>
      </w:r>
      <w:r>
        <w:rPr>
          <w:rFonts w:ascii="Times New Roman" w:hAnsi="Times New Roman" w:eastAsia="宋体" w:cs="Times New Roman"/>
          <w:color w:val="000000"/>
          <w:sz w:val="22"/>
        </w:rPr>
        <w:t>大语言模型；数据质量；条件标度律；算力约束；资源配置；未验证情景</w:t>
      </w:r>
      <w:r>
        <w:br w:type="page"/>
      </w:r>
    </w:p>
    <w:p>
      <w:pPr>
        <w:spacing w:line="300" w:lineRule="auto" w:after="0"/>
        <w:ind w:firstLine="440"/>
        <w:jc w:val="both"/>
      </w:pPr>
      <w:r>
        <w:rPr>
          <w:rFonts w:ascii="Times New Roman" w:hAnsi="Times New Roman" w:eastAsia="宋体" w:cs="Times New Roman"/>
          <w:color w:val="000000"/>
          <w:sz w:val="22"/>
        </w:rPr>
        <w:t>问题二以 B1 来源内模型为基础，冻结得到 E=1.6897976、A=0.3539803、B=1.2403056、α=0.3399766、β=0.2798781，并在 N_B∈[0.070542,11.965825]、D_B∈[0.134,299.893] 的支持框内解释。分来源验证显示，B3 同源 Pythia 插值获得支持，B2、B4 和 B5 验证失败，B9 仅为超支持域压力样本，B10 仅为估算情景。B6 的 k_add=0.3544081 只在该来源及 0.1≤Q_score≤0.6 内成立。由此，本文采用“分层估计、联合表达”的条件广义标度律，而不把参数规模、数据量、质量和配比写成已经统一识别或多源验证的四变量模型。</w:t>
      </w:r>
      <w:r>
        <w:rPr>
          <w:rFonts w:ascii="Times New Roman" w:hAnsi="Times New Roman" w:eastAsia="宋体" w:cs="Times New Roman"/>
          <w:color w:val="000000"/>
          <w:sz w:val="22"/>
        </w:rPr>
        <w:t>问题三保持冻结，不重新优化。在 M0_B1、H=2048、Q 不识别且不优化、p 固定为 p0 的条件下，1e18、1e20、1e22 FLOPs 的条件最优 (N_B,D_B,Loss) 分别为 (0.078248576,1.993850677,3.553996156)、(0.625922700,24.925757775,2.609142026) 和 (5.202388053,299.893000000,2.143211279)。最后一档的数据量达到 B1 支持上界，因此结果只表示冻结模型、支持域和外生上下文下的条件最优。</w:t>
      </w:r>
      <w:r>
        <w:rPr>
          <w:rFonts w:ascii="Times New Roman" w:hAnsi="Times New Roman" w:eastAsia="宋体" w:cs="Times New Roman"/>
          <w:color w:val="000000"/>
          <w:sz w:val="22"/>
        </w:rPr>
        <w:t>问题四在 25 个预训练开放权重模型、10 个模型族上直接建模 Benchmark。IFEval 与 MUSR 选择常数模型，BBH、MATH Lvl 5、GPQA、MMLU-PRO 及六任务辅助均值选择规模模型；所有带时间项模型均未通过预注册升级门槛。冻结端点窗口包含相同的 23 个 compute 有效模型，因此规模与非规模端点增量均为 0，比例不可定义；该结果不能解释为规模没有作用。以 2025-01-28 为情景原点，本文报告 2026-01-28 与 2027-01-28 的慢速、基准和上限敏感性数值。所有数值均为未验证情景；多数任务随时距增加而下降来自未通过升级门槛模型中的负时间项，不能写成已验证预测、负规模斜率或能力必然下降。Loss 到 Benchmark 的数值转换次数为 0。</w:t>
      </w:r>
      <w:r>
        <w:rPr>
          <w:rFonts w:ascii="Times New Roman" w:hAnsi="Times New Roman" w:eastAsia="宋体" w:cs="Times New Roman"/>
          <w:color w:val="000000"/>
          <w:sz w:val="22"/>
        </w:rPr>
        <w:t>本文的主要贡献是把来源内估计、跨来源情景、不可识别量与冲突证据分开，并在每个结果旁保留支持域、有效分母和资格。该框架既给出可复核的资源配置结论，也避免把操作性代理、失败验证和未验证情景升级为更强的科学主张。</w:t>
      </w:r>
    </w:p>
    <w:p w14:paraId="3DD8E709" w14:textId="77777777" w:rsidR="00E749C6" w:rsidRDefault="00E749C6">
      <w:pPr>
        <w:spacing w:line="360" w:lineRule="auto"/>
        <w:ind w:firstLineChars="200" w:firstLine="720"/>
        <w:jc w:val="center"/>
        <w:rPr>
          <w:rFonts w:ascii="隶书" w:eastAsia="隶书" w:hAnsi="宋体"/>
          <w:sz w:val="36"/>
        </w:rPr>
      </w:pPr>
    </w:p>
    <w:p w14:paraId="452421DB" w14:textId="77777777" w:rsidR="00E749C6" w:rsidRDefault="00E749C6">
      <w:pPr>
        <w:spacing w:line="360" w:lineRule="auto"/>
        <w:ind w:firstLineChars="200" w:firstLine="720"/>
        <w:jc w:val="center"/>
        <w:rPr>
          <w:rFonts w:ascii="隶书" w:eastAsia="隶书" w:hAnsi="宋体" w:hint="eastAsia"/>
          <w:sz w:val="36"/>
        </w:rPr>
      </w:pPr>
    </w:p>
    <w:p w14:paraId="1633A361" w14:textId="77777777" w:rsidR="00E749C6" w:rsidRDefault="00E749C6">
      <w:pPr>
        <w:spacing w:line="360" w:lineRule="auto"/>
        <w:jc w:val="left"/>
        <w:rPr>
          <w:rFonts w:ascii="隶书" w:eastAsia="隶书" w:hAnsi="宋体" w:hint="eastAsia"/>
          <w:sz w:val="36"/>
        </w:rPr>
      </w:pPr>
      <w:r>
        <w:rPr>
          <w:rFonts w:ascii="隶书" w:eastAsia="隶书" w:hAnsi="宋体" w:hint="eastAsia"/>
          <w:sz w:val="36"/>
        </w:rPr>
        <w:t>关键词：</w:t>
      </w:r>
    </w:p>
    <w:p>
      <w:pPr>
        <w:pStyle w:val="1"/>
        <w:pageBreakBefore w:val="0"/>
      </w:pPr>
      <w:r>
        <w:t>目录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1 引言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2 问题重述与总体思路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3 数据 假设与符号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4 问题一 数据质量评价与领域配比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5 问题二 条件广义标度律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6 问题三 算力预算下的条件优化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7 问题四 Benchmark分解与未来情景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8 统一验证与灵敏度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9 模型评价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10 改进与推广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11 结论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12 参考文献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13 附录与复现说明</w:t>
      </w:r>
    </w:p>
    <w:p>
      <w:r>
        <w:br w:type="page"/>
      </w:r>
    </w:p>
    <w:p>
      <w:pPr>
        <w:pStyle w:val="1"/>
      </w:pPr>
      <w:r>
        <w:rPr>
          <w:rFonts w:ascii="Times New Roman" w:hAnsi="Times New Roman" w:eastAsia="黑体" w:cs="Times New Roman"/>
          <w:b/>
          <w:color w:val="000000"/>
          <w:sz w:val="28"/>
        </w:rPr>
        <w:t>1 引言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大语言模型训练同时受参数规模、训练数据量、数据质量、领域配比和算力预算约束。经典标度律以参数量和 token 数解释验证损失的经验变化〔REF-01〕〔REF-02〕，但这些关系通常不能直接回答质量信号是否可迁移、领域配比能否跨尺度运输，以及有限预算应如何在不同资源之间分配。下游 Benchmark 还引入另一层困难：交叉熵损失与任务得分来自不同观测体系，相关关系不自动构成可迁移预测桥。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本文按证据来源和识别资格组织四问。问题一先建立 A 侧质量代理与配比模型；问题二冻结 B1 来源内标度模型，并将质量与配比放入来源分层表达；问题三在已冻结的 B1 模型和支持域内求条件最优 N 与 D；问题四直接使用 Benchmark 数据选择任务级模型，并将未来结果限定为预注册数学网格下的未验证情景。全文不把弱人工相关、外部验证失败、支持域外压力样本或带时间项的未升级模型改写成肯定性结论。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2 问题重述与总体思路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2.1 问题一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问题一要求统一不同方向和类型的质量指标，识别指标冲突，形成样本级质量评价，并研究 17 维领域配比与 13 个验证领域损失之间的关系。关键约束是：缺失记录不能被填零掩盖；扩展集与抽样集的稳定性必须单独检查；人工盲审只能按实际成对有效分母统计。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2.2 问题二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问题二要求在参数规模 N、数据量 D、质量 Q 和配比 p 之间建立广义关系，并给出边际效用、弹性和替代条件。A 侧质量与 B 侧质量没有配对标定，RegMix 配比与 B1 标度实验也不在同一来源，因此正式模型采用分层估计和联合表达，避免把跨来源情景误写成联合拟合。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2.3 问题三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问题三要求在总算力预算下配置 N、D、Q 和 p。冻结结果已经确定正式主情景只优化 N 与 D，H 外生给定，Q 为未识别且未优化，p 固定为 p0。质量成本、配比运输和方向冲突只进入敏感性情景，不改变主结果。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2.4 问题四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问题四要求区分规模与非规模进步，并给出未来 12 个月和 24 个月的能力情景。本文分别处理直接 Benchmark 模型、Loss-Benchmark 桥接、历史 compute 增长识别和未来数学网格。直接 Benchmark 情景的原点固定为 2025-01-28；历史 compute 增长不可识别的旧接口日期不用于这些数值情景。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2.5 技术路线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全文采用四层证据结构：来源内条件关系、跨来源情景、不可识别量和冲突证据。每一层分别给出数据分母、支持范围、验证结果和资格。模型建立后依次执行分母审计、单位审计、支持域审计、独立复算和资格一致性检查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1  四问数据流、冻结接口与资格分层技术路线  [FIG-00 待接入]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3 数据、假设与符号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3.1 数据来源与分母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A1 至 A3 合计 272505 条物理记录，按 (id, sub_path) 去重后得到 261086 个唯一键。主质量分要求 11 个特征全部有限且可用，得到 261067 条有效记录和 19 条缺失记录。领域配比支路使用 17 维非负单纯形输入和 13 个验证领域损失；1M 数据用于同尺度检验，60M 与 1B 只用于跨尺度运输诊断，10B 与 70B 为估算情景。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B1 提供参数规模与数据量的来源内标度数据，经验支持框为 N_B∈[0.070542,11.965825]、D_B∈[0.134,299.893]。B6 提供 0.1≤Q_score≤0.6 范围内的来源内质量关系。B2、B3、B4、B5、B9 和 B10 具有不同数据性质，必须分别验证，不能合并计算总 RMSE。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问题四直接 Benchmark 主样本包含 25 个预训练、开放权重、许可和身份明确的模型，覆盖 10 个模型族。C1 与 C2 的共同 4576 行在容差内等价，只视为同一批观测。端点分解对 M1 任务使用 23 个 compute 有效模型；M0 任务不使用规模中心。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3.2 模型假设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1. 不同来源保留 observed、semisynthetic、interpolated、estimated 等原始性质，不因进入同一流程而视为同质证据。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2. N_B 和 D_B 分别以十亿参数和十亿 token 表示；算力公式使用物理 N 与 D，代入前必须乘以 10^9。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3. Q_baseline 只对 11 个主特征完整的记录定义。缺失记录保留，但不填零、不重分配权重。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4. 主质量分采用三个可解释组的组内等权和组间等权。该规则用于可复现聚合，不代表人工真值。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5. A2 与 A3 的扩展冲突资格固定为 PARTIALLY_STABLE；共同有效域不足时，域级门槛为 NOT_EVALUABLE。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6. 作者盲审在 sampling seal 后完成；无效或缺失评分不修复、不插补、不重抽样。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7. M0_B1 只在 B1 来源和经验支持框内解释；跨来源验证失败不触发重拟合。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8. B6 的加法质量项只在 B6 来源与冻结质量范围内成立；A 侧 Q 与 B 侧 Q_score 不进行无证据标定。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9. 配比运输只作为情景。固定领域质量向量时，Q_mix=p^Tq 位于 p 的列空间，因此 Q 与完整 p 不作为独立自由坐标同时解释。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10. 问题三正式主情景只优化 N_B 与 D_B；Q 为 NOT_IDENTIFIED_NOT_OPTIMIZED，p 为 FIXED_P0_NOT_OPTIMIZED。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11. 问题四的任务模型分别选择 M0 或 M1；M2 在所有任务和辅助均值上均未通过升级门槛。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12. 问题四的未来 compute 增长率来自冻结的 1.0、1.5、2.0 年乘数数学网格，不是历史估计。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13. 未来数值全部为 SCENARIO_ONLY_UNVALIDATED；Loss-Benchmark 桥接保持 CONDITIONAL_ASSOCIATION_ONLY，且不参与直接 Benchmark 数值计算。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3.3 主要符号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1  主要符号与资格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符号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含义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单位或范围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资格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N_B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参数规模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十亿参数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支持框内解释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D_B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训练数据量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十亿 token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支持框内解释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Q_baseline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 侧主质量分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 至 1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操作性质量代理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Q_score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B6 质量水平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0.1 至 0.6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B6 来源内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17 维领域配比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非负且和为 1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Q1 来源内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L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交叉熵验证损失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Loss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 侧输出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H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上下文长度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2048 至 131072 的冻结集合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外生变量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总训练计算量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FLOPs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问题三预算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b_C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Benchmark 对 log10(compute) 的斜率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Benchmark 点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 来源内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Δ_scale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冻结端点规模增量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Benchmark 点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本次为 0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Δ_non_scale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冻结端点非规模增量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Benchmark 点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本次为 0</w:t>
            </w:r>
          </w:p>
        </w:tc>
      </w:tr>
    </w:tbl>
    <w:p>
      <w:pPr>
        <w:spacing w:after="0"/>
      </w:pP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4 问题一 数据质量评价与领域配比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4.1 质量代理的构造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质量处理依次完成字段审计、多维字段标量化、方向统一、归一化和分组聚合。设第 g 组包含 m_g 个方向统一后的特征 z_gj，则记录 i 的组得分和主质量分定义为：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三组先分别等权，再进行组间等权。该结构避免特征数量较多的组自动获得更高权重。任一主特征缺失时，Q_valid=False，Q_baseline 保持缺失。主结果得到 261067 条有效记录，覆盖率为 261067/261086；其余 19 条只保留在分母审计中。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主质量分是冻结信号下的操作性代理。它能支持同一处理规则下的排序、分层和敏感性比较，但不代表真实语义质量，也不因数值范围为 0 至 1 而获得人工标定含义。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4.2 冲突诊断与扩展稳定性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本文使用三个质量组之间的范围和标准差诊断冲突，并保持预先声明的等组权消解规则。扩展检验不重建主质量分，而是检查冲突现象在 A2 和 A3 是否保持。A2 的四个全局判据通过 1 个，A3 通过 3 个，共同资格为 PARTIALLY_STABLE；两者共同有效域均只有 1 个，低于预注册门槛，因此域级结论为 NOT_EVALUABLE。没有观察到一致方向反转，但也不能据此宣称跨域结构稳定。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2  主质量覆盖、扩展冲突稳定性与作者盲审效应量  [FIG-Q1-01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4.3 作者盲审核验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抽样 seal 固定 60 个 review_id、7 个域和种子 20260925，评分发生在 seal 之后。作者表解析得到 46 条四项完整评分、1 条部分评分、10 条结构性无效记录和 3 条缺失记录。10 条无效记录包含越界候选且字段对齐无法无歧义恢复，因此不猜测修正。各统计量严格使用对应指标的成对有效分母。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2  作者盲审与质量代理的相关结果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核验项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有效分母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Spearman ρ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95% bootstrap 区间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解释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 与总体质量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0.032696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[-0.253384, 0.315957]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未显示稳定正向一致性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 与可读性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-0.293551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[-0.568145, 0.000325]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方向不稳定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 与完整性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0.055104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[-0.290693, 0.362965]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描述性结果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 与污染分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0.058878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[-0.252439, 0.371249]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污染分越低越好</w:t>
            </w:r>
          </w:p>
        </w:tc>
      </w:tr>
    </w:tbl>
    <w:p>
      <w:pPr>
        <w:spacing w:after="0"/>
      </w:pP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表 2 的结果不用于重新选择特征或修改阈值。总体质量相关接近 0，可读性相关为负且区间触及 0，其他指标也没有稳定正向证据，因此人工核验只能作为质量代理解释边界的一部分。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4.4 领域配比模型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设 p 为 17 维训练领域配比，满足 p_j≥0 且 Σp_j=1；对 13 个验证领域分别拟合线性损失响应。冻结同尺度 1M 检验中，相对逐域训练均值基线的等域 MSE 改善为 55.03%，Spearman 为 0.62507。60M 与 1B 结果只用于跨尺度运输诊断，10B 与 70B 仅为估算情景。因配比分量存在单纯形共线性，单个系数不解释为 17 个相互独立的因果效应。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3  领域配比同尺度检验与跨尺度运输诊断  [FIG-Q1-02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4.5 问题一结论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Q_baseline 在冻结信号和严格完整案例规则下可复现，但扩展冲突仅部分稳定，有限作者盲审没有显示稳定正向一致性。配比模型在 1M 同尺度检验中提供来源内支持，跨尺度结果只构成运输诊断。由此，问题一向后续问题提供质量代理、配比方向和明确的识别边界，而不提供人工真值或无条件跨尺度参数。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5 问题二 条件广义标度律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5.1 B1 来源内主模型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正式主模型保持为参数规模与数据量的加性幂律：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冻结参数为 E=1.6897975629820348、A=0.3539803206065571、B=1.2403055835426349、α=0.339976581941082、β=0.2798781285468448。参数资格为 IDENTIFIED_SOURCE_CONDITIONAL，只适用于 B1 与其经验支持框。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3  M0_B1参数与支持框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3119"/>
        <w:gridCol w:w="3119"/>
        <w:gridCol w:w="3119"/>
      </w:tblGrid>
      <w:tr>
        <w:trPr>
          <w:tblHeader w:val="true"/>
        </w:trP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参数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冻结值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解释资格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1.6897975629820348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来源内不可约项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0.3539803206065571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来源内参数项系数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1.2403055835426349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来源内数据项系数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α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0.339976581941082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来源内参数指数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β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0.2798781285468448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来源内数据指数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N_B 支持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[0.070542, 11.965825]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超出范围为 OOS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D_B 支持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[0.134, 299.893]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超出范围为 OOS</w:t>
            </w:r>
          </w:p>
        </w:tc>
      </w:tr>
    </w:tbl>
    <w:p>
      <w:pPr>
        <w:spacing w:after="0"/>
      </w:pP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5.2 分来源验证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验证按来源单独计算，不合并半合成、插值、公开观测和估算记录。B2、B4、B5 均保留失败结论；B3 的支持来自同源 Pythia 插值，不构成独立外部复制。B9 与 B10 的参数规模均为 100B 至 10000B，全部超出 B1 的 N_B 上界。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4  分来源验证结果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来源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原始记录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支持内/OOS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RMSE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最终资格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1029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120/909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2.03943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VALIDATION_FAILED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4000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4000/0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0.00382128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VALIDATION_SUPPORTED，同源插值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8/49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0.411194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VALIDATION_FAILED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8/36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0.201239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VALIDATION_FAILED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132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0/132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不可计算真实误差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OOS_STRESS_ONLY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0/128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0.00109383，仅对估算参考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ESTIMATED_SCENARIO_ONLY</w:t>
            </w:r>
          </w:p>
        </w:tc>
      </w:tr>
    </w:tbl>
    <w:p>
      <w:pPr>
        <w:spacing w:after="0"/>
      </w:pP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B2 表现为系统性低估；B4 和 B5 的支持内样本及族数很少，仍不足以升级模型。所有失败结果都不因方向不利而被删除，也不触发主模型重拟合。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4  B1来源内拟合与分来源验证  [FIG-Q2-01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5.3 质量与配比的分层表达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B6 的来源内加法质量项定义为：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其中 k_add=0.3544081081063713，只在 B6 来源和 0.1≤Q_score≤0.6 内成立。A 侧 Q_baseline 与 B 侧 Q_score 没有新增标定，映射 h_s 只使用冻结情景。配比项采用 RegMix 冻结系数 c 与参考配比 p0。正式联合表达为：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上式的三个模块具有不同来源资格。L0 来源于 B1；质量项只在 B6 来源内识别，跨来源时为情景；配比项只在 RegMix 同尺度来源内具有支持，向 B1 运输为情景。因此，L_gen^(s) 是分层估计后的联合表达，不是统一联合拟合。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5.4 边际效用、弹性与替代条件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对 B1 主模型求偏导得到：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在工作点 N_B=1、D_B=100 时，∂L/∂N_B=-0.120345，∂L/∂D_B=-0.000956624。S03 的冻结条件下，∂L/∂Q_A=-0.354408；保持 Loss 不变的局部替代量约为 dN_B/dQ_A=-2.94493、dD_B/dQ_A=-370.478。这些量只在相应来源与映射情景下成立，不能解释为跨来源因果替代率。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固定领域质量向量 q 时，Q_mix=p^Tq 位于 p 的列空间；设计秩在加入 Q_mix 前后均为 17，相对投影残差为 9.36888e-16。因此，Q_mix 与完整 p 不作为两个独立自由坐标，解释时应固定其中一个或只报告联合可行方向。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5.5 问题二结论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M0_B1 在 B1 支持域内提供来源条件标度关系。外部验证包含失败、同源插值支持、OOS 压力和估算情景，不能概括为多源验证成功。质量与配比只通过分层模块进入联合表达，且没有改变问题三冻结数值输入。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6 问题三 算力预算下的条件优化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6.1 冻结优化问题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问题三保持 T07 冻结。主情景 S00_NULL_M0_B1 采用 H=2048，只优化 N_B 与 D_B。物理量为 N=10^9N_B、D=10^9D_B，总成本为：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其中 η=2e-4。主情景没有质量成本，Q 为 NOT_IDENTIFIED_NOT_OPTIMIZED，p 为 FIXED_P0_NOT_OPTIMIZED。约束包括预算上界、B1 支持框和变量非负条件。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6.2 三档预算结果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5  算力预算下的冻结条件最优配置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预算 FLOPs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最优 N_B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最优 D_B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预测 Loss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活跃边界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1e18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0.078248576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1.993850677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3.553996156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预算活跃，N/D 在支持内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1e20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0.625922700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24.925757775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2.609142026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预算活跃，N/D 在支持内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1e22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5.202388053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299.893000000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2.143211279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预算活跃，D 达到支持上界</w:t>
            </w:r>
          </w:p>
        </w:tc>
      </w:tr>
    </w:tbl>
    <w:p>
      <w:pPr>
        <w:spacing w:after="0"/>
      </w:pP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1e22 结果受 D_B 上界支配，不能解释为无约束的真实最优数据规模。全部结果都是冻结模型、B1 支持域、指定预算和外生 H 下的条件最优，不是唯一全局真值。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5  三档预算下的冻结条件最优配置  [FIG-Q3-01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6.3 数值验证与上下文敏感性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主表 75 行中 69 行为 OPTIMAL，6 行为 NO_NUMERIC_OPTIMUM。最大相对预算越界为 9.403629568e-13，最大 KKT residual 为 2.7932317030401693e-08，最大等式残差为 9.403629568e-13。数值解没有通过 clip 或扩大支持域获得。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临界上下文长度为 H_crit=6/η=30000。冻结 H 集合为 2048、4096、8192、32768、131072。H 超过 30000 后，注意力项系数超过训练项；部分预算的活跃边界随 H 改变。这种变化只称为预注册活跃约束和弹性排序意义下的结构转移，不称为物理相变。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6  冻结上下文长度下的活跃约束敏感性  [FIG-Q3-02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6.4 质量成本、配比与冲突情景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三类质量成本 G_EXP、G_POWER 和 G_LOG 均为假设比较，没有任何一种被识别为真实成本。S01 在参考点退化为 null；S03 在较大预算下选择质量上界，但配置和 Loss 依赖成本函数，资格为 SCENARIO_ONLY。S14、S15 和 S16 的配比结果只表示 RegMix 跨来源运输假设下的情景。S17 保持 NO_NUMERIC_OPTIMUM，B8 仅作为方向冲突证据。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6.5 参数不确定性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主模型使用 80 个 B1 整行参数 draw，不进行逐参数独立抽样。三档预算的 Loss 2.5%/50%/97.5% 分位分别为 3.553938/3.553994/3.554101、2.609105/2.609142/2.609161 和 2.143193/2.143212/2.143228。质量情景使用 200 个 B1/B6 条件整行组合，标记为 NOT_JOINT_POSTERIOR，不分配情景概率。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7 问题四 Benchmark分解与未来情景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7.1 直接 Benchmark 建模口径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主样本包含 25 个预训练、开放权重、许可和身份明确的模型，覆盖 10 个模型族。compute 优先采用直接观测；只有 N 与 D 同时为观测值时才使用 6ND。C1 只用于与 C2 做等价和原字段审计，二者共同 4576 行不重复计数。Loss-Benchmark 桥接保持 CONDITIONAL_ASSOCIATION_ONLY，直接 Benchmark 模型没有使用 Loss，数值转换次数为 0。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对每个任务预注册 M0_CONSTANT、M1_SCALE 和 M2_SCALE_TIME 三个嵌套规格：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IFEval 与 MUSR 选择 M0；BBH、MATH Lvl 5、GPQA、MMLU-PRO 及辅助均值选择 M1。所有 M2 都没有通过冻结升级门槛，因此 M2 只用于前沿情景，资格为 SCENARIO_ONLY_UNVALIDATED。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6  任务级模型选择与端点分解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任务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选中模型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M1 的 b_C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Δ_scale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Δ_non_scale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IFEval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M0_CONSTANT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BBH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8.015483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MATH Lvl 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3.704133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GPQA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2.883141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MUSR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M0_CONSTANT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MMLU-PRO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9.616437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六任务均值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4.499295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</w:tbl>
    <w:p>
      <w:pPr>
        <w:spacing w:after="0"/>
      </w:pP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五个 M1 目标的规模斜率均为正。M2 未升级不改变 M1 的来源内规模关联结论，也不使 M2 的时间项获得验证资格。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7.2 端点规模与非规模分解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冻结起点为 2024-06-17，终点为 2025-01-28。对需要规模中心的 M1 任务，正负 365 天窗口包含完全相同的 23 个 compute 有效模型，集合对称差为 0；M0 任务不使用规模中心。因选中 M1 没有时间项、M0 没有规模或时间项，七个目标的 Δ_scale 与 Δ_non_scale 均严格为 0，恒等误差为 0，比例记为 NOT_DEFINED。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这些零值来自冻结窗口定义与模型结构，不能解释为规模没有作用。事实上，所有选中 M1 的 b_C 都为正。端点分解回答的是冻结窗口中可识别的拟合增量，不是对长期机制的否定。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7.3 未来 12 个月与 24 个月情景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直接 Benchmark 情景原点为 2025-01-28，12 个月和 24 个月时点分别为 2026-01-28 与 2027-01-28。慢速、基准和上限敏感性增长率来自 1.0、1.5、2.0 年乘数数学网格，不是历史数据估计。表中数值单位为 Benchmark 点，全部资格为 SCENARIO_ONLY_UNVALIDATED。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7  未验证的12个月和24个月Benchmark情景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3119"/>
        <w:gridCol w:w="3119"/>
        <w:gridCol w:w="3119"/>
      </w:tblGrid>
      <w:tr>
        <w:trPr>
          <w:tblHeader w:val="true"/>
        </w:trP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任务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12个月 SLOW/BASELINE/UPPER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24个月 SLOW/BASELINE/UPPER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IFEval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27.002799 / 27.647843 / 28.105508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26.676006 / 27.966093 / 28.881424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BBH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34.107388 / 35.451789 / 36.405656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23.122995 / 25.811797 / 27.719532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MATH Lvl 5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3.894673 / 4.913355 / 5.636120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-3.971072 / -1.933709 / -0.488178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GPQA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27.124326 / 27.668664 / 28.054879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22.076170 / 23.164847 / 23.937275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MUSR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32.876304 / 33.105237 / 33.267667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22.580095 / 23.037961 / 23.362822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MMLU-PRO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17.353537 / 19.145090 / 20.416216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4.422898 / 8.006002 / 10.548255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六任务均值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23.511163 / 24.414168 / 25.054860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16.214986 / 18.020997 / 19.302381</w:t>
            </w:r>
          </w:p>
        </w:tc>
      </w:tr>
    </w:tbl>
    <w:p>
      <w:pPr>
        <w:spacing w:after="0"/>
      </w:pP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同一预测时点内，所有任务均满足 SLOW≤BASELINE≤UPPER_SENSITIVITY。多数任务从 12 个月到 24 个月下降，是未通过升级门槛的 M2 中负时间项绝对值大于正 compute 项所致。MATH Lvl 5 的 24 个月原始值保持为负；范围约束后的 0 只属于敏感性列，不替代主情景值。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7  六任务12个月和24个月三情景结果  [FIG-Q4-01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7.4 不确定性与解释边界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问题四分别报告参数或重采样不确定性、模型选择不确定性、情景结构不确定性和时间外推不确定性，不合并为伪精确置信区间。family-out 与 group split 可评价；primary scale 子集的时间外测试少于 10 个模型，该协议为 NOT_EVALUABLE。历史 compute 增长继续为 NOT_IDENTIFIABLE，因此数学网格不能改写为估计增长率。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7.5 问题四结论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直接 Benchmark 结果支持部分任务的来源内正规模关联，但不支持带时间项模型升级。端点零分解来自相同窗口样本和选中模型结构，不能解释为规模贡献为零。未来数值只表示预注册数学网格与未升级 M2 下的情景，不是经过验证的预测，也不与 Loss 空间数值互相换算。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8 统一验证与灵敏度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本文将验证分为五类。第一，分母验证确保物理记录、唯一键、完整案例和成对有效评分不混用。第二，单位验证确保十亿单位变量进入算力公式前转换为物理量。第三，支持域验证将 B1 内插、来源外推和估算场景分开。第四，数值验证复算预算、KKT 条件、预测公式和窗口分解。第五，资格验证检查摘要、正文、图题、表注和结论是否使用一致限定词。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Q1 的主要灵敏度来自冲突定义、扩展集和人工盲审；结果表明主质量分可复现，但人工一致性弱。Q2 的关键灵敏度来自来源差异；同源插值支持与公开跨族失败同时存在。Q3 的敏感性由 H、质量成本、配比运输和参数整行 draw 构成，均不改变主 null 的资格。Q4 的关键敏感性来自模型选择、时间项和情景网格；M2 未通过升级门槛，因此所有时间外数值保持未验证资格。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9 模型评价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9.1 优点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第一，模型链条保留了数据来源、支持域和有效分母，结果可以逐项回到冻结接口。第二，分层估计避免把不同来源强行合并，能够同时报告支持、失败、OOS 和估算结果。第三，问题三的成本单位、约束与 KKT 审计完整，条件最优解具有明确可行性证据。第四，问题四把直接 Benchmark 建模与 Loss 桥接隔离，避免未经识别的数值换算。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9.2 局限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Q_baseline 依赖操作性信号，有限作者盲审没有显示稳定正向一致性；扩展集也只达到部分稳定。B1 标度参数是来源内关系，B2、B4、B5 验证失败，B9 与 B10 全部超出支持域。A 侧 Q、B 侧 Q_score 和 RegMix 配比之间缺少共同实验设计，不能联合识别。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问题三的高预算解受到 D_B 上界约束；质量成本函数和配比运输系数都没有真实成本或跨来源因果含义。问题四主样本只有 25 个模型和 10 个族，带时间项模型未通过门槛，时间外协议部分不可评价。未来情景在训练时间范围外，且使用数学网格而非历史增长估计。以上限制共同决定了本文结论只能在冻结模型、支持域和情景合同内使用。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10 改进与推广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后续改进应优先补充已经封存抽样规则下的独立人工标签，并设计 A 侧与 B 侧可配对的质量干预实验；这类新数据可用于检验质量代理，而不是回填本轮无效评分。标度律方面，可在预先注册的支持域扩展中增加独立模型族和真实 Loss 观测，避免用估算值替代外部验证。Benchmark 方面，需要更长时间跨度、更多 compute 有效模型和真正的时间外测试，才可能把情景模型升级为预测模型。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在工程应用中，本框架适合作为资格感知的资源规划工具：来源内模型用于可支持的计算，跨来源映射只用于条件比较，OOS 与估算结果单独标记。任何新增数据都应先进入新的科学阶段和预注册验收流程，不能回写本轮冻结结果。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11 结论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本文完成了从质量代理、领域配比、条件标度律、算力优化到 Benchmark 情景的统一建模。问题一得到覆盖 261067 个唯一键的操作性质量代理，但扩展冲突仅部分稳定，人工盲审没有显示稳定正向一致性。问题二冻结 B1 来源内标度模型，B3 同源插值获得支持，而 B2、B4、B5 外部验证失败；质量和配比只以分层模块进入联合表达。问题三在冻结 M0_B1、H=2048 和 B1 支持域内给出三档预算的条件最优 N_B 与 D_B，最高预算的数据量触及支持上界。问题四在直接 Benchmark 数据上选择任务级 M0 或 M1，所有 M2 均未通过升级门槛；端点分解为零来自窗口与模型结构，未来数值全部为未验证情景。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因此，本研究能够支持的是条件性资源配置与情景比较，而不是人工真值、统一四变量多源验证、唯一全局最优或已验证未来预测。把限定词与数值一同保留，是本模型可复核和可使用的前提。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12 参考文献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本候选稿保留以下稳定引用插槽，尚未接入经核验的最终参考文献资产。所有作者、题名、期刊、年份、卷期、页码和 DOI 必须由 paper/final_references/ 的正式交付物填充，当前不自行补写。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1. 〔REF-01〕经典大语言模型标度律背景文献插槽，对应预检键 kaplan2020scaling。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2. 〔REF-02〕计算最优训练与参数数据配置文献插槽，对应预检键 hoffmann2022training。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3. 〔REF-03〕Pythia 模型族与训练轨迹来源文献插槽，对应预检键 biderman2023pythia。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4. 〔REF-04〕大规模数据筛选与质量评价文献插槽，对应预检键 penedo2024fineweb。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5. 〔REF-05〕质量评价方法背景文献插槽，对应预检键 zhuang2025metarater。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6. 〔REF-06〕标度律解释与理论背景文献插槽，对应预检键 bahri2024explaining。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13 附录与复现说明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13.1 冻结接口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科学裁决以 paper/FINAL_SCIENTIFIC_FREEZE.md 为最高优先级，正文补丁以 paper/FINAL_PAPER_PATCH_CONTRACT.md 为准，结果索引为 paper/FINAL_RESULT_INDEX_V2.md。Q1、Q2、Q3、Q4 的最终主接口分别为 paper/Q1_GAP_RESULT_FREEZE.md、paper/Q2_GAP_RESULT_FREEZE.md、paper/T07_RESULT_FREEZE.md 和 paper/Q4_GAP_RESULT_FREEZE.md。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13.2 图表与引用接入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FIG 与 REF 的待接入项、固定编号、来源和验收条件列于同目录的 INTEGRATION_INBOX.md。接入时只替换稳定插槽，不改动冻结数字、模型选择、阈值或资格词。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13.3 AI 工具使用声明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AI 工具用于冻结接口整理、文字一致性检查、Word 排版和版面核验。所有科学数字与资格均来自项目冻结文件；本阶段没有新增实验、重拟合、阈值调整或模型搜索。最终提交时应按竞赛要求核对并完善正式声明文本。</w:t>
      </w:r>
    </w:p>
    <w:sectPr w:rsidR="00BE7601">
      <w:footerReference w:type="default" r:id="rId11"/>
      <w:footerReference w:type="first" r:id="rId12"/>
      <w:pgSz w:w="11906" w:h="16838"/>
      <w:pgMar w:top="1702" w:right="1274" w:bottom="993" w:left="1276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9F759" w14:textId="77777777" w:rsidR="00E749C6" w:rsidRDefault="00E749C6">
      <w:r>
        <w:separator/>
      </w:r>
    </w:p>
  </w:endnote>
  <w:endnote w:type="continuationSeparator" w:id="0">
    <w:p w14:paraId="7C44B82D" w14:textId="77777777" w:rsidR="00E749C6" w:rsidRDefault="00E74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8B774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DFBDD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7E250" w14:textId="77777777" w:rsidR="00E749C6" w:rsidRDefault="00E749C6">
      <w:r>
        <w:separator/>
      </w:r>
    </w:p>
  </w:footnote>
  <w:footnote w:type="continuationSeparator" w:id="0">
    <w:p w14:paraId="534AB36F" w14:textId="77777777" w:rsidR="00E749C6" w:rsidRDefault="00E749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CCD"/>
    <w:rsid w:val="003805C3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DF0"/>
    <w:rsid w:val="00B66A42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1C6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44F4"/>
    <w:rsid w:val="00E54CEA"/>
    <w:rsid w:val="00E551CE"/>
    <w:rsid w:val="00E56097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502157"/>
    <w:rsid w:val="234207E5"/>
    <w:rsid w:val="24D11D12"/>
    <w:rsid w:val="257419FF"/>
    <w:rsid w:val="257C268E"/>
    <w:rsid w:val="2D352B16"/>
    <w:rsid w:val="375376EA"/>
    <w:rsid w:val="3ADE61A4"/>
    <w:rsid w:val="3C8D667D"/>
    <w:rsid w:val="3E7F295B"/>
    <w:rsid w:val="41813817"/>
    <w:rsid w:val="43C92044"/>
    <w:rsid w:val="486453B8"/>
    <w:rsid w:val="4FAA1F59"/>
    <w:rsid w:val="4FE912AB"/>
    <w:rsid w:val="51A862E4"/>
    <w:rsid w:val="52856670"/>
    <w:rsid w:val="55311752"/>
    <w:rsid w:val="5B4823B9"/>
    <w:rsid w:val="5CDB49E0"/>
    <w:rsid w:val="5CED6ADF"/>
    <w:rsid w:val="5D441192"/>
    <w:rsid w:val="613B1817"/>
    <w:rsid w:val="63696555"/>
    <w:rsid w:val="65592C27"/>
    <w:rsid w:val="6B466195"/>
    <w:rsid w:val="6C7C2F9C"/>
    <w:rsid w:val="72B64F76"/>
    <w:rsid w:val="732F1A1F"/>
    <w:rsid w:val="75346CA4"/>
    <w:rsid w:val="77F47058"/>
    <w:rsid w:val="7CED1A2A"/>
    <w:rsid w:val="7DC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  <w14:docId w14:val="53A15699"/>
  <w15:chartTrackingRefBased/>
  <w15:docId w15:val="{B24BC34A-B4C1-45BA-8E5A-79D5DA9AD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240" w:lineRule="auto" w:before="0" w:after="0"/>
      <w:jc w:val="both"/>
    </w:pPr>
    <w:rPr>
      <w:rFonts w:ascii="Times New Roman" w:hAnsi="Times New Roman" w:eastAsia="宋体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20" w:line="240" w:lineRule="auto"/>
      <w:jc w:val="center"/>
      <w:outlineLvl w:val="0"/>
    </w:pPr>
    <w:rPr>
      <w:rFonts w:ascii="Times New Roman" w:hAnsi="Times New Roman" w:eastAsia="黑体"/>
      <w:b/>
      <w:bCs/>
      <w:color w:val="000000"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60" w:after="60" w:line="240" w:lineRule="auto"/>
      <w:jc w:val="left"/>
      <w:outlineLvl w:val="1"/>
    </w:pPr>
    <w:rPr>
      <w:rFonts w:ascii="Times New Roman" w:hAnsi="Times New Roman" w:eastAsia="黑体"/>
      <w:b/>
      <w:bCs/>
      <w:color w:val="000000"/>
      <w:kern w:val="0"/>
      <w:sz w:val="24"/>
      <w:szCs w:val="32"/>
    </w:rPr>
  </w:style>
  <w:style w:type="paragraph" w:styleId="3">
    <w:name w:val="heading 3"/>
    <w:basedOn w:val="a"/>
    <w:link w:val="30"/>
    <w:uiPriority w:val="9"/>
    <w:qFormat/>
    <w:pPr>
      <w:keepNext/>
      <w:keepLines/>
      <w:widowControl/>
      <w:spacing w:before="120" w:beforeAutospacing="1" w:after="40" w:afterAutospacing="1" w:line="240" w:lineRule="auto"/>
      <w:jc w:val="left"/>
      <w:outlineLvl w:val="2"/>
    </w:pPr>
    <w:rPr>
      <w:rFonts w:ascii="Times New Roman" w:hAnsi="Times New Roman" w:eastAsia="楷体"/>
      <w:b/>
      <w:bCs/>
      <w:color w:val="000000"/>
      <w:kern w:val="0"/>
      <w:sz w:val="24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rPr>
      <w:rFonts w:ascii="Calibri" w:hAnsi="Calibri" w:cs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caption"/>
    <w:basedOn w:val="a"/>
    <w:next w:val="a"/>
    <w:link w:val="a4"/>
    <w:qFormat/>
    <w:pPr>
      <w:keepNext/>
      <w:widowControl/>
      <w:topLinePunct/>
      <w:adjustRightInd w:val="0"/>
      <w:snapToGrid w:val="0"/>
      <w:spacing w:before="80" w:after="60" w:line="240" w:lineRule="atLeast"/>
      <w:ind w:left="1702"/>
      <w:jc w:val="center"/>
    </w:pPr>
    <w:rPr>
      <w:rFonts w:ascii="Times New Roman" w:eastAsia="宋体" w:hAnsi="Times New Roman"/>
      <w:color w:val="000000"/>
      <w:kern w:val="0"/>
      <w:sz w:val="21"/>
      <w:szCs w:val="20"/>
    </w:rPr>
  </w:style>
  <w:style w:type="character" w:customStyle="1" w:styleId="a4">
    <w:name w:val="题注 字符"/>
    <w:link w:val="a3"/>
    <w:rPr>
      <w:rFonts w:ascii="Arial" w:eastAsia="黑体" w:hAnsi="Arial" w:cs="Arial" w:hint="default"/>
      <w:sz w:val="20"/>
      <w:szCs w:val="20"/>
    </w:rPr>
  </w:style>
  <w:style w:type="paragraph" w:styleId="a5">
    <w:name w:val="annotation text"/>
    <w:basedOn w:val="a"/>
    <w:link w:val="a6"/>
    <w:uiPriority w:val="99"/>
    <w:unhideWhenUsed/>
    <w:pPr>
      <w:jc w:val="left"/>
    </w:pPr>
    <w:rPr>
      <w:rFonts w:ascii="Calibri" w:hAnsi="Calibri"/>
    </w:rPr>
  </w:style>
  <w:style w:type="character" w:customStyle="1" w:styleId="a6">
    <w:name w:val="批注文字 字符"/>
    <w:link w:val="a5"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7">
    <w:name w:val="Plain Text"/>
    <w:basedOn w:val="a"/>
    <w:link w:val="a8"/>
    <w:unhideWhenUsed/>
    <w:pPr>
      <w:adjustRightInd w:val="0"/>
      <w:spacing w:line="312" w:lineRule="atLeast"/>
    </w:pPr>
    <w:rPr>
      <w:rFonts w:ascii="宋体" w:hAnsi="Courier New" w:hint="eastAsia"/>
      <w:kern w:val="0"/>
      <w:sz w:val="20"/>
      <w:szCs w:val="20"/>
    </w:rPr>
  </w:style>
  <w:style w:type="character" w:customStyle="1" w:styleId="a8">
    <w:name w:val="纯文本 字符"/>
    <w:link w:val="a7"/>
    <w:rPr>
      <w:rFonts w:ascii="宋体" w:eastAsia="宋体" w:hAnsi="Courier New" w:cs="Times New Roman" w:hint="eastAsia"/>
      <w:kern w:val="0"/>
      <w:szCs w:val="20"/>
    </w:rPr>
  </w:style>
  <w:style w:type="paragraph" w:styleId="a9">
    <w:name w:val="Date"/>
    <w:basedOn w:val="a"/>
    <w:next w:val="a"/>
    <w:link w:val="aa"/>
    <w:uiPriority w:val="99"/>
    <w:unhideWhenUsed/>
    <w:pPr>
      <w:ind w:leftChars="2500" w:left="100"/>
    </w:pPr>
  </w:style>
  <w:style w:type="character" w:customStyle="1" w:styleId="aa">
    <w:name w:val="日期 字符"/>
    <w:link w:val="a9"/>
    <w:uiPriority w:val="99"/>
    <w:semiHidden/>
    <w:rPr>
      <w:kern w:val="2"/>
      <w:sz w:val="21"/>
      <w:szCs w:val="22"/>
    </w:rPr>
  </w:style>
  <w:style w:type="paragraph" w:styleId="ab">
    <w:name w:val="endnote text"/>
    <w:basedOn w:val="a"/>
    <w:link w:val="ac"/>
    <w:uiPriority w:val="99"/>
    <w:unhideWhenUsed/>
    <w:pPr>
      <w:snapToGrid w:val="0"/>
      <w:jc w:val="left"/>
    </w:pPr>
  </w:style>
  <w:style w:type="character" w:customStyle="1" w:styleId="ac">
    <w:name w:val="尾注文本 字符"/>
    <w:link w:val="ab"/>
    <w:uiPriority w:val="99"/>
    <w:semiHidden/>
    <w:rPr>
      <w:kern w:val="2"/>
      <w:sz w:val="21"/>
      <w:szCs w:val="22"/>
    </w:rPr>
  </w:style>
  <w:style w:type="paragraph" w:styleId="ad">
    <w:name w:val="Balloon Text"/>
    <w:basedOn w:val="a"/>
    <w:link w:val="ae"/>
    <w:uiPriority w:val="99"/>
    <w:unhideWhenUsed/>
    <w:rPr>
      <w:kern w:val="0"/>
      <w:sz w:val="18"/>
      <w:szCs w:val="18"/>
    </w:rPr>
  </w:style>
  <w:style w:type="character" w:customStyle="1" w:styleId="ae">
    <w:name w:val="批注框文本 字符"/>
    <w:link w:val="ad"/>
    <w:uiPriority w:val="99"/>
    <w:semiHidden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f0">
    <w:name w:val="页脚 字符"/>
    <w:link w:val="af"/>
    <w:uiPriority w:val="99"/>
    <w:rPr>
      <w:sz w:val="18"/>
      <w:szCs w:val="18"/>
    </w:rPr>
  </w:style>
  <w:style w:type="paragraph" w:styleId="af1">
    <w:name w:val="header"/>
    <w:basedOn w:val="a"/>
    <w:link w:val="af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link w:val="af1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f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4">
    <w:name w:val="annotation subject"/>
    <w:basedOn w:val="a5"/>
    <w:next w:val="a5"/>
    <w:link w:val="af5"/>
    <w:unhideWhenUsed/>
    <w:rPr>
      <w:rFonts w:ascii="Times New Roman" w:hAnsi="Times New Roman"/>
      <w:b/>
      <w:kern w:val="0"/>
      <w:sz w:val="20"/>
      <w:szCs w:val="20"/>
    </w:rPr>
  </w:style>
  <w:style w:type="character" w:customStyle="1" w:styleId="af5">
    <w:name w:val="批注主题 字符"/>
    <w:link w:val="af4"/>
    <w:rPr>
      <w:b/>
    </w:rPr>
  </w:style>
  <w:style w:type="table" w:styleId="af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endnote reference"/>
    <w:uiPriority w:val="99"/>
    <w:unhideWhenUsed/>
    <w:rPr>
      <w:vertAlign w:val="superscript"/>
    </w:rPr>
  </w:style>
  <w:style w:type="character" w:styleId="af9">
    <w:name w:val="FollowedHyperlink"/>
    <w:uiPriority w:val="99"/>
    <w:unhideWhenUsed/>
    <w:rPr>
      <w:color w:val="954F72"/>
      <w:u w:val="single"/>
    </w:rPr>
  </w:style>
  <w:style w:type="character" w:styleId="afa">
    <w:name w:val="Hyperlink"/>
    <w:uiPriority w:val="99"/>
    <w:unhideWhenUsed/>
    <w:rPr>
      <w:color w:val="0563C1"/>
      <w:u w:val="single"/>
    </w:rPr>
  </w:style>
  <w:style w:type="character" w:styleId="afb">
    <w:name w:val="annotation reference"/>
    <w:uiPriority w:val="99"/>
    <w:unhideWhenUsed/>
    <w:rPr>
      <w:sz w:val="21"/>
      <w:szCs w:val="21"/>
    </w:rPr>
  </w:style>
  <w:style w:type="character" w:customStyle="1" w:styleId="afc">
    <w:name w:val="无间距字符"/>
    <w:link w:val="afd"/>
    <w:uiPriority w:val="1"/>
    <w:rPr>
      <w:sz w:val="22"/>
      <w:szCs w:val="22"/>
      <w:lang w:val="en-US" w:eastAsia="zh-CN" w:bidi="ar-SA"/>
    </w:rPr>
  </w:style>
  <w:style w:type="paragraph" w:customStyle="1" w:styleId="afd">
    <w:name w:val="无间距"/>
    <w:link w:val="afc"/>
    <w:uiPriority w:val="1"/>
    <w:qFormat/>
    <w:rPr>
      <w:sz w:val="22"/>
      <w:szCs w:val="22"/>
    </w:rPr>
  </w:style>
  <w:style w:type="character" w:customStyle="1" w:styleId="apple-converted-space">
    <w:name w:val="apple-converted-space"/>
  </w:style>
  <w:style w:type="character" w:customStyle="1" w:styleId="apple-style-span">
    <w:name w:val="apple-style-span"/>
  </w:style>
  <w:style w:type="character" w:customStyle="1" w:styleId="font61">
    <w:name w:val="font61"/>
    <w:rPr>
      <w:rFonts w:ascii="宋体" w:eastAsia="宋体" w:hAnsi="宋体" w:cs="宋体" w:hint="eastAsia"/>
      <w:i w:val="0"/>
      <w:color w:val="auto"/>
      <w:sz w:val="28"/>
      <w:szCs w:val="28"/>
      <w:u w:val="none"/>
    </w:r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style5">
    <w:name w:val="style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10">
    <w:name w:val="font1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1">
    <w:name w:val="列出段落2"/>
    <w:basedOn w:val="a"/>
    <w:pPr>
      <w:ind w:firstLineChars="200" w:firstLine="420"/>
    </w:pPr>
    <w:rPr>
      <w:rFonts w:ascii="Calibri" w:hAnsi="Calibri"/>
    </w:rPr>
  </w:style>
  <w:style w:type="paragraph" w:customStyle="1" w:styleId="FigurePlaceholder">
    <w:name w:val="Figure Placeholder"/>
    <w:pPr>
      <w:keepLines/>
      <w:spacing w:before="120" w:after="120"/>
      <w:jc w:val="center"/>
    </w:pPr>
    <w:rPr>
      <w:rFonts w:ascii="Times New Roman" w:hAnsi="Times New Roman" w:eastAsia="宋体"/>
      <w:i/>
      <w:color w:val="595959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../../../../../../../li/Downloads/&#21326;&#20026;&#26631;&#24535;%20Huawei%20Logo%20(1)/&#21326;&#20026;&#26631;&#24535;%20Huawei%20Logo%202018/&#31446;&#29256;&#26631;&#24535;Vertical%20Version/CMYK/JPG/HW_POS_CMYK_Vertical-300ppi.jp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</Words>
  <Characters>381</Characters>
  <Application>Microsoft Office Word</Application>
  <DocSecurity>4</DocSecurity>
  <PresentationFormat/>
  <Lines>3</Lines>
  <Paragraphs>1</Paragraphs>
  <Slides>0</Slides>
  <Notes>0</Notes>
  <HiddenSlides>0</HiddenSlides>
  <MMClips>0</MMClips>
  <ScaleCrop>false</ScaleCrop>
  <Company>Microsoft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算力约束下提升大语言模型能力的资源配置建模</dc:title>
  <dc:subject>华为杯中国研究生数学建模竞赛候选论文V1</dc:subject>
  <dc:creator/>
  <cp:keywords>大语言模型；数据质量；条件标度律；算力约束；资源配置；未验证情景</cp:keywords>
  <cp:lastModifiedBy>zihua zhi</cp:lastModifiedBy>
  <cp:revision>2</cp:revision>
  <cp:lastPrinted>2023-09-12T00:52:00Z</cp:lastPrinted>
  <dcterms:created xsi:type="dcterms:W3CDTF">2026-09-25T15:57:00Z</dcterms:created>
  <dcterms:modified xsi:type="dcterms:W3CDTF">2026-09-25T15:57:00Z</dcterms:modified>
  <dc:description>Built from the official Word template using frozen scientific interfaces.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(4)E3BzA9idHJ3fMsb1peQDBLAn9cfTq1XQ1SSk/kRKfHKrsZlNDH3Hde08wmWyC02dd69+H2cB_x000d_
mx6vOKzq9+pmMRCwMqb0JBqGnQKRTvN48ylYWonHDkJq8Qk04H4Ld8h8cReYVtSvJn83TRxb_x000d_
jXJzZ25R4VFk9XgukOzEGZoyRcjuZbR2DWExs2eRiyPN8+j5Mdj90CNtDlTWZ/04ToD0IZbh_x000d_
Lx+YXscxMPAz3mzS2c</vt:lpwstr>
  </property>
  <property fmtid="{D5CDD505-2E9C-101B-9397-08002B2CF9AE}" pid="3" name="_ms_pID_725343_00">
    <vt:lpwstr>_ms_pID_725343</vt:lpwstr>
  </property>
  <property fmtid="{D5CDD505-2E9C-101B-9397-08002B2CF9AE}" pid="4" name="_ms_pID_7253431">
    <vt:lpwstr>emdB8XKXYoavASNt+xklCJOcwnDPst/f8TEzKn3xWF3VENqZCHNGLk_x000d_
h9arA1zZPdnxPPKWjGc/tTZCDj9GGbwDHRJskOdgcmpcFwfmwAgdYJw1bMn7E6VVN17v9K/2_x000d_
w7lovRjeerbNo9IM6Wm/1nWgZe1YYEH39OwNOjuxuwOJzcs6GOhhpGZN32XuEGBhnscUOwML_x000d_
eaEWqb3wakMC+Lt+e79Hf748ovH2NYAszI2V</vt:lpwstr>
  </property>
  <property fmtid="{D5CDD505-2E9C-101B-9397-08002B2CF9AE}" pid="5" name="_ms_pID_7253431_00">
    <vt:lpwstr>_ms_pID_7253431</vt:lpwstr>
  </property>
  <property fmtid="{D5CDD505-2E9C-101B-9397-08002B2CF9AE}" pid="6" name="sflag">
    <vt:lpwstr>1369883589</vt:lpwstr>
  </property>
  <property fmtid="{D5CDD505-2E9C-101B-9397-08002B2CF9AE}" pid="7" name="_ms_pID_7253432">
    <vt:lpwstr>vp3+wMAcniTjVjpgzbHLRN+8tEBL+7KW1y6g_x000d_
9mlyWYYSSj8rXOLbQmJ2dXIwaGLCSqR9TU9uhgNR/sJLUshrdmrOjY4Ydh7MDa7vsiP6xi+1_x000d_
0in2VwsEaz/NkPwq2qnHnSmfJxbREJHF7OB1Im3OuXJMddyOclCwOlQ4YbSgLpVCbLF1q6b0_x000d_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0IErcXIEjunFYD/3Oh_x000d_
B5+uMH6D47Og84mRQ9pZLUfLRBxcrU8cHx9qQAZtW43FneyDTFqKmbNFAxelrb/4RMbSzduM_x000d_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KSOProductBuildVer">
    <vt:lpwstr>2052-12.1.0.18240</vt:lpwstr>
  </property>
  <property fmtid="{D5CDD505-2E9C-101B-9397-08002B2CF9AE}" pid="12" name="ICV">
    <vt:lpwstr>CB813F608F8C47299E072C9CA56D6E41_12</vt:lpwstr>
  </property>
</Properties>
</file>