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C9809" w14:textId="626167BC" w:rsidR="000A00C5" w:rsidRDefault="000A00C5" w:rsidP="000A00C5">
      <w:pPr>
        <w:widowControl/>
        <w:adjustRightInd w:val="0"/>
        <w:snapToGrid w:val="0"/>
        <w:spacing w:line="360" w:lineRule="auto"/>
        <w:jc w:val="left"/>
        <w:rPr>
          <w:rFonts w:ascii="Times New Roman" w:eastAsia="宋体" w:hAnsi="Times New Roman" w:cs="Times New Roman"/>
          <w:color w:val="000000"/>
          <w:kern w:val="0"/>
          <w:sz w:val="24"/>
          <w:szCs w:val="24"/>
        </w:rPr>
      </w:pPr>
      <w:r>
        <w:rPr>
          <w:noProof/>
        </w:rPr>
        <w:drawing>
          <wp:inline distT="0" distB="0" distL="0" distR="0" wp14:anchorId="4DD588AA" wp14:editId="543A352A">
            <wp:extent cx="5274310" cy="2975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75610"/>
                    </a:xfrm>
                    <a:prstGeom prst="rect">
                      <a:avLst/>
                    </a:prstGeom>
                  </pic:spPr>
                </pic:pic>
              </a:graphicData>
            </a:graphic>
          </wp:inline>
        </w:drawing>
      </w:r>
    </w:p>
    <w:p w14:paraId="177CB783" w14:textId="35106B99" w:rsidR="000A00C5" w:rsidRPr="000A00C5" w:rsidRDefault="000A00C5" w:rsidP="000A00C5">
      <w:pPr>
        <w:widowControl/>
        <w:adjustRightInd w:val="0"/>
        <w:snapToGrid w:val="0"/>
        <w:spacing w:line="360" w:lineRule="auto"/>
        <w:jc w:val="left"/>
        <w:rPr>
          <w:rFonts w:ascii="Times New Roman" w:eastAsia="宋体" w:hAnsi="Times New Roman" w:cs="Times New Roman"/>
          <w:color w:val="000000"/>
          <w:kern w:val="0"/>
          <w:sz w:val="24"/>
          <w:szCs w:val="24"/>
        </w:rPr>
      </w:pPr>
      <w:r w:rsidRPr="00CC3A7B">
        <w:rPr>
          <w:rFonts w:ascii="Times New Roman" w:eastAsia="宋体" w:hAnsi="Times New Roman" w:cs="Times New Roman"/>
          <w:color w:val="000000"/>
          <w:kern w:val="0"/>
          <w:sz w:val="24"/>
          <w:szCs w:val="24"/>
        </w:rPr>
        <w:t xml:space="preserve">All subjects were recruited from the Hainan Provincial People's Hospital, Haikou, China. The subjects’ basic information (gender, age, BMI, smoking, and alcoholism) and clinical indexes were recorded in </w:t>
      </w:r>
      <w:r w:rsidRPr="00190038">
        <w:rPr>
          <w:rFonts w:ascii="Times New Roman" w:eastAsia="宋体" w:hAnsi="Times New Roman" w:cs="Times New Roman"/>
          <w:b/>
          <w:bCs/>
          <w:color w:val="000000"/>
          <w:kern w:val="0"/>
          <w:sz w:val="24"/>
          <w:szCs w:val="24"/>
        </w:rPr>
        <w:t>Table S1</w:t>
      </w:r>
      <w:r w:rsidRPr="00CC3A7B">
        <w:rPr>
          <w:rFonts w:ascii="Times New Roman" w:eastAsia="宋体" w:hAnsi="Times New Roman" w:cs="Times New Roman"/>
          <w:color w:val="000000"/>
          <w:kern w:val="0"/>
          <w:sz w:val="24"/>
          <w:szCs w:val="24"/>
        </w:rPr>
        <w:t xml:space="preserve">. The study was reviewed and approved by the Ethics Committee of the Hainan Provincial People's Hospital (2018-109), and informed consent was obtained from all volunteers in written form before they were enrolled in the study. Sampling and all described subsequent steps were conducted in accordance with the approved guidelines. Fecal samples were collected from each subject in the healthy group in the morning before the first meal. The cohort consisted of three groups: the healthy control group (Healthy, </w:t>
      </w:r>
      <w:r w:rsidRPr="00CC3A7B">
        <w:rPr>
          <w:rFonts w:ascii="Times New Roman" w:eastAsia="宋体" w:hAnsi="Times New Roman" w:cs="Times New Roman"/>
          <w:i/>
          <w:iCs/>
          <w:color w:val="000000"/>
          <w:kern w:val="0"/>
          <w:sz w:val="24"/>
          <w:szCs w:val="24"/>
        </w:rPr>
        <w:t>n</w:t>
      </w:r>
      <w:r w:rsidRPr="00CC3A7B">
        <w:rPr>
          <w:rFonts w:ascii="Times New Roman" w:eastAsia="宋体" w:hAnsi="Times New Roman" w:cs="Times New Roman"/>
          <w:color w:val="000000"/>
          <w:kern w:val="0"/>
          <w:sz w:val="24"/>
          <w:szCs w:val="24"/>
        </w:rPr>
        <w:t xml:space="preserve"> = 62), the mild Graves’ disease patient group (GD I, </w:t>
      </w:r>
      <w:r w:rsidRPr="00CC3A7B">
        <w:rPr>
          <w:rFonts w:ascii="Times New Roman" w:eastAsia="宋体" w:hAnsi="Times New Roman" w:cs="Times New Roman"/>
          <w:i/>
          <w:iCs/>
          <w:color w:val="000000"/>
          <w:kern w:val="0"/>
          <w:sz w:val="24"/>
          <w:szCs w:val="24"/>
        </w:rPr>
        <w:t>n</w:t>
      </w:r>
      <w:r w:rsidRPr="00CC3A7B">
        <w:rPr>
          <w:rFonts w:ascii="Times New Roman" w:eastAsia="宋体" w:hAnsi="Times New Roman" w:cs="Times New Roman"/>
          <w:color w:val="000000"/>
          <w:kern w:val="0"/>
          <w:sz w:val="24"/>
          <w:szCs w:val="24"/>
        </w:rPr>
        <w:t xml:space="preserve"> = 64) and the severe Graves’ disease patient group (GD II, </w:t>
      </w:r>
      <w:r w:rsidRPr="00CC3A7B">
        <w:rPr>
          <w:rFonts w:ascii="Times New Roman" w:eastAsia="宋体" w:hAnsi="Times New Roman" w:cs="Times New Roman"/>
          <w:i/>
          <w:iCs/>
          <w:color w:val="000000"/>
          <w:kern w:val="0"/>
          <w:sz w:val="24"/>
          <w:szCs w:val="24"/>
        </w:rPr>
        <w:t>n</w:t>
      </w:r>
      <w:r w:rsidRPr="00CC3A7B">
        <w:rPr>
          <w:rFonts w:ascii="Times New Roman" w:eastAsia="宋体" w:hAnsi="Times New Roman" w:cs="Times New Roman"/>
          <w:color w:val="000000"/>
          <w:kern w:val="0"/>
          <w:sz w:val="24"/>
          <w:szCs w:val="24"/>
        </w:rPr>
        <w:t xml:space="preserve"> = 36) according to their thyroid-related diagnostic results (</w:t>
      </w:r>
      <w:r w:rsidRPr="00CC3A7B">
        <w:rPr>
          <w:rFonts w:ascii="Times New Roman" w:eastAsia="宋体" w:hAnsi="Times New Roman" w:cs="Times New Roman"/>
          <w:b/>
          <w:bCs/>
          <w:color w:val="000000"/>
          <w:kern w:val="0"/>
          <w:sz w:val="24"/>
          <w:szCs w:val="24"/>
        </w:rPr>
        <w:t>Fig. 1A</w:t>
      </w:r>
      <w:r w:rsidRPr="00CC3A7B">
        <w:rPr>
          <w:rFonts w:ascii="Times New Roman" w:eastAsia="宋体" w:hAnsi="Times New Roman" w:cs="Times New Roman"/>
          <w:color w:val="000000"/>
          <w:kern w:val="0"/>
          <w:sz w:val="24"/>
          <w:szCs w:val="24"/>
        </w:rPr>
        <w:t>). For each Graves’ disease patient, their fecal and blood samples were collected by a doctor during their clinical visit. After the weight of the fecal materials was determined, a sample protector (CW0592M, CWBIO, China) was added at a ratio of five-to-one to the sample to stabilize nucleotides. The samples were stored at -20 °C until further processing.</w:t>
      </w: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A</w:t>
      </w:r>
      <w:r w:rsidRPr="00CC3A7B">
        <w:rPr>
          <w:rFonts w:ascii="Times New Roman" w:eastAsia="宋体" w:hAnsi="Times New Roman" w:cs="Times New Roman"/>
          <w:color w:val="333333"/>
          <w:kern w:val="0"/>
          <w:sz w:val="24"/>
          <w:szCs w:val="24"/>
        </w:rPr>
        <w:t>total</w:t>
      </w:r>
      <w:proofErr w:type="spellEnd"/>
      <w:r w:rsidRPr="00CC3A7B">
        <w:rPr>
          <w:rFonts w:ascii="Times New Roman" w:eastAsia="宋体" w:hAnsi="Times New Roman" w:cs="Times New Roman"/>
          <w:color w:val="333333"/>
          <w:kern w:val="0"/>
          <w:sz w:val="24"/>
          <w:szCs w:val="24"/>
        </w:rPr>
        <w:t xml:space="preserve"> of e</w:t>
      </w:r>
      <w:r w:rsidRPr="00CC3A7B">
        <w:rPr>
          <w:rFonts w:ascii="Times New Roman" w:eastAsia="宋体" w:hAnsi="Times New Roman" w:cs="Times New Roman"/>
          <w:color w:val="000000"/>
          <w:kern w:val="0"/>
          <w:sz w:val="24"/>
          <w:szCs w:val="24"/>
        </w:rPr>
        <w:t>leven clinical indexes including alanine aminotransferase (ALT), direct bilirubin, free triiodothyronine (FT3), free thyroxine (FT4), thyroid-stimulating hormone (TSH), thyroid peroxidase antibodies (</w:t>
      </w:r>
      <w:proofErr w:type="spellStart"/>
      <w:r w:rsidRPr="00CC3A7B">
        <w:rPr>
          <w:rFonts w:ascii="Times New Roman" w:eastAsia="宋体" w:hAnsi="Times New Roman" w:cs="Times New Roman"/>
          <w:color w:val="000000"/>
          <w:kern w:val="0"/>
          <w:sz w:val="24"/>
          <w:szCs w:val="24"/>
        </w:rPr>
        <w:t>TPOAb</w:t>
      </w:r>
      <w:proofErr w:type="spellEnd"/>
      <w:r w:rsidRPr="00CC3A7B">
        <w:rPr>
          <w:rFonts w:ascii="Times New Roman" w:eastAsia="宋体" w:hAnsi="Times New Roman" w:cs="Times New Roman"/>
          <w:color w:val="000000"/>
          <w:kern w:val="0"/>
          <w:sz w:val="24"/>
          <w:szCs w:val="24"/>
        </w:rPr>
        <w:t>), thyroid-stimulating hormone receptor antibodies (</w:t>
      </w:r>
      <w:proofErr w:type="spellStart"/>
      <w:r w:rsidRPr="00CC3A7B">
        <w:rPr>
          <w:rFonts w:ascii="Times New Roman" w:eastAsia="宋体" w:hAnsi="Times New Roman" w:cs="Times New Roman"/>
          <w:color w:val="000000"/>
          <w:kern w:val="0"/>
          <w:sz w:val="24"/>
          <w:szCs w:val="24"/>
        </w:rPr>
        <w:t>TRAb</w:t>
      </w:r>
      <w:proofErr w:type="spellEnd"/>
      <w:r w:rsidRPr="00CC3A7B">
        <w:rPr>
          <w:rFonts w:ascii="Times New Roman" w:eastAsia="宋体" w:hAnsi="Times New Roman" w:cs="Times New Roman"/>
          <w:color w:val="000000"/>
          <w:kern w:val="0"/>
          <w:sz w:val="24"/>
          <w:szCs w:val="24"/>
        </w:rPr>
        <w:t>) and immune indexes interleukin-17A (IL-17A) and IL-23 were determined by using the enzyme-linked immunosorbent assay (ELISA) method.</w:t>
      </w:r>
    </w:p>
    <w:p w14:paraId="1EEC04E1" w14:textId="1527DB30" w:rsidR="00376E01" w:rsidRPr="000A00C5" w:rsidRDefault="00376E01" w:rsidP="000A00C5">
      <w:pPr>
        <w:ind w:firstLineChars="200" w:firstLine="420"/>
      </w:pPr>
    </w:p>
    <w:sectPr w:rsidR="00376E01" w:rsidRPr="000A0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E122A" w14:textId="77777777" w:rsidR="00C17DEF" w:rsidRDefault="00C17DEF" w:rsidP="000A00C5">
      <w:r>
        <w:separator/>
      </w:r>
    </w:p>
  </w:endnote>
  <w:endnote w:type="continuationSeparator" w:id="0">
    <w:p w14:paraId="65410085" w14:textId="77777777" w:rsidR="00C17DEF" w:rsidRDefault="00C17DEF" w:rsidP="000A0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C7C24" w14:textId="77777777" w:rsidR="00C17DEF" w:rsidRDefault="00C17DEF" w:rsidP="000A00C5">
      <w:r>
        <w:separator/>
      </w:r>
    </w:p>
  </w:footnote>
  <w:footnote w:type="continuationSeparator" w:id="0">
    <w:p w14:paraId="17B3AF1D" w14:textId="77777777" w:rsidR="00C17DEF" w:rsidRDefault="00C17DEF" w:rsidP="000A00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A3"/>
    <w:rsid w:val="000A00C5"/>
    <w:rsid w:val="00376E01"/>
    <w:rsid w:val="008360A3"/>
    <w:rsid w:val="00C1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B560A"/>
  <w15:chartTrackingRefBased/>
  <w15:docId w15:val="{2187E1AF-8B70-4F70-993D-05E3BAAC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00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00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00C5"/>
    <w:rPr>
      <w:sz w:val="18"/>
      <w:szCs w:val="18"/>
    </w:rPr>
  </w:style>
  <w:style w:type="paragraph" w:styleId="a5">
    <w:name w:val="footer"/>
    <w:basedOn w:val="a"/>
    <w:link w:val="a6"/>
    <w:uiPriority w:val="99"/>
    <w:unhideWhenUsed/>
    <w:rsid w:val="000A00C5"/>
    <w:pPr>
      <w:tabs>
        <w:tab w:val="center" w:pos="4153"/>
        <w:tab w:val="right" w:pos="8306"/>
      </w:tabs>
      <w:snapToGrid w:val="0"/>
      <w:jc w:val="left"/>
    </w:pPr>
    <w:rPr>
      <w:sz w:val="18"/>
      <w:szCs w:val="18"/>
    </w:rPr>
  </w:style>
  <w:style w:type="character" w:customStyle="1" w:styleId="a6">
    <w:name w:val="页脚 字符"/>
    <w:basedOn w:val="a0"/>
    <w:link w:val="a5"/>
    <w:uiPriority w:val="99"/>
    <w:rsid w:val="000A00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Jiachao Zhang</dc:creator>
  <cp:keywords/>
  <dc:description/>
  <cp:lastModifiedBy>Jiachao Zhang</cp:lastModifiedBy>
  <cp:revision>2</cp:revision>
  <dcterms:created xsi:type="dcterms:W3CDTF">2020-10-21T07:57:00Z</dcterms:created>
  <dcterms:modified xsi:type="dcterms:W3CDTF">2020-10-21T07:59:00Z</dcterms:modified>
</cp:coreProperties>
</file>