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B039D">
      <w:pPr>
        <w:spacing w:before="120" w:after="240"/>
        <w:jc w:val="center"/>
      </w:pPr>
      <w:bookmarkStart w:id="0" w:name="_GoBack"/>
      <w:bookmarkEnd w:id="0"/>
      <w:r>
        <w:rPr>
          <w:rFonts w:ascii="方正小标宋简体" w:hAnsi="方正小标宋简体" w:eastAsia="方正小标宋简体"/>
          <w:b/>
          <w:sz w:val="44"/>
        </w:rPr>
        <w:t>功率预测业务全景脉络</w:t>
      </w:r>
    </w:p>
    <w:p w14:paraId="08AEF4B9">
      <w:r>
        <w:rPr>
          <w:rFonts w:ascii="宋体" w:hAnsi="宋体" w:eastAsia="宋体"/>
          <w:b w:val="0"/>
          <w:sz w:val="22"/>
        </w:rPr>
        <w:t>（大纲）</w:t>
      </w:r>
    </w:p>
    <w:p w14:paraId="7717D930"/>
    <w:p w14:paraId="1497BC45">
      <w:pPr>
        <w:spacing w:before="280" w:after="120"/>
      </w:pPr>
      <w:r>
        <w:rPr>
          <w:rFonts w:ascii="黑体" w:hAnsi="黑体" w:eastAsia="黑体"/>
          <w:b/>
          <w:sz w:val="30"/>
        </w:rPr>
        <w:t>一、业务定位与预测目标</w:t>
      </w:r>
    </w:p>
    <w:p w14:paraId="286855E4">
      <w:pPr>
        <w:ind w:firstLine="440"/>
      </w:pPr>
      <w:r>
        <w:rPr>
          <w:rFonts w:ascii="宋体" w:hAnsi="宋体" w:eastAsia="宋体"/>
          <w:b w:val="0"/>
          <w:sz w:val="22"/>
        </w:rPr>
        <w:t>预测类型划分：短期（日前0-3天）、超短期（0-4小时滚动）、中长期（月度/季度）</w:t>
      </w:r>
    </w:p>
    <w:p w14:paraId="69989E7C">
      <w:pPr>
        <w:ind w:firstLine="440"/>
      </w:pPr>
      <w:r>
        <w:rPr>
          <w:rFonts w:ascii="宋体" w:hAnsi="宋体" w:eastAsia="宋体"/>
          <w:b w:val="0"/>
          <w:sz w:val="22"/>
        </w:rPr>
        <w:t>时间粒度与起报时次：15分钟分辨率，每日多个固定起报时次</w:t>
      </w:r>
    </w:p>
    <w:p w14:paraId="2891C61F">
      <w:pPr>
        <w:ind w:firstLine="440"/>
      </w:pPr>
      <w:r>
        <w:rPr>
          <w:rFonts w:ascii="宋体" w:hAnsi="宋体" w:eastAsia="宋体"/>
          <w:b w:val="0"/>
          <w:sz w:val="22"/>
        </w:rPr>
        <w:t>上报与考核约束：电网双细则考核规则、上报时间窗口、准确率与合格率门槛</w:t>
      </w:r>
    </w:p>
    <w:p w14:paraId="7C4EC752">
      <w:pPr>
        <w:spacing w:before="280" w:after="120"/>
      </w:pPr>
      <w:r>
        <w:rPr>
          <w:rFonts w:ascii="黑体" w:hAnsi="黑体" w:eastAsia="黑体"/>
          <w:b/>
          <w:sz w:val="30"/>
        </w:rPr>
        <w:t>二、气象数据供应链</w:t>
      </w:r>
    </w:p>
    <w:p w14:paraId="43FB21F6">
      <w:pPr>
        <w:spacing w:before="160" w:after="80"/>
      </w:pPr>
      <w:r>
        <w:rPr>
          <w:rFonts w:ascii="黑体" w:hAnsi="黑体" w:eastAsia="黑体"/>
          <w:b/>
          <w:sz w:val="25"/>
        </w:rPr>
        <w:t>数据下载</w:t>
      </w:r>
    </w:p>
    <w:p w14:paraId="5F39C241">
      <w:pPr>
        <w:ind w:firstLine="440"/>
      </w:pPr>
      <w:r>
        <w:rPr>
          <w:rFonts w:ascii="宋体" w:hAnsi="宋体" w:eastAsia="宋体"/>
          <w:b w:val="0"/>
          <w:sz w:val="22"/>
        </w:rPr>
        <w:t>多源数值天气预报的定时下载与落盘，涵盖全球模式、区域高分辨率模式、集合预报</w:t>
      </w:r>
    </w:p>
    <w:p w14:paraId="7F38BDCE">
      <w:pPr>
        <w:spacing w:before="160" w:after="80"/>
      </w:pPr>
      <w:r>
        <w:rPr>
          <w:rFonts w:ascii="黑体" w:hAnsi="黑体" w:eastAsia="黑体"/>
          <w:b/>
          <w:sz w:val="25"/>
        </w:rPr>
        <w:t>解析与标准化</w:t>
      </w:r>
    </w:p>
    <w:p w14:paraId="24C76CA3">
      <w:pPr>
        <w:ind w:firstLine="440"/>
      </w:pPr>
      <w:r>
        <w:rPr>
          <w:rFonts w:ascii="宋体" w:hAnsi="宋体" w:eastAsia="宋体"/>
          <w:b w:val="0"/>
          <w:sz w:val="22"/>
        </w:rPr>
        <w:t>不同格式（GRIB/NC等）解析、坐标对齐、变量提取、统一存储格式</w:t>
      </w:r>
    </w:p>
    <w:p w14:paraId="5A5E02A1">
      <w:pPr>
        <w:spacing w:before="160" w:after="80"/>
      </w:pPr>
      <w:r>
        <w:rPr>
          <w:rFonts w:ascii="黑体" w:hAnsi="黑体" w:eastAsia="黑体"/>
          <w:b/>
          <w:sz w:val="25"/>
        </w:rPr>
        <w:t>中尺度数值模拟与降尺度</w:t>
      </w:r>
    </w:p>
    <w:p w14:paraId="45373BCC">
      <w:pPr>
        <w:ind w:firstLine="440"/>
      </w:pPr>
      <w:r>
        <w:rPr>
          <w:rFonts w:ascii="宋体" w:hAnsi="宋体" w:eastAsia="宋体"/>
          <w:b w:val="0"/>
          <w:sz w:val="22"/>
        </w:rPr>
        <w:t>以全球模式（如EC、GFS）为背景场驱动中尺度模式（如WRF），进行区域高分辨率模拟与降尺度</w:t>
      </w:r>
    </w:p>
    <w:p w14:paraId="5C92CCF5">
      <w:pPr>
        <w:ind w:firstLine="440"/>
      </w:pPr>
      <w:r>
        <w:rPr>
          <w:rFonts w:ascii="宋体" w:hAnsi="宋体" w:eastAsia="宋体"/>
          <w:b w:val="0"/>
          <w:sz w:val="22"/>
        </w:rPr>
        <w:t>将粗分辨率全球预报细化到场站周边数公里级网格，捕捉地形、微气候带来的局地气象特征</w:t>
      </w:r>
    </w:p>
    <w:p w14:paraId="6F4A590B">
      <w:pPr>
        <w:ind w:firstLine="440"/>
      </w:pPr>
      <w:r>
        <w:rPr>
          <w:rFonts w:ascii="宋体" w:hAnsi="宋体" w:eastAsia="宋体"/>
          <w:b w:val="0"/>
          <w:sz w:val="22"/>
        </w:rPr>
        <w:t>物理参数化方案配置：微物理、积云、边界层、辐射等方案的选择与调优</w:t>
      </w:r>
    </w:p>
    <w:p w14:paraId="2CF7EAF6">
      <w:pPr>
        <w:ind w:firstLine="440"/>
      </w:pPr>
      <w:r>
        <w:rPr>
          <w:rFonts w:ascii="宋体" w:hAnsi="宋体" w:eastAsia="宋体"/>
          <w:b w:val="0"/>
          <w:sz w:val="22"/>
        </w:rPr>
        <w:t>模拟结果后处理：风速垂直插值到轮毂高度、辐照度斜面转换、数据质量检验</w:t>
      </w:r>
    </w:p>
    <w:p w14:paraId="6D2C6FD5">
      <w:pPr>
        <w:spacing w:before="160" w:after="80"/>
      </w:pPr>
      <w:r>
        <w:rPr>
          <w:rFonts w:ascii="黑体" w:hAnsi="黑体" w:eastAsia="黑体"/>
          <w:b/>
          <w:sz w:val="25"/>
        </w:rPr>
        <w:t>多源管理</w:t>
      </w:r>
    </w:p>
    <w:p w14:paraId="320786E7">
      <w:pPr>
        <w:ind w:firstLine="440"/>
      </w:pPr>
      <w:r>
        <w:rPr>
          <w:rFonts w:ascii="宋体" w:hAnsi="宋体" w:eastAsia="宋体"/>
          <w:b w:val="0"/>
          <w:sz w:val="22"/>
        </w:rPr>
        <w:t>多气象源的注册、配置、优先级管理，支持随时增减气象源</w:t>
      </w:r>
    </w:p>
    <w:p w14:paraId="5A475EB7">
      <w:pPr>
        <w:spacing w:before="160" w:after="80"/>
      </w:pPr>
      <w:r>
        <w:rPr>
          <w:rFonts w:ascii="黑体" w:hAnsi="黑体" w:eastAsia="黑体"/>
          <w:b/>
          <w:sz w:val="25"/>
        </w:rPr>
        <w:t>数据中断应对</w:t>
      </w:r>
    </w:p>
    <w:p w14:paraId="652E4524">
      <w:pPr>
        <w:ind w:firstLine="440"/>
      </w:pPr>
      <w:r>
        <w:rPr>
          <w:rFonts w:ascii="宋体" w:hAnsi="宋体" w:eastAsia="宋体"/>
          <w:b w:val="0"/>
          <w:sz w:val="22"/>
        </w:rPr>
        <w:t>下载失败自动重试、备用源切换、历史数据兜底、中断告警与人工介入</w:t>
      </w:r>
    </w:p>
    <w:p w14:paraId="1CBB3A6C">
      <w:pPr>
        <w:spacing w:before="160" w:after="80"/>
      </w:pPr>
      <w:r>
        <w:rPr>
          <w:rFonts w:ascii="黑体" w:hAnsi="黑体" w:eastAsia="黑体"/>
          <w:b/>
          <w:sz w:val="25"/>
        </w:rPr>
        <w:t>数据质量监控</w:t>
      </w:r>
    </w:p>
    <w:p w14:paraId="66F800D6">
      <w:pPr>
        <w:ind w:firstLine="440"/>
      </w:pPr>
      <w:r>
        <w:rPr>
          <w:rFonts w:ascii="宋体" w:hAnsi="宋体" w:eastAsia="宋体"/>
          <w:b w:val="0"/>
          <w:sz w:val="22"/>
        </w:rPr>
        <w:t>到达时效监控、完整性校验、异常值自动告警</w:t>
      </w:r>
    </w:p>
    <w:p w14:paraId="60416190">
      <w:pPr>
        <w:spacing w:before="280" w:after="120"/>
      </w:pPr>
      <w:r>
        <w:rPr>
          <w:rFonts w:ascii="黑体" w:hAnsi="黑体" w:eastAsia="黑体"/>
          <w:b/>
          <w:sz w:val="30"/>
        </w:rPr>
        <w:t>三、场站数据采集与治理</w:t>
      </w:r>
    </w:p>
    <w:p w14:paraId="0C6BD287">
      <w:pPr>
        <w:spacing w:before="160" w:after="80"/>
      </w:pPr>
      <w:r>
        <w:rPr>
          <w:rFonts w:ascii="黑体" w:hAnsi="黑体" w:eastAsia="黑体"/>
          <w:b/>
          <w:sz w:val="25"/>
        </w:rPr>
        <w:t>实测数据接入</w:t>
      </w:r>
    </w:p>
    <w:p w14:paraId="76155BCB">
      <w:pPr>
        <w:ind w:firstLine="440"/>
      </w:pPr>
      <w:r>
        <w:rPr>
          <w:rFonts w:ascii="宋体" w:hAnsi="宋体" w:eastAsia="宋体"/>
          <w:b w:val="0"/>
          <w:sz w:val="22"/>
        </w:rPr>
        <w:t>实测功率、风机/逆变器运行数据、测风塔/气象站观测数据的接入</w:t>
      </w:r>
    </w:p>
    <w:p w14:paraId="4DDB6741">
      <w:pPr>
        <w:spacing w:before="160" w:after="80"/>
      </w:pPr>
      <w:r>
        <w:rPr>
          <w:rFonts w:ascii="黑体" w:hAnsi="黑体" w:eastAsia="黑体"/>
          <w:b/>
          <w:sz w:val="25"/>
        </w:rPr>
        <w:t>静态参数管理</w:t>
      </w:r>
    </w:p>
    <w:p w14:paraId="0B7F06DC">
      <w:pPr>
        <w:ind w:firstLine="440"/>
      </w:pPr>
      <w:r>
        <w:rPr>
          <w:rFonts w:ascii="宋体" w:hAnsi="宋体" w:eastAsia="宋体"/>
          <w:b w:val="0"/>
          <w:sz w:val="22"/>
        </w:rPr>
        <w:t>装机容量、设备参数、光伏板倾角与方位角、场站经纬度的配置与维护</w:t>
      </w:r>
    </w:p>
    <w:p w14:paraId="10006E3A">
      <w:pPr>
        <w:spacing w:before="160" w:after="80"/>
      </w:pPr>
      <w:r>
        <w:rPr>
          <w:rFonts w:ascii="黑体" w:hAnsi="黑体" w:eastAsia="黑体"/>
          <w:b/>
          <w:sz w:val="25"/>
        </w:rPr>
        <w:t>数据质量控制</w:t>
      </w:r>
    </w:p>
    <w:p w14:paraId="16751C15">
      <w:pPr>
        <w:ind w:firstLine="440"/>
      </w:pPr>
      <w:r>
        <w:rPr>
          <w:rFonts w:ascii="宋体" w:hAnsi="宋体" w:eastAsia="宋体"/>
          <w:b w:val="0"/>
          <w:sz w:val="22"/>
        </w:rPr>
        <w:t>异常值检测与修正、停机/限电/检修等非正常运行时段剔除、缺失值插值补全</w:t>
      </w:r>
    </w:p>
    <w:p w14:paraId="03970259">
      <w:pPr>
        <w:spacing w:before="160" w:after="80"/>
      </w:pPr>
      <w:r>
        <w:rPr>
          <w:rFonts w:ascii="黑体" w:hAnsi="黑体" w:eastAsia="黑体"/>
          <w:b/>
          <w:sz w:val="25"/>
        </w:rPr>
        <w:t>分布式场站适配</w:t>
      </w:r>
    </w:p>
    <w:p w14:paraId="55CF0EC5">
      <w:pPr>
        <w:ind w:firstLine="440"/>
      </w:pPr>
      <w:r>
        <w:rPr>
          <w:rFonts w:ascii="宋体" w:hAnsi="宋体" w:eastAsia="宋体"/>
          <w:b w:val="0"/>
          <w:sz w:val="22"/>
        </w:rPr>
        <w:t>分散式场站的特殊数据处理逻辑</w:t>
      </w:r>
    </w:p>
    <w:p w14:paraId="11EFD554">
      <w:pPr>
        <w:spacing w:before="280" w:after="120"/>
      </w:pPr>
      <w:r>
        <w:rPr>
          <w:rFonts w:ascii="黑体" w:hAnsi="黑体" w:eastAsia="黑体"/>
          <w:b/>
          <w:sz w:val="30"/>
        </w:rPr>
        <w:t>四、特征工程与建模</w:t>
      </w:r>
    </w:p>
    <w:p w14:paraId="07FB7C25">
      <w:pPr>
        <w:spacing w:before="160" w:after="80"/>
      </w:pPr>
      <w:r>
        <w:rPr>
          <w:rFonts w:ascii="黑体" w:hAnsi="黑体" w:eastAsia="黑体"/>
          <w:b/>
          <w:sz w:val="25"/>
        </w:rPr>
        <w:t>时间特征</w:t>
      </w:r>
    </w:p>
    <w:p w14:paraId="61B3821E">
      <w:pPr>
        <w:ind w:firstLine="440"/>
      </w:pPr>
      <w:r>
        <w:rPr>
          <w:rFonts w:ascii="宋体" w:hAnsi="宋体" w:eastAsia="宋体"/>
          <w:b w:val="0"/>
          <w:sz w:val="22"/>
        </w:rPr>
        <w:t>日内周期编码，表征季节与日内规律</w:t>
      </w:r>
    </w:p>
    <w:p w14:paraId="5399A108">
      <w:pPr>
        <w:spacing w:before="160" w:after="80"/>
      </w:pPr>
      <w:r>
        <w:rPr>
          <w:rFonts w:ascii="黑体" w:hAnsi="黑体" w:eastAsia="黑体"/>
          <w:b/>
          <w:sz w:val="25"/>
        </w:rPr>
        <w:t>气象特征变换</w:t>
      </w:r>
    </w:p>
    <w:p w14:paraId="2E0BBA8D">
      <w:pPr>
        <w:ind w:firstLine="440"/>
      </w:pPr>
      <w:r>
        <w:rPr>
          <w:rFonts w:ascii="宋体" w:hAnsi="宋体" w:eastAsia="宋体"/>
          <w:b w:val="0"/>
          <w:sz w:val="22"/>
        </w:rPr>
        <w:t>NWP风速→功率映射修正、辐照度斜面转换（水平面→组件倾角面）</w:t>
      </w:r>
    </w:p>
    <w:p w14:paraId="48CE101B">
      <w:pPr>
        <w:spacing w:before="160" w:after="80"/>
      </w:pPr>
      <w:r>
        <w:rPr>
          <w:rFonts w:ascii="黑体" w:hAnsi="黑体" w:eastAsia="黑体"/>
          <w:b/>
          <w:sz w:val="25"/>
        </w:rPr>
        <w:t>空间特征</w:t>
      </w:r>
    </w:p>
    <w:p w14:paraId="51CEAD67">
      <w:pPr>
        <w:ind w:firstLine="440"/>
      </w:pPr>
      <w:r>
        <w:rPr>
          <w:rFonts w:ascii="宋体" w:hAnsi="宋体" w:eastAsia="宋体"/>
          <w:b w:val="0"/>
          <w:sz w:val="22"/>
        </w:rPr>
        <w:t>网格气象场空间特征提取、多源网格拼接与筛选</w:t>
      </w:r>
    </w:p>
    <w:p w14:paraId="6B06A60A">
      <w:pPr>
        <w:spacing w:before="160" w:after="80"/>
      </w:pPr>
      <w:r>
        <w:rPr>
          <w:rFonts w:ascii="黑体" w:hAnsi="黑体" w:eastAsia="黑体"/>
          <w:b/>
          <w:sz w:val="25"/>
        </w:rPr>
        <w:t>时序特征</w:t>
      </w:r>
    </w:p>
    <w:p w14:paraId="11F9D29C">
      <w:pPr>
        <w:ind w:firstLine="440"/>
      </w:pPr>
      <w:r>
        <w:rPr>
          <w:rFonts w:ascii="宋体" w:hAnsi="宋体" w:eastAsia="宋体"/>
          <w:b w:val="0"/>
          <w:sz w:val="22"/>
        </w:rPr>
        <w:t>前后时段位移特征、滚动统计量</w:t>
      </w:r>
    </w:p>
    <w:p w14:paraId="6DB59696">
      <w:pPr>
        <w:spacing w:before="160" w:after="80"/>
      </w:pPr>
      <w:r>
        <w:rPr>
          <w:rFonts w:ascii="黑体" w:hAnsi="黑体" w:eastAsia="黑体"/>
          <w:b/>
          <w:sz w:val="25"/>
        </w:rPr>
        <w:t>预测建模</w:t>
      </w:r>
    </w:p>
    <w:p w14:paraId="71E44142">
      <w:pPr>
        <w:ind w:firstLine="440"/>
      </w:pPr>
      <w:r>
        <w:rPr>
          <w:rFonts w:ascii="宋体" w:hAnsi="宋体" w:eastAsia="宋体"/>
          <w:b w:val="0"/>
          <w:sz w:val="22"/>
        </w:rPr>
        <w:t>物理模型：基于中尺度模拟高分辨率气象场，通过风机功率曲线/光伏理论模型直接推算功率，不依赖历史训练数据</w:t>
      </w:r>
    </w:p>
    <w:p w14:paraId="3BEB6CD7">
      <w:pPr>
        <w:ind w:firstLine="440"/>
      </w:pPr>
      <w:r>
        <w:rPr>
          <w:rFonts w:ascii="宋体" w:hAnsi="宋体" w:eastAsia="宋体"/>
          <w:b w:val="0"/>
          <w:sz w:val="22"/>
        </w:rPr>
        <w:t>统计与机器学习：梯度提升树（LightGBM/XGBoost）、多层感知机，训练快、可解释性强</w:t>
      </w:r>
    </w:p>
    <w:p w14:paraId="17229F0A">
      <w:pPr>
        <w:ind w:firstLine="440"/>
      </w:pPr>
      <w:r>
        <w:rPr>
          <w:rFonts w:ascii="宋体" w:hAnsi="宋体" w:eastAsia="宋体"/>
          <w:b w:val="0"/>
          <w:sz w:val="22"/>
        </w:rPr>
        <w:t>深度学习：ConvLSTM提取气象场时空演变、注意力机制自动加权重要通道、多任务学习（风速辅助+功率主任务联合训练）</w:t>
      </w:r>
    </w:p>
    <w:p w14:paraId="02CFFAE2">
      <w:pPr>
        <w:ind w:firstLine="440"/>
      </w:pPr>
      <w:r>
        <w:rPr>
          <w:rFonts w:ascii="宋体" w:hAnsi="宋体" w:eastAsia="宋体"/>
          <w:b w:val="0"/>
          <w:sz w:val="22"/>
        </w:rPr>
        <w:t>多模型集成融合、天气分类后分别建模（雨/阴/晴）</w:t>
      </w:r>
    </w:p>
    <w:p w14:paraId="27F0F008">
      <w:pPr>
        <w:spacing w:before="160" w:after="80"/>
      </w:pPr>
      <w:r>
        <w:rPr>
          <w:rFonts w:ascii="黑体" w:hAnsi="黑体" w:eastAsia="黑体"/>
          <w:b/>
          <w:sz w:val="25"/>
        </w:rPr>
        <w:t>建模模式</w:t>
      </w:r>
    </w:p>
    <w:p w14:paraId="28469ED5">
      <w:pPr>
        <w:ind w:firstLine="440"/>
      </w:pPr>
      <w:r>
        <w:rPr>
          <w:rFonts w:ascii="宋体" w:hAnsi="宋体" w:eastAsia="宋体"/>
          <w:b w:val="0"/>
          <w:sz w:val="22"/>
        </w:rPr>
        <w:t>整点训练+插值（高效）、多输出独立建模（精细）</w:t>
      </w:r>
    </w:p>
    <w:p w14:paraId="20371325">
      <w:pPr>
        <w:spacing w:before="280" w:after="120"/>
      </w:pPr>
      <w:r>
        <w:rPr>
          <w:rFonts w:ascii="黑体" w:hAnsi="黑体" w:eastAsia="黑体"/>
          <w:b/>
          <w:sz w:val="30"/>
        </w:rPr>
        <w:t>五、后处理与结果保障</w:t>
      </w:r>
    </w:p>
    <w:p w14:paraId="34ACAB6A">
      <w:pPr>
        <w:spacing w:before="160" w:after="80"/>
      </w:pPr>
      <w:r>
        <w:rPr>
          <w:rFonts w:ascii="黑体" w:hAnsi="黑体" w:eastAsia="黑体"/>
          <w:b/>
          <w:sz w:val="25"/>
        </w:rPr>
        <w:t>物理约束</w:t>
      </w:r>
    </w:p>
    <w:p w14:paraId="2AC35221">
      <w:pPr>
        <w:ind w:firstLine="440"/>
      </w:pPr>
      <w:r>
        <w:rPr>
          <w:rFonts w:ascii="宋体" w:hAnsi="宋体" w:eastAsia="宋体"/>
          <w:b w:val="0"/>
          <w:sz w:val="22"/>
        </w:rPr>
        <w:t>功率限幅到合法范围、切出风速处理、光伏夜间置零</w:t>
      </w:r>
    </w:p>
    <w:p w14:paraId="4F2DB651">
      <w:pPr>
        <w:spacing w:before="160" w:after="80"/>
      </w:pPr>
      <w:r>
        <w:rPr>
          <w:rFonts w:ascii="黑体" w:hAnsi="黑体" w:eastAsia="黑体"/>
          <w:b/>
          <w:sz w:val="25"/>
        </w:rPr>
        <w:t>曲线修正</w:t>
      </w:r>
    </w:p>
    <w:p w14:paraId="62CD4CC1">
      <w:pPr>
        <w:ind w:firstLine="440"/>
      </w:pPr>
      <w:r>
        <w:rPr>
          <w:rFonts w:ascii="宋体" w:hAnsi="宋体" w:eastAsia="宋体"/>
          <w:b w:val="0"/>
          <w:sz w:val="22"/>
        </w:rPr>
        <w:t>波谷下拉拉伸、平滑处理</w:t>
      </w:r>
    </w:p>
    <w:p w14:paraId="6F0F0F7B">
      <w:pPr>
        <w:spacing w:before="160" w:after="80"/>
      </w:pPr>
      <w:r>
        <w:rPr>
          <w:rFonts w:ascii="黑体" w:hAnsi="黑体" w:eastAsia="黑体"/>
          <w:b/>
          <w:sz w:val="25"/>
        </w:rPr>
        <w:t>合理性校验</w:t>
      </w:r>
    </w:p>
    <w:p w14:paraId="25C50D15">
      <w:pPr>
        <w:ind w:firstLine="440"/>
      </w:pPr>
      <w:r>
        <w:rPr>
          <w:rFonts w:ascii="宋体" w:hAnsi="宋体" w:eastAsia="宋体"/>
          <w:b w:val="0"/>
          <w:sz w:val="22"/>
        </w:rPr>
        <w:t>功率-辐照度匹配检验、抛物线拟合度、满发检测、变化率异常检测</w:t>
      </w:r>
    </w:p>
    <w:p w14:paraId="4E9CD440">
      <w:pPr>
        <w:spacing w:before="160" w:after="80"/>
      </w:pPr>
      <w:r>
        <w:rPr>
          <w:rFonts w:ascii="黑体" w:hAnsi="黑体" w:eastAsia="黑体"/>
          <w:b/>
          <w:sz w:val="25"/>
        </w:rPr>
        <w:t>不确定性量化</w:t>
      </w:r>
    </w:p>
    <w:p w14:paraId="614D261F">
      <w:pPr>
        <w:ind w:firstLine="440"/>
      </w:pPr>
      <w:r>
        <w:rPr>
          <w:rFonts w:ascii="宋体" w:hAnsi="宋体" w:eastAsia="宋体"/>
          <w:b w:val="0"/>
          <w:sz w:val="22"/>
        </w:rPr>
        <w:t>基于历史误差分布估计预测置信区间</w:t>
      </w:r>
    </w:p>
    <w:p w14:paraId="2C48F1B4">
      <w:pPr>
        <w:spacing w:before="280" w:after="120"/>
      </w:pPr>
      <w:r>
        <w:rPr>
          <w:rFonts w:ascii="黑体" w:hAnsi="黑体" w:eastAsia="黑体"/>
          <w:b/>
          <w:sz w:val="30"/>
        </w:rPr>
        <w:t>六、模型管理与迭代</w:t>
      </w:r>
    </w:p>
    <w:p w14:paraId="7C078282">
      <w:pPr>
        <w:spacing w:before="160" w:after="80"/>
      </w:pPr>
      <w:r>
        <w:rPr>
          <w:rFonts w:ascii="黑体" w:hAnsi="黑体" w:eastAsia="黑体"/>
          <w:b/>
          <w:sz w:val="25"/>
        </w:rPr>
        <w:t>生命周期管理</w:t>
      </w:r>
    </w:p>
    <w:p w14:paraId="7BFEE509">
      <w:pPr>
        <w:ind w:firstLine="440"/>
      </w:pPr>
      <w:r>
        <w:rPr>
          <w:rFonts w:ascii="宋体" w:hAnsi="宋体" w:eastAsia="宋体"/>
          <w:b w:val="0"/>
          <w:sz w:val="22"/>
        </w:rPr>
        <w:t>训练 → 评估 → 择优 → 发布 → 预测 → 调度，闭环运转</w:t>
      </w:r>
    </w:p>
    <w:p w14:paraId="2F1DC4F4">
      <w:pPr>
        <w:spacing w:before="160" w:after="80"/>
      </w:pPr>
      <w:r>
        <w:rPr>
          <w:rFonts w:ascii="黑体" w:hAnsi="黑体" w:eastAsia="黑体"/>
          <w:b/>
          <w:sz w:val="25"/>
        </w:rPr>
        <w:t>评估体系</w:t>
      </w:r>
    </w:p>
    <w:p w14:paraId="182A65EE">
      <w:pPr>
        <w:ind w:firstLine="440"/>
      </w:pPr>
      <w:r>
        <w:rPr>
          <w:rFonts w:ascii="宋体" w:hAnsi="宋体" w:eastAsia="宋体"/>
          <w:b w:val="0"/>
          <w:sz w:val="22"/>
        </w:rPr>
        <w:t>多场景多指标评估，评估与择优分离（支持不影响线上的纯回测）</w:t>
      </w:r>
    </w:p>
    <w:p w14:paraId="7ADC32CF">
      <w:pPr>
        <w:spacing w:before="160" w:after="80"/>
      </w:pPr>
      <w:r>
        <w:rPr>
          <w:rFonts w:ascii="黑体" w:hAnsi="黑体" w:eastAsia="黑体"/>
          <w:b/>
          <w:sz w:val="25"/>
        </w:rPr>
        <w:t>自动择优</w:t>
      </w:r>
    </w:p>
    <w:p w14:paraId="7B1C3B87">
      <w:pPr>
        <w:ind w:firstLine="440"/>
      </w:pPr>
      <w:r>
        <w:rPr>
          <w:rFonts w:ascii="宋体" w:hAnsi="宋体" w:eastAsia="宋体"/>
          <w:b w:val="0"/>
          <w:sz w:val="22"/>
        </w:rPr>
        <w:t>同一场站多模型按评估得分排序，自动选用最优上线，次优模型兜底</w:t>
      </w:r>
    </w:p>
    <w:p w14:paraId="202D31E5">
      <w:pPr>
        <w:spacing w:before="160" w:after="80"/>
      </w:pPr>
      <w:r>
        <w:rPr>
          <w:rFonts w:ascii="黑体" w:hAnsi="黑体" w:eastAsia="黑体"/>
          <w:b/>
          <w:sz w:val="25"/>
        </w:rPr>
        <w:t>版本迭代</w:t>
      </w:r>
    </w:p>
    <w:p w14:paraId="64C070C7">
      <w:pPr>
        <w:ind w:firstLine="440"/>
      </w:pPr>
      <w:r>
        <w:rPr>
          <w:rFonts w:ascii="宋体" w:hAnsi="宋体" w:eastAsia="宋体"/>
          <w:b w:val="0"/>
          <w:sz w:val="22"/>
        </w:rPr>
        <w:t>模型版本管理、参数调优、持续迭代上线</w:t>
      </w:r>
    </w:p>
    <w:p w14:paraId="6900E77A">
      <w:pPr>
        <w:spacing w:before="280" w:after="120"/>
      </w:pPr>
      <w:r>
        <w:rPr>
          <w:rFonts w:ascii="黑体" w:hAnsi="黑体" w:eastAsia="黑体"/>
          <w:b/>
          <w:sz w:val="30"/>
        </w:rPr>
        <w:t>七、运行调度与发布</w:t>
      </w:r>
    </w:p>
    <w:p w14:paraId="290817E8">
      <w:pPr>
        <w:spacing w:before="160" w:after="80"/>
      </w:pPr>
      <w:r>
        <w:rPr>
          <w:rFonts w:ascii="黑体" w:hAnsi="黑体" w:eastAsia="黑体"/>
          <w:b/>
          <w:sz w:val="25"/>
        </w:rPr>
        <w:t>定时预测</w:t>
      </w:r>
    </w:p>
    <w:p w14:paraId="46F9F077">
      <w:pPr>
        <w:ind w:firstLine="440"/>
      </w:pPr>
      <w:r>
        <w:rPr>
          <w:rFonts w:ascii="宋体" w:hAnsi="宋体" w:eastAsia="宋体"/>
          <w:b w:val="0"/>
          <w:sz w:val="22"/>
        </w:rPr>
        <w:t>按起报时次自动触发预测全流程</w:t>
      </w:r>
    </w:p>
    <w:p w14:paraId="3CC95D86">
      <w:pPr>
        <w:spacing w:before="160" w:after="80"/>
      </w:pPr>
      <w:r>
        <w:rPr>
          <w:rFonts w:ascii="黑体" w:hAnsi="黑体" w:eastAsia="黑体"/>
          <w:b/>
          <w:sz w:val="25"/>
        </w:rPr>
        <w:t>结果发布</w:t>
      </w:r>
    </w:p>
    <w:p w14:paraId="1273E322">
      <w:pPr>
        <w:ind w:firstLine="440"/>
      </w:pPr>
      <w:r>
        <w:rPr>
          <w:rFonts w:ascii="宋体" w:hAnsi="宋体" w:eastAsia="宋体"/>
          <w:b w:val="0"/>
          <w:sz w:val="22"/>
        </w:rPr>
        <w:t>预测结果入库、上报推送（对接电网报送通道）</w:t>
      </w:r>
    </w:p>
    <w:p w14:paraId="5602C25D">
      <w:pPr>
        <w:spacing w:before="160" w:after="80"/>
      </w:pPr>
      <w:r>
        <w:rPr>
          <w:rFonts w:ascii="黑体" w:hAnsi="黑体" w:eastAsia="黑体"/>
          <w:b/>
          <w:sz w:val="25"/>
        </w:rPr>
        <w:t>运行监控</w:t>
      </w:r>
    </w:p>
    <w:p w14:paraId="07841AE5">
      <w:pPr>
        <w:ind w:firstLine="440"/>
      </w:pPr>
      <w:r>
        <w:rPr>
          <w:rFonts w:ascii="宋体" w:hAnsi="宋体" w:eastAsia="宋体"/>
          <w:b w:val="0"/>
          <w:sz w:val="22"/>
        </w:rPr>
        <w:t>训练/预测状态追踪、失败重跑、异常告警</w:t>
      </w:r>
    </w:p>
    <w:p w14:paraId="138E57B3">
      <w:pPr>
        <w:spacing w:before="160" w:after="80"/>
      </w:pPr>
      <w:r>
        <w:rPr>
          <w:rFonts w:ascii="黑体" w:hAnsi="黑体" w:eastAsia="黑体"/>
          <w:b/>
          <w:sz w:val="25"/>
        </w:rPr>
        <w:t>调度管理</w:t>
      </w:r>
    </w:p>
    <w:p w14:paraId="1C192304">
      <w:pPr>
        <w:ind w:firstLine="440"/>
      </w:pPr>
      <w:r>
        <w:rPr>
          <w:rFonts w:ascii="宋体" w:hAnsi="宋体" w:eastAsia="宋体"/>
          <w:b w:val="0"/>
          <w:sz w:val="22"/>
        </w:rPr>
        <w:t>定时任务配置、依赖编排、执行日志</w:t>
      </w:r>
    </w:p>
    <w:p w14:paraId="7B8546E7">
      <w:pPr>
        <w:spacing w:before="280" w:after="120"/>
      </w:pPr>
      <w:r>
        <w:rPr>
          <w:rFonts w:ascii="黑体" w:hAnsi="黑体" w:eastAsia="黑体"/>
          <w:b/>
          <w:sz w:val="30"/>
        </w:rPr>
        <w:t>八、准确率运维与考核分析</w:t>
      </w:r>
    </w:p>
    <w:p w14:paraId="6084F3FB">
      <w:pPr>
        <w:spacing w:before="160" w:after="80"/>
      </w:pPr>
      <w:r>
        <w:rPr>
          <w:rFonts w:ascii="黑体" w:hAnsi="黑体" w:eastAsia="黑体"/>
          <w:b/>
          <w:sz w:val="25"/>
        </w:rPr>
        <w:t>日常运维监控</w:t>
      </w:r>
    </w:p>
    <w:p w14:paraId="390915E4">
      <w:pPr>
        <w:ind w:firstLine="440"/>
      </w:pPr>
      <w:r>
        <w:rPr>
          <w:rFonts w:ascii="宋体" w:hAnsi="宋体" w:eastAsia="宋体"/>
          <w:b w:val="0"/>
          <w:sz w:val="22"/>
        </w:rPr>
        <w:t>各场站准确率/合格率日报、周报、月报，异常场站自动标红</w:t>
      </w:r>
    </w:p>
    <w:p w14:paraId="3E9700EA">
      <w:pPr>
        <w:spacing w:before="160" w:after="80"/>
      </w:pPr>
      <w:r>
        <w:rPr>
          <w:rFonts w:ascii="黑体" w:hAnsi="黑体" w:eastAsia="黑体"/>
          <w:b/>
          <w:sz w:val="25"/>
        </w:rPr>
        <w:t>偏差分析</w:t>
      </w:r>
    </w:p>
    <w:p w14:paraId="3F21A591">
      <w:pPr>
        <w:ind w:firstLine="440"/>
      </w:pPr>
      <w:r>
        <w:rPr>
          <w:rFonts w:ascii="宋体" w:hAnsi="宋体" w:eastAsia="宋体"/>
          <w:b w:val="0"/>
          <w:sz w:val="22"/>
        </w:rPr>
        <w:t>预测-实测偏差归因分析（气象源偏差/模型偏差/数据缺失/限电未剔除等），输出分析报告</w:t>
      </w:r>
    </w:p>
    <w:p w14:paraId="0E9CA6CA">
      <w:pPr>
        <w:spacing w:before="160" w:after="80"/>
      </w:pPr>
      <w:r>
        <w:rPr>
          <w:rFonts w:ascii="黑体" w:hAnsi="黑体" w:eastAsia="黑体"/>
          <w:b/>
          <w:sz w:val="25"/>
        </w:rPr>
        <w:t>考核追踪</w:t>
      </w:r>
    </w:p>
    <w:p w14:paraId="36E9E242">
      <w:pPr>
        <w:ind w:firstLine="440"/>
      </w:pPr>
      <w:r>
        <w:rPr>
          <w:rFonts w:ascii="宋体" w:hAnsi="宋体" w:eastAsia="宋体"/>
          <w:b w:val="0"/>
          <w:sz w:val="22"/>
        </w:rPr>
        <w:t>对接电网考核结果，统计考核电量与罚款金额，跟踪改善趋势</w:t>
      </w:r>
    </w:p>
    <w:p w14:paraId="106F0FC8">
      <w:pPr>
        <w:spacing w:before="160" w:after="80"/>
      </w:pPr>
      <w:r>
        <w:rPr>
          <w:rFonts w:ascii="黑体" w:hAnsi="黑体" w:eastAsia="黑体"/>
          <w:b/>
          <w:sz w:val="25"/>
        </w:rPr>
        <w:t>考核计算工具</w:t>
      </w:r>
    </w:p>
    <w:p w14:paraId="1DAAF9B5">
      <w:pPr>
        <w:ind w:firstLine="440"/>
      </w:pPr>
      <w:r>
        <w:rPr>
          <w:rFonts w:ascii="宋体" w:hAnsi="宋体" w:eastAsia="宋体"/>
          <w:b w:val="0"/>
          <w:sz w:val="22"/>
        </w:rPr>
        <w:t>按各省份双细则规则开发的考核电量计算器，支持本地化预核算与"如果怎样"分析</w:t>
      </w:r>
    </w:p>
    <w:p w14:paraId="46970BFD">
      <w:pPr>
        <w:spacing w:before="160" w:after="80"/>
      </w:pPr>
      <w:r>
        <w:rPr>
          <w:rFonts w:ascii="黑体" w:hAnsi="黑体" w:eastAsia="黑体"/>
          <w:b/>
          <w:sz w:val="25"/>
        </w:rPr>
        <w:t>区域对标</w:t>
      </w:r>
    </w:p>
    <w:p w14:paraId="0A2766DE">
      <w:pPr>
        <w:ind w:firstLine="440"/>
      </w:pPr>
      <w:r>
        <w:rPr>
          <w:rFonts w:ascii="宋体" w:hAnsi="宋体" w:eastAsia="宋体"/>
          <w:b w:val="0"/>
          <w:sz w:val="22"/>
        </w:rPr>
        <w:t>区域内场站横向对比、同类型场站基准对标、短板定位</w:t>
      </w:r>
    </w:p>
    <w:p w14:paraId="6435086C">
      <w:pPr>
        <w:spacing w:before="280" w:after="120"/>
      </w:pPr>
      <w:r>
        <w:rPr>
          <w:rFonts w:ascii="黑体" w:hAnsi="黑体" w:eastAsia="黑体"/>
          <w:b/>
          <w:sz w:val="30"/>
        </w:rPr>
        <w:t>九、客户服务与交付</w:t>
      </w:r>
    </w:p>
    <w:p w14:paraId="3B57A88C">
      <w:pPr>
        <w:spacing w:before="160" w:after="80"/>
      </w:pPr>
      <w:r>
        <w:rPr>
          <w:rFonts w:ascii="黑体" w:hAnsi="黑体" w:eastAsia="黑体"/>
          <w:b/>
          <w:sz w:val="25"/>
        </w:rPr>
        <w:t>报表交付</w:t>
      </w:r>
    </w:p>
    <w:p w14:paraId="44DB89C5">
      <w:pPr>
        <w:ind w:firstLine="440"/>
      </w:pPr>
      <w:r>
        <w:rPr>
          <w:rFonts w:ascii="宋体" w:hAnsi="宋体" w:eastAsia="宋体"/>
          <w:b w:val="0"/>
          <w:sz w:val="22"/>
        </w:rPr>
        <w:t>向业主/电网定期交付预测报表、准确率报告</w:t>
      </w:r>
    </w:p>
    <w:p w14:paraId="2FDF85C6">
      <w:pPr>
        <w:spacing w:before="160" w:after="80"/>
      </w:pPr>
      <w:r>
        <w:rPr>
          <w:rFonts w:ascii="黑体" w:hAnsi="黑体" w:eastAsia="黑体"/>
          <w:b/>
          <w:sz w:val="25"/>
        </w:rPr>
        <w:t>可视化看板</w:t>
      </w:r>
    </w:p>
    <w:p w14:paraId="55798CF3">
      <w:pPr>
        <w:ind w:firstLine="440"/>
      </w:pPr>
      <w:r>
        <w:rPr>
          <w:rFonts w:ascii="宋体" w:hAnsi="宋体" w:eastAsia="宋体"/>
          <w:b w:val="0"/>
          <w:sz w:val="22"/>
        </w:rPr>
        <w:t>场站预测曲线、实测对比、气象数据展示</w:t>
      </w:r>
    </w:p>
    <w:p w14:paraId="64DEC3FE">
      <w:pPr>
        <w:spacing w:before="160" w:after="80"/>
      </w:pPr>
      <w:r>
        <w:rPr>
          <w:rFonts w:ascii="黑体" w:hAnsi="黑体" w:eastAsia="黑体"/>
          <w:b/>
          <w:sz w:val="25"/>
        </w:rPr>
        <w:t>异常响应</w:t>
      </w:r>
    </w:p>
    <w:p w14:paraId="565FF889">
      <w:pPr>
        <w:ind w:firstLine="440"/>
      </w:pPr>
      <w:r>
        <w:rPr>
          <w:rFonts w:ascii="宋体" w:hAnsi="宋体" w:eastAsia="宋体"/>
          <w:b w:val="0"/>
          <w:sz w:val="22"/>
        </w:rPr>
        <w:t>突发准确率下降的快速响应与处置</w:t>
      </w:r>
    </w:p>
    <w:p w14:paraId="043E9F6D">
      <w:pPr>
        <w:spacing w:before="160" w:after="80"/>
      </w:pPr>
      <w:r>
        <w:rPr>
          <w:rFonts w:ascii="黑体" w:hAnsi="黑体" w:eastAsia="黑体"/>
          <w:b/>
          <w:sz w:val="25"/>
        </w:rPr>
        <w:t>新场站接入</w:t>
      </w:r>
    </w:p>
    <w:p w14:paraId="34617288">
      <w:pPr>
        <w:ind w:firstLine="440"/>
      </w:pPr>
      <w:r>
        <w:rPr>
          <w:rFonts w:ascii="宋体" w:hAnsi="宋体" w:eastAsia="宋体"/>
          <w:b w:val="0"/>
          <w:sz w:val="22"/>
        </w:rPr>
        <w:t>新场站从数据接入、模型配置到上线的标准化交付流程</w:t>
      </w:r>
    </w:p>
    <w:p w14:paraId="73559796">
      <w:pPr>
        <w:spacing w:before="280" w:after="120"/>
      </w:pPr>
      <w:r>
        <w:rPr>
          <w:rFonts w:ascii="黑体" w:hAnsi="黑体" w:eastAsia="黑体"/>
          <w:b/>
          <w:sz w:val="30"/>
        </w:rPr>
        <w:t>十、平台化与工具链</w:t>
      </w:r>
    </w:p>
    <w:p w14:paraId="602659D6">
      <w:pPr>
        <w:spacing w:before="160" w:after="80"/>
      </w:pPr>
      <w:r>
        <w:rPr>
          <w:rFonts w:ascii="黑体" w:hAnsi="黑体" w:eastAsia="黑体"/>
          <w:b/>
          <w:sz w:val="25"/>
        </w:rPr>
        <w:t>算法平台</w:t>
      </w:r>
    </w:p>
    <w:p w14:paraId="0D92573D">
      <w:pPr>
        <w:ind w:firstLine="440"/>
      </w:pPr>
      <w:r>
        <w:rPr>
          <w:rFonts w:ascii="宋体" w:hAnsi="宋体" w:eastAsia="宋体"/>
          <w:b w:val="0"/>
          <w:sz w:val="22"/>
        </w:rPr>
        <w:t>组件化拖拽编排、DAG流水线引擎、训练/评估/发布全链路工具</w:t>
      </w:r>
    </w:p>
    <w:p w14:paraId="1B44F659">
      <w:pPr>
        <w:spacing w:before="160" w:after="80"/>
      </w:pPr>
      <w:r>
        <w:rPr>
          <w:rFonts w:ascii="黑体" w:hAnsi="黑体" w:eastAsia="黑体"/>
          <w:b/>
          <w:sz w:val="25"/>
        </w:rPr>
        <w:t>数据平台</w:t>
      </w:r>
    </w:p>
    <w:p w14:paraId="42A9A454">
      <w:pPr>
        <w:ind w:firstLine="440"/>
      </w:pPr>
      <w:r>
        <w:rPr>
          <w:rFonts w:ascii="宋体" w:hAnsi="宋体" w:eastAsia="宋体"/>
          <w:b w:val="0"/>
          <w:sz w:val="22"/>
        </w:rPr>
        <w:t>数仓存储、数据字典、取数工具</w:t>
      </w:r>
    </w:p>
    <w:p w14:paraId="75E21869">
      <w:pPr>
        <w:spacing w:before="160" w:after="80"/>
      </w:pPr>
      <w:r>
        <w:rPr>
          <w:rFonts w:ascii="黑体" w:hAnsi="黑体" w:eastAsia="黑体"/>
          <w:b/>
          <w:sz w:val="25"/>
        </w:rPr>
        <w:t>分析工具</w:t>
      </w:r>
    </w:p>
    <w:p w14:paraId="7E93C599">
      <w:pPr>
        <w:ind w:firstLine="440"/>
      </w:pPr>
      <w:r>
        <w:rPr>
          <w:rFonts w:ascii="宋体" w:hAnsi="宋体" w:eastAsia="宋体"/>
          <w:b w:val="0"/>
          <w:sz w:val="22"/>
        </w:rPr>
        <w:t>偏差分析脚本、考核计算工具、图表自动生成</w:t>
      </w:r>
    </w:p>
    <w:p w14:paraId="6DC391D7">
      <w:pPr>
        <w:spacing w:before="160" w:after="80"/>
      </w:pPr>
      <w:r>
        <w:rPr>
          <w:rFonts w:ascii="黑体" w:hAnsi="黑体" w:eastAsia="黑体"/>
          <w:b/>
          <w:sz w:val="25"/>
        </w:rPr>
        <w:t>运维工具</w:t>
      </w:r>
    </w:p>
    <w:p w14:paraId="7960A12D">
      <w:pPr>
        <w:ind w:firstLine="440"/>
      </w:pPr>
      <w:r>
        <w:rPr>
          <w:rFonts w:ascii="宋体" w:hAnsi="宋体" w:eastAsia="宋体"/>
          <w:b w:val="0"/>
          <w:sz w:val="22"/>
        </w:rPr>
        <w:t>场站健康诊断、模型运行状态监控、告警通知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84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1633</Words>
  <Characters>1675</Characters>
  <Lines>0</Lines>
  <Paragraphs>0</Paragraphs>
  <TotalTime>0</TotalTime>
  <ScaleCrop>false</ScaleCrop>
  <LinksUpToDate>false</LinksUpToDate>
  <CharactersWithSpaces>1685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鹤琳</cp:lastModifiedBy>
  <dcterms:modified xsi:type="dcterms:W3CDTF">2026-08-04T13:03:50Z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3EAAA8AAE96B40F0BCEF2644CE0D12AB_13</vt:lpwstr>
  </property>
</Properties>
</file>