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黑体" w:hAnsi="黑体" w:eastAsia="黑体"/>
          <w:b/>
          <w:sz w:val="36"/>
        </w:rPr>
        <w:t>Nyx 128³ 气体密度可视化分析报告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ChinaVis 2026 赛道1-II</w:t>
      </w:r>
    </w:p>
    <w:p/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摘要</w:t>
      </w:r>
    </w:p>
    <w:p>
      <w:pPr>
        <w:spacing w:line="360" w:lineRule="auto" w:after="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本文针对 Nyx 宇宙学模拟输出的 128³ 重子气体密度场（100 个时间步），完成体渲染、时序 log 直方图统计与相空间刷选联动分析。全域密度范围 7.75–14.52。统计显示 σ 由 0.4318 增至 0.4983，分位跨度 p99−p01 由 2.098 增至 2.414，结构由近似均匀转向 void—filament—node 分化。Top 1% 高密度尾在投影与体渲染中呈丝状聚集；由亮脊反推的密度带为 ρ∈[11.23, 12.16]，与刷选结果一致。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关键词</w:t>
      </w:r>
    </w:p>
    <w:p>
      <w:pPr>
        <w:spacing w:line="360" w:lineRule="auto" w:after="0" w:before="0"/>
        <w:jc w:val="both"/>
      </w:pPr>
      <w:r>
        <w:rPr>
          <w:rFonts w:ascii="宋体" w:hAnsi="宋体" w:eastAsia="宋体"/>
          <w:b w:val="0"/>
          <w:sz w:val="24"/>
        </w:rPr>
        <w:t>体渲染；Nyx；宇宙网；时序直方图；相空间刷选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sz w:val="32"/>
        </w:rPr>
        <w:t>一、体数据渲染与密度演化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1.1 方法</w:t>
      </w:r>
    </w:p>
    <w:p>
      <w:pPr>
        <w:spacing w:line="360" w:lineRule="auto" w:after="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数据为 Nyx 官方 128³ 气体密度，100 时间步，小端 float32，体素索引 z→y→x。体渲染基于 vtk.js 光线投射，传递函数在 log 域按全域 p01–p99 映射（cosmic 预设）。选取 t=0、25、50、75、99 五帧，固定相机与色标，1920×1080 截取体渲染图。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1.2 观察</w:t>
      </w:r>
    </w:p>
    <w:p>
      <w:pPr>
        <w:spacing w:line="360" w:lineRule="auto" w:after="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t=0 整体呈均匀雾状，filament 对比度低；t=25–50 丝状结构逐渐连通，void 区域扩大；t=99 宇宙网拓扑清晰，高密度脊线与节点形成亮带，与统计右尾增厚相对应。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1"/>
        </w:rPr>
        <w:t>表1 五代表步密度统计量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时间步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均值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标准差 σ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p99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最大值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9.4854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0.4318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10.7255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13.8433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9.4369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0.4525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10.7402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14.0505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9.3954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0.4693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10.7507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14.3269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9.3556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0.4847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10.7547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14.3541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99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9.3187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0.4983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10.7601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14.4494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30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str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3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图1 五时刻体渲染对比（t=0/25/50/75/99，统一色标）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图2 t=0 体渲染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ol_t009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图3 t=99 体渲染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sz w:val="32"/>
        </w:rPr>
        <w:t>二、宇宙密度演化规律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2.1 物理背景与指标</w:t>
      </w:r>
    </w:p>
    <w:p>
      <w:pPr>
        <w:spacing w:line="360" w:lineRule="auto" w:after="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数据来自 Nyx 宇宙学流体模拟（AMReX），子体积为重子气体密度而非暗物质。100 步演化对应引力不稳定下，由微涨落向宇宙网拓扑分化的过程；IGM 占体积主体，可见亮脊对应极少数高密度尾。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1"/>
        </w:rPr>
        <w:t>表2 t=0 与 t=99 演化指标对比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t=0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t=99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变化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标准差 σ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0.4318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0.4983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+15.4%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分位跨度 p99−p01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2.098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2.414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+15.1%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偏度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0.7162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0.7183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右偏维持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≥p99 体积占比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1.00%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1.00%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约 1% 量级</w:t>
            </w:r>
          </w:p>
        </w:tc>
      </w:tr>
    </w:tbl>
    <w:p/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2.2 结论</w:t>
      </w:r>
    </w:p>
    <w:p>
      <w:pPr>
        <w:spacing w:line="360" w:lineRule="auto" w:after="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（1）σ(t) 整体上升，涨落增强；（2）分布持续右偏，低密度 void 与高密度节点并存；（3）Top 1% 体素在空间投影中呈丝状，与体渲染亮脊位置一致（见任务四）。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71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evolution_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1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图4 100步全域统计：分位跨度、σ、高密度尾占比与偏度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sz w:val="32"/>
        </w:rPr>
        <w:t>三、时序密度对数直方图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3.1 方法</w:t>
      </w:r>
    </w:p>
    <w:p>
      <w:pPr>
        <w:spacing w:line="360" w:lineRule="auto" w:after="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对 100 步密度做 log 等距分箱（128 bins），边界 [7.7533, 14.5231]。分箱中心取几何均值，直方图为归一化频数；同步输出 mean、σ、分位数与偏度时序。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1"/>
        </w:rPr>
        <w:t>表3 直方图演化要点（t=0→99）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量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t=0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t=99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σ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0.4318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0.4983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团块化、涨落扩大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偏度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0.7162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0.7183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右尾增厚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p50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9.4504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9.2745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主峰略移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p99−p01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2.098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2.414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两极分化</w:t>
            </w:r>
          </w:p>
        </w:tc>
      </w:tr>
    </w:tbl>
    <w:p/>
    <w:p>
      <w:pPr>
        <w:spacing w:line="360" w:lineRule="auto" w:after="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与赛题描述一致：早期密度集中于均值附近，后期直方图主峰略移、右尾抬升，对应 void 与致密节点并存；100 步序列比单帧切片更能说明趋势。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4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hist_over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4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图5 代表步 log 直方图叠加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99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metrics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99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图6 100步 mean、p99 与 σ 时序曲线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6723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evolution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7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图7 σ、偏度与 p99−p01 分位跨度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sz w:val="32"/>
        </w:rPr>
        <w:t>四、相空间刷选联动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4.1 系统</w:t>
      </w:r>
    </w:p>
    <w:p>
      <w:pPr>
        <w:spacing w:line="360" w:lineRule="auto" w:after="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交互页含 log 直方图（D3）与 vtk.js 体渲染：用户框选密度区间，体素传递函数高亮，2D 最大密度投影以金色标出刷选结果；Top 1% 阈值为 ρ≥10.7601，Bottom 1% 为 ρ≤8.3458。刷选扫描在 Web Worker 中执行，避免阻塞渲染。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1"/>
        </w:rPr>
        <w:t>表4 刷选验证摘要（t=99）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方向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空间表现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统计对应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统计→空间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Top 1% 刷选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XY 投影丝状/节点聚集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ρ≥10.76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统计→空间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Bottom 1% 刷选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投影稀疏区域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ρ≤8.35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空间→统计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亮脊识别（P88）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金色 filament 区域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ρ∈[11.23, 12.16]</w:t>
            </w:r>
          </w:p>
        </w:tc>
      </w:tr>
    </w:tbl>
    <w:p/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4.2 讨论</w:t>
      </w:r>
    </w:p>
    <w:p>
      <w:pPr>
        <w:spacing w:line="360" w:lineRule="auto" w:after="0" w:before="0"/>
        <w:ind w:firstLine="480"/>
        <w:jc w:val="both"/>
      </w:pPr>
      <w:r>
        <w:rPr>
          <w:rFonts w:ascii="宋体" w:hAnsi="宋体" w:eastAsia="宋体"/>
          <w:b w:val="0"/>
          <w:sz w:val="24"/>
        </w:rPr>
        <w:t>Top 1% 刷选后投影非随机散点，而与体渲染亮脊重合，说明高密度尾对应宇宙网致密结构。自投影识别 filament 后反查密度带，在直方图上的位置与 Top 1% 区间一致，形成统计—空间双向可验证的闭环。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692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spatial_to_sta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6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图8 空间→统计：filament 亮脊与对应密度带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7746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brush_tripty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7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图9 Top 1% 刷选：直方图—体渲染—投影三联验证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035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hist_brush_top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0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图10 Top 1% 直方图刷选区间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422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brush_top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2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宋体" w:hAnsi="宋体" w:eastAsia="宋体"/>
          <w:b w:val="0"/>
          <w:sz w:val="21"/>
        </w:rPr>
        <w:t>图11 Top 1% 空间投影高亮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sz w:val="28"/>
        </w:rPr>
        <w:t>工具说明</w:t>
      </w:r>
    </w:p>
    <w:p>
      <w:pPr>
        <w:spacing w:line="360" w:lineRule="auto" w:after="0" w:before="0"/>
        <w:jc w:val="both"/>
      </w:pPr>
      <w:r>
        <w:rPr>
          <w:rFonts w:ascii="宋体" w:hAnsi="宋体" w:eastAsia="宋体"/>
          <w:b w:val="0"/>
          <w:sz w:val="24"/>
        </w:rPr>
        <w:t>前端：Vite、React、vtk.js、D3；预计算与静态图：Python（precompute、generate_figures）；体渲染截图：Playwright。数据与统计结果可由 public/stats/timeline.json 复现。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