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674B8A" w14:textId="4B8806E2" w:rsidR="00940392" w:rsidRDefault="001B3BDA">
      <w:pPr>
        <w:spacing w:after="0" w:line="240" w:lineRule="auto"/>
        <w:jc w:val="center"/>
        <w:rPr>
          <w:rFonts w:ascii="黑体" w:eastAsia="黑体" w:hAnsi="黑体"/>
          <w:b/>
          <w:sz w:val="32"/>
        </w:rPr>
      </w:pPr>
      <w:r>
        <w:rPr>
          <w:rFonts w:ascii="黑体" w:eastAsia="黑体" w:hAnsi="黑体" w:hint="eastAsia"/>
          <w:b/>
          <w:sz w:val="32"/>
        </w:rPr>
        <w:t>20</w:t>
      </w:r>
      <w:r>
        <w:rPr>
          <w:rFonts w:ascii="黑体" w:eastAsia="黑体" w:hAnsi="黑体"/>
          <w:b/>
          <w:sz w:val="32"/>
        </w:rPr>
        <w:t>2</w:t>
      </w:r>
      <w:r w:rsidR="000A51D6">
        <w:rPr>
          <w:rFonts w:ascii="黑体" w:eastAsia="黑体" w:hAnsi="黑体"/>
          <w:b/>
          <w:sz w:val="32"/>
        </w:rPr>
        <w:t>6</w:t>
      </w:r>
      <w:r>
        <w:rPr>
          <w:rFonts w:ascii="黑体" w:eastAsia="黑体" w:hAnsi="黑体" w:hint="eastAsia"/>
          <w:b/>
          <w:sz w:val="32"/>
        </w:rPr>
        <w:t>年第十</w:t>
      </w:r>
      <w:r w:rsidR="000A51D6">
        <w:rPr>
          <w:rFonts w:ascii="黑体" w:eastAsia="黑体" w:hAnsi="黑体" w:hint="eastAsia"/>
          <w:b/>
          <w:sz w:val="32"/>
        </w:rPr>
        <w:t>三</w:t>
      </w:r>
      <w:r>
        <w:rPr>
          <w:rFonts w:ascii="黑体" w:eastAsia="黑体" w:hAnsi="黑体" w:hint="eastAsia"/>
          <w:b/>
          <w:sz w:val="32"/>
        </w:rPr>
        <w:t>届</w:t>
      </w:r>
      <w:r>
        <w:rPr>
          <w:rFonts w:ascii="黑体" w:eastAsia="黑体" w:hAnsi="黑体"/>
          <w:b/>
          <w:sz w:val="32"/>
        </w:rPr>
        <w:t>中国可视化与可视分析大会</w:t>
      </w:r>
    </w:p>
    <w:p w14:paraId="4DC9B2F7" w14:textId="6C3018E8" w:rsidR="00940392" w:rsidRDefault="001B3BDA">
      <w:pPr>
        <w:spacing w:after="0" w:line="240" w:lineRule="auto"/>
        <w:jc w:val="center"/>
        <w:rPr>
          <w:rFonts w:ascii="黑体" w:eastAsia="黑体" w:hAnsi="黑体"/>
          <w:b/>
          <w:sz w:val="32"/>
        </w:rPr>
      </w:pPr>
      <w:r>
        <w:rPr>
          <w:rFonts w:ascii="黑体" w:eastAsia="黑体" w:hAnsi="黑体"/>
          <w:b/>
          <w:sz w:val="32"/>
        </w:rPr>
        <w:t>数据可视</w:t>
      </w:r>
      <w:r>
        <w:rPr>
          <w:rFonts w:ascii="黑体" w:eastAsia="黑体" w:hAnsi="黑体" w:hint="eastAsia"/>
          <w:b/>
          <w:sz w:val="32"/>
        </w:rPr>
        <w:t>化竞赛 赛道1</w:t>
      </w:r>
      <w:r w:rsidR="005F3163">
        <w:rPr>
          <w:rFonts w:ascii="黑体" w:eastAsia="黑体" w:hAnsi="黑体"/>
          <w:b/>
          <w:sz w:val="32"/>
        </w:rPr>
        <w:t>-</w:t>
      </w:r>
      <w:r w:rsidR="005F3163">
        <w:rPr>
          <w:rFonts w:ascii="黑体" w:eastAsia="黑体" w:hAnsi="黑体" w:hint="eastAsia"/>
          <w:b/>
          <w:sz w:val="32"/>
        </w:rPr>
        <w:t>I</w:t>
      </w:r>
      <w:r w:rsidR="00E40CB4">
        <w:rPr>
          <w:rFonts w:ascii="黑体" w:eastAsia="黑体" w:hAnsi="黑体" w:hint="eastAsia"/>
          <w:b/>
          <w:sz w:val="32"/>
        </w:rPr>
        <w:t>I</w:t>
      </w:r>
    </w:p>
    <w:p w14:paraId="4DE392A9" w14:textId="60E7FBBC" w:rsidR="00940392" w:rsidRDefault="001B3BDA">
      <w:pPr>
        <w:spacing w:after="0" w:line="240" w:lineRule="auto"/>
        <w:jc w:val="center"/>
        <w:rPr>
          <w:rFonts w:ascii="黑体" w:eastAsia="黑体" w:hAnsi="黑体"/>
          <w:b/>
          <w:sz w:val="28"/>
        </w:rPr>
      </w:pPr>
      <w:r>
        <w:rPr>
          <w:rFonts w:ascii="黑体" w:eastAsia="黑体" w:hAnsi="黑体"/>
          <w:b/>
          <w:sz w:val="28"/>
        </w:rPr>
        <w:t>（</w:t>
      </w:r>
      <w:proofErr w:type="spellStart"/>
      <w:r>
        <w:rPr>
          <w:rFonts w:ascii="黑体" w:eastAsia="黑体" w:hAnsi="黑体"/>
          <w:b/>
          <w:sz w:val="28"/>
        </w:rPr>
        <w:t>ChinaVis</w:t>
      </w:r>
      <w:proofErr w:type="spellEnd"/>
      <w:r>
        <w:rPr>
          <w:rFonts w:ascii="黑体" w:eastAsia="黑体" w:hAnsi="黑体"/>
          <w:b/>
          <w:sz w:val="28"/>
        </w:rPr>
        <w:t xml:space="preserve"> Data Challenge 202</w:t>
      </w:r>
      <w:r w:rsidR="000A51D6">
        <w:rPr>
          <w:rFonts w:ascii="黑体" w:eastAsia="黑体" w:hAnsi="黑体"/>
          <w:b/>
          <w:sz w:val="28"/>
        </w:rPr>
        <w:t>6</w:t>
      </w:r>
      <w:r>
        <w:rPr>
          <w:rFonts w:ascii="黑体" w:eastAsia="黑体" w:hAnsi="黑体"/>
          <w:b/>
          <w:sz w:val="28"/>
        </w:rPr>
        <w:t xml:space="preserve"> -</w:t>
      </w:r>
      <w:r>
        <w:rPr>
          <w:rFonts w:ascii="黑体" w:eastAsia="黑体" w:hAnsi="黑体" w:hint="eastAsia"/>
          <w:b/>
          <w:sz w:val="32"/>
        </w:rPr>
        <w:t xml:space="preserve"> mini</w:t>
      </w:r>
      <w:r>
        <w:rPr>
          <w:rFonts w:ascii="黑体" w:eastAsia="黑体" w:hAnsi="黑体"/>
          <w:b/>
          <w:sz w:val="32"/>
        </w:rPr>
        <w:t xml:space="preserve"> challenge </w:t>
      </w:r>
      <w:r>
        <w:rPr>
          <w:rFonts w:ascii="黑体" w:eastAsia="黑体" w:hAnsi="黑体" w:hint="eastAsia"/>
          <w:b/>
          <w:sz w:val="32"/>
        </w:rPr>
        <w:t>1</w:t>
      </w:r>
      <w:r w:rsidR="00754207">
        <w:rPr>
          <w:rFonts w:ascii="黑体" w:eastAsia="黑体" w:hAnsi="黑体"/>
          <w:b/>
          <w:sz w:val="32"/>
        </w:rPr>
        <w:t>-</w:t>
      </w:r>
      <w:r w:rsidR="000249C3">
        <w:rPr>
          <w:rFonts w:ascii="黑体" w:eastAsia="黑体" w:hAnsi="黑体"/>
          <w:b/>
          <w:sz w:val="32"/>
        </w:rPr>
        <w:t>II</w:t>
      </w:r>
      <w:r>
        <w:rPr>
          <w:rFonts w:ascii="黑体" w:eastAsia="黑体" w:hAnsi="黑体"/>
          <w:b/>
          <w:sz w:val="28"/>
        </w:rPr>
        <w:t>）</w:t>
      </w:r>
    </w:p>
    <w:p w14:paraId="2E7E2A92" w14:textId="77777777" w:rsidR="00940392" w:rsidRDefault="001B3BDA">
      <w:pPr>
        <w:spacing w:after="0" w:line="240" w:lineRule="auto"/>
        <w:jc w:val="center"/>
        <w:rPr>
          <w:rFonts w:ascii="黑体" w:eastAsia="黑体" w:hAnsi="黑体"/>
          <w:b/>
          <w:sz w:val="32"/>
        </w:rPr>
      </w:pPr>
      <w:r>
        <w:rPr>
          <w:rFonts w:ascii="黑体" w:eastAsia="黑体" w:hAnsi="黑体"/>
          <w:b/>
          <w:sz w:val="32"/>
        </w:rPr>
        <w:t>答</w:t>
      </w:r>
      <w:r>
        <w:rPr>
          <w:rFonts w:ascii="黑体" w:eastAsia="黑体" w:hAnsi="黑体" w:hint="eastAsia"/>
          <w:b/>
          <w:sz w:val="32"/>
        </w:rPr>
        <w:t xml:space="preserve"> </w:t>
      </w:r>
      <w:r>
        <w:rPr>
          <w:rFonts w:ascii="黑体" w:eastAsia="黑体" w:hAnsi="黑体"/>
          <w:b/>
          <w:sz w:val="32"/>
        </w:rPr>
        <w:t xml:space="preserve"> 卷</w:t>
      </w:r>
    </w:p>
    <w:p w14:paraId="39340053" w14:textId="77777777" w:rsidR="00940392" w:rsidRDefault="00940392">
      <w:pPr>
        <w:spacing w:after="0" w:line="240" w:lineRule="auto"/>
        <w:rPr>
          <w:rFonts w:ascii="黑体" w:eastAsia="黑体" w:hAnsi="黑体"/>
          <w:b/>
          <w:sz w:val="32"/>
        </w:rPr>
      </w:pPr>
    </w:p>
    <w:p w14:paraId="1AFD4F77" w14:textId="67E28BA3" w:rsidR="00940392" w:rsidRDefault="001B3BDA">
      <w:r>
        <w:rPr>
          <w:rFonts w:ascii="宋体" w:hAnsi="宋体" w:eastAsia="宋体"/>
          <w:sz w:val="21"/>
        </w:rPr>
        <w:t>参赛队名称：学校-姓名-赛道1-II</w:t>
      </w:r>
    </w:p>
    <w:p w14:paraId="02DE3D82" w14:textId="77777777" w:rsidR="00940392" w:rsidRDefault="001B3BDA">
      <w:pPr>
        <w:rPr>
          <w:color w:val="BFBFBF"/>
        </w:rPr>
      </w:pPr>
      <w:r>
        <w:rPr>
          <w:rFonts w:ascii="宋体" w:hAnsi="宋体" w:eastAsia="宋体"/>
          <w:sz w:val="21"/>
        </w:rPr>
        <w:t>团队成员：张三，某某大学，zhang@example.edu.cn，队长</w:t>
      </w:r>
    </w:p>
    <w:p w14:paraId="22EA5D53" w14:textId="77777777" w:rsidR="00940392" w:rsidRDefault="001B3BDA">
      <w:pPr>
        <w:rPr>
          <w:color w:val="BFBFBF"/>
        </w:rPr>
      </w:pPr>
      <w:r>
        <w:tab/>
        <w:tab/>
        <w:tab/>
        <w:t>李四，某某大学，li@example.edu.cn</w:t>
      </w:r>
    </w:p>
    <w:p w14:paraId="140AFC5E" w14:textId="77777777" w:rsidR="00940392" w:rsidRDefault="001B3BDA">
      <w:pPr>
        <w:rPr>
          <w:color w:val="BFBFBF"/>
        </w:rPr>
      </w:pPr>
      <w:r>
        <w:rPr>
          <w:color w:val="BFBFBF"/>
        </w:rPr>
        <w:tab/>
      </w:r>
      <w:r>
        <w:rPr>
          <w:color w:val="BFBFBF"/>
        </w:rPr>
        <w:tab/>
      </w:r>
      <w:r>
        <w:rPr>
          <w:color w:val="BFBFBF"/>
        </w:rPr>
        <w:tab/>
      </w:r>
      <w:r>
        <w:rPr>
          <w:color w:val="BFBFBF"/>
        </w:rPr>
        <w:t>黄五，天津大学，</w:t>
      </w:r>
      <w:r>
        <w:fldChar w:fldCharType="begin"/>
      </w:r>
      <w:r>
        <w:instrText xml:space="preserve"> HYPERLINK "mailto:hw@tju.edu.cn" </w:instrText>
      </w:r>
      <w:r>
        <w:fldChar w:fldCharType="separate"/>
      </w:r>
      <w:r>
        <w:rPr>
          <w:color w:val="BFBFBF"/>
        </w:rPr>
        <w:t>hw@tju.edu.cn</w:t>
      </w:r>
      <w:r>
        <w:rPr>
          <w:color w:val="BFBFBF"/>
        </w:rPr>
        <w:fldChar w:fldCharType="end"/>
      </w:r>
      <w:r>
        <w:rPr>
          <w:color w:val="BFBFBF"/>
        </w:rPr>
        <w:t>，指导老师</w:t>
      </w:r>
    </w:p>
    <w:p w14:paraId="04806A02" w14:textId="77777777" w:rsidR="00940392" w:rsidRDefault="001B3BDA">
      <w:pPr>
        <w:rPr>
          <w:color w:val="BFBFBF"/>
        </w:rPr>
      </w:pPr>
      <w:r>
        <w:t>团队成员是否与报名表一致（是或否）：是</w:t>
      </w:r>
    </w:p>
    <w:p w14:paraId="4D6F899F" w14:textId="77777777" w:rsidR="00940392" w:rsidRDefault="001B3BDA">
      <w:r>
        <w:t>是否学生队（是或否）：</w:t>
        <w:tab/>
        <w:t>是</w:t>
      </w:r>
    </w:p>
    <w:p w14:paraId="4AFF69C2" w14:textId="002BF79A" w:rsidR="00940392" w:rsidRDefault="001B3BDA">
      <w:r>
        <w:t>使用的分析工具或开发工具（如果使用了自己研发的软件或工具请具体说明）：Vite、React、TypeScript、vtk.js、D3.js、Python（precompute/generate_figures）、Playwright 体渲染截图；NyxViz 自研交互仪表盘</w:t>
      </w:r>
    </w:p>
    <w:p w14:paraId="43891EE1" w14:textId="77777777" w:rsidR="00940392" w:rsidRDefault="001B3BDA">
      <w:r>
        <w:t>共计耗费时间（人天）： 30人天</w:t>
      </w:r>
    </w:p>
    <w:p w14:paraId="7E726AB0" w14:textId="77777777" w:rsidR="00940392" w:rsidRDefault="001B3BDA">
      <w:pPr>
        <w:rPr>
          <w:color w:val="BFBFBF"/>
        </w:rPr>
      </w:pPr>
      <w:r>
        <w:t>本次比赛结束后，我们是否可以在网络上公布该答卷与视频（是或否）：是</w:t>
      </w:r>
    </w:p>
    <w:p w14:paraId="0673D0AF" w14:textId="77777777" w:rsidR="00940392" w:rsidRDefault="001B3BDA">
      <w:pPr>
        <w:rPr>
          <w:color w:val="C45911"/>
        </w:rPr>
      </w:pPr>
      <w:r>
        <w:rPr>
          <w:color w:val="C45911"/>
        </w:rPr>
        <w:t>（灰色字为参赛信息填写模板，请参赛者在提交时参照模板填写）</w:t>
      </w:r>
    </w:p>
    <w:p w14:paraId="24198F09" w14:textId="77777777" w:rsidR="00940392" w:rsidRDefault="00940392">
      <w:pPr>
        <w:ind w:firstLine="708"/>
        <w:rPr>
          <w:sz w:val="20"/>
          <w:szCs w:val="20"/>
        </w:rPr>
      </w:pPr>
    </w:p>
    <w:p w14:paraId="03910E5C" w14:textId="77777777" w:rsidR="00940392" w:rsidRDefault="00940392">
      <w:pPr>
        <w:ind w:firstLine="708"/>
        <w:rPr>
          <w:sz w:val="20"/>
          <w:szCs w:val="20"/>
        </w:rPr>
      </w:pPr>
    </w:p>
    <w:p w14:paraId="6EE09AD6" w14:textId="77777777" w:rsidR="00940392" w:rsidRDefault="00940392">
      <w:pPr>
        <w:ind w:firstLine="708"/>
        <w:rPr>
          <w:sz w:val="20"/>
          <w:szCs w:val="20"/>
        </w:rPr>
      </w:pPr>
    </w:p>
    <w:p w14:paraId="078E7517" w14:textId="77777777" w:rsidR="00144A5C" w:rsidRDefault="001B3BDA">
      <w:pPr>
        <w:rPr>
          <w:sz w:val="20"/>
          <w:szCs w:val="20"/>
        </w:rPr>
      </w:pPr>
      <w:r>
        <w:rPr>
          <w:sz w:val="20"/>
          <w:szCs w:val="20"/>
        </w:rPr>
        <w:br w:type="page"/>
      </w:r>
    </w:p>
    <w:p w14:paraId="39A10585" w14:textId="4053F858" w:rsidR="00940392" w:rsidRPr="00743AA7" w:rsidRDefault="00965202">
      <w:pPr>
        <w:rPr>
          <w:rFonts w:ascii="黑体" w:eastAsia="黑体" w:hAnsi="黑体"/>
          <w:b/>
          <w:sz w:val="24"/>
        </w:rPr>
      </w:pPr>
      <w:r>
        <w:rPr>
          <w:rFonts w:ascii="黑体" w:eastAsia="黑体" w:hAnsi="黑体" w:hint="eastAsia"/>
          <w:b/>
          <w:sz w:val="24"/>
        </w:rPr>
        <w:lastRenderedPageBreak/>
        <w:t>1、</w:t>
      </w:r>
      <w:r w:rsidR="00743AA7" w:rsidRPr="00743AA7">
        <w:rPr>
          <w:rFonts w:ascii="黑体" w:eastAsia="黑体" w:hAnsi="黑体" w:hint="eastAsia"/>
          <w:b/>
          <w:sz w:val="24"/>
        </w:rPr>
        <w:t>采用体数据渲染技术，并设计合适的传递函数和光照效果，展示宇宙演化中密度信息的变化</w:t>
      </w:r>
      <w:r w:rsidR="002F1EC8" w:rsidRPr="002F1EC8">
        <w:rPr>
          <w:rFonts w:ascii="黑体" w:eastAsia="黑体" w:hAnsi="黑体" w:hint="eastAsia"/>
          <w:b/>
          <w:sz w:val="24"/>
        </w:rPr>
        <w:t>。</w:t>
      </w:r>
      <w:r w:rsidR="001B3BDA">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sidR="001B3BDA">
        <w:rPr>
          <w:rFonts w:ascii="黑体" w:eastAsia="黑体" w:hAnsi="黑体" w:hint="eastAsia"/>
          <w:color w:val="C45911"/>
          <w:sz w:val="24"/>
        </w:rPr>
        <w:t>）</w:t>
      </w:r>
    </w:p>
    <w:p w14:paraId="715D89DE" w14:textId="77777777" w:rsidR="00940392" w:rsidRDefault="001B3BDA">
      <w:pPr>
        <w:rPr>
          <w:color w:val="BFBFBF"/>
        </w:rPr>
      </w:pPr>
      <w:r>
        <w:rPr>
          <w:color w:val="BFBFBF"/>
        </w:rPr>
        <w:t>（下面是答题区域）</w:t>
      </w:r>
    </w:p>
    <w:p>
      <w:pPr>
        <w:spacing w:line="360" w:lineRule="auto" w:after="0" w:before="0"/>
        <w:ind w:firstLine="420"/>
        <w:jc w:val="both"/>
      </w:pPr>
      <w:r>
        <w:rPr>
          <w:rFonts w:ascii="宋体" w:hAnsi="宋体" w:eastAsia="宋体"/>
          <w:b w:val="0"/>
          <w:sz w:val="21"/>
        </w:rPr>
        <w:t>宇宙网诞生记01–02：Nyx官方128³重子气体密度（仅气体，非暗物质），100步t=0…99，小端float32，索引z→y→x。渲染管线基于vtk.js GPU光线投射，传递函数采用宇宙学预设cosmic：在log域按全域p01–p99映射密度到颜色与不透明度，并启用Phong着色以突出filament脊线。为便于跨时刻对比，选取t=0、25、50、75、99五帧，固定相机位姿与色标范围，以1920×1080分辨率输出体渲染图与五联条带图。</w:t>
      </w:r>
    </w:p>
    <w:p>
      <w:pPr>
        <w:spacing w:line="360" w:lineRule="auto" w:after="0" w:before="0"/>
        <w:ind w:firstLine="420"/>
        <w:jc w:val="both"/>
      </w:pPr>
      <w:r>
        <w:rPr>
          <w:rFonts w:ascii="宋体" w:hAnsi="宋体" w:eastAsia="宋体"/>
          <w:b w:val="0"/>
          <w:sz w:val="21"/>
        </w:rPr>
        <w:t>视觉观察与统计量相互印证。t=0时整体呈均匀雾状，filament对比度弱，均值约9.4854、σ仅0.4318，尚处于涨落初生的平滑阶段。t=25–50丝状结构逐渐连通，低密度void区域扩大，σ由0.43升至0.47附近。t=99宇宙网拓扑最为清晰：高密度脊线与节点在体渲染中形成亮带，σ达0.4983、p99=10.7601，与右尾增厚及max=14.4494一致。五帧统一色标后，void—filament—node的空间布局由模糊走向可辨，为后续直方图统计与刷选验证提供了直观的全局参照。</w:t>
      </w:r>
    </w:p>
    <w:p>
      <w:pPr>
        <w:spacing w:before="120" w:after="60"/>
        <w:jc w:val="center"/>
      </w:pPr>
      <w:r>
        <w:rPr>
          <w:rFonts w:ascii="宋体" w:hAnsi="宋体" w:eastAsia="宋体"/>
          <w:b/>
          <w:sz w:val="21"/>
        </w:rPr>
        <w:t>表1 五代表步密度统计</w:t>
      </w:r>
    </w:p>
    <w:tbl>
      <w:tblPr>
        <w:tblW w:type="auto" w:w="0"/>
        <w:tblLook w:firstColumn="1" w:firstRow="1" w:lastColumn="0" w:lastRow="0" w:noHBand="0" w:noVBand="1" w:val="04A0"/>
      </w:tblPr>
      <w:tblGrid>
        <w:gridCol w:w="1949"/>
        <w:gridCol w:w="1949"/>
        <w:gridCol w:w="1949"/>
        <w:gridCol w:w="1949"/>
        <w:gridCol w:w="1949"/>
      </w:tblGrid>
      <w:tr>
        <w:tc>
          <w:tcPr>
            <w:tcW w:type="dxa" w:w="1949"/>
          </w:tcPr>
          <w:p>
            <w:pPr>
              <w:spacing w:line="240" w:lineRule="auto"/>
              <w:jc w:val="center"/>
            </w:pPr>
            <w:r>
              <w:rPr>
                <w:rFonts w:ascii="宋体" w:hAnsi="宋体" w:eastAsia="宋体"/>
                <w:b/>
                <w:sz w:val="21"/>
              </w:rPr>
              <w:t>t</w:t>
            </w:r>
          </w:p>
        </w:tc>
        <w:tc>
          <w:tcPr>
            <w:tcW w:type="dxa" w:w="1949"/>
          </w:tcPr>
          <w:p>
            <w:pPr>
              <w:spacing w:line="240" w:lineRule="auto"/>
              <w:jc w:val="center"/>
            </w:pPr>
            <w:r>
              <w:rPr>
                <w:rFonts w:ascii="宋体" w:hAnsi="宋体" w:eastAsia="宋体"/>
                <w:b/>
                <w:sz w:val="21"/>
              </w:rPr>
              <w:t>均值</w:t>
            </w:r>
          </w:p>
        </w:tc>
        <w:tc>
          <w:tcPr>
            <w:tcW w:type="dxa" w:w="1949"/>
          </w:tcPr>
          <w:p>
            <w:pPr>
              <w:spacing w:line="240" w:lineRule="auto"/>
              <w:jc w:val="center"/>
            </w:pPr>
            <w:r>
              <w:rPr>
                <w:rFonts w:ascii="宋体" w:hAnsi="宋体" w:eastAsia="宋体"/>
                <w:b/>
                <w:sz w:val="21"/>
              </w:rPr>
              <w:t>σ</w:t>
            </w:r>
          </w:p>
        </w:tc>
        <w:tc>
          <w:tcPr>
            <w:tcW w:type="dxa" w:w="1949"/>
          </w:tcPr>
          <w:p>
            <w:pPr>
              <w:spacing w:line="240" w:lineRule="auto"/>
              <w:jc w:val="center"/>
            </w:pPr>
            <w:r>
              <w:rPr>
                <w:rFonts w:ascii="宋体" w:hAnsi="宋体" w:eastAsia="宋体"/>
                <w:b/>
                <w:sz w:val="21"/>
              </w:rPr>
              <w:t>p99</w:t>
            </w:r>
          </w:p>
        </w:tc>
        <w:tc>
          <w:tcPr>
            <w:tcW w:type="dxa" w:w="1949"/>
          </w:tcPr>
          <w:p>
            <w:pPr>
              <w:spacing w:line="240" w:lineRule="auto"/>
              <w:jc w:val="center"/>
            </w:pPr>
            <w:r>
              <w:rPr>
                <w:rFonts w:ascii="宋体" w:hAnsi="宋体" w:eastAsia="宋体"/>
                <w:b/>
                <w:sz w:val="21"/>
              </w:rPr>
              <w:t>max</w:t>
            </w:r>
          </w:p>
        </w:tc>
      </w:tr>
      <w:tr>
        <w:tc>
          <w:tcPr>
            <w:tcW w:type="dxa" w:w="1949"/>
          </w:tcPr>
          <w:p>
            <w:pPr>
              <w:spacing w:line="240" w:lineRule="auto"/>
              <w:jc w:val="center"/>
            </w:pPr>
            <w:r>
              <w:rPr>
                <w:rFonts w:ascii="宋体" w:hAnsi="宋体" w:eastAsia="宋体"/>
                <w:b w:val="0"/>
                <w:sz w:val="21"/>
              </w:rPr>
              <w:t>0</w:t>
            </w:r>
          </w:p>
        </w:tc>
        <w:tc>
          <w:tcPr>
            <w:tcW w:type="dxa" w:w="1949"/>
          </w:tcPr>
          <w:p>
            <w:pPr>
              <w:spacing w:line="240" w:lineRule="auto"/>
              <w:jc w:val="center"/>
            </w:pPr>
            <w:r>
              <w:rPr>
                <w:rFonts w:ascii="宋体" w:hAnsi="宋体" w:eastAsia="宋体"/>
                <w:b w:val="0"/>
                <w:sz w:val="21"/>
              </w:rPr>
              <w:t>9.4854</w:t>
            </w:r>
          </w:p>
        </w:tc>
        <w:tc>
          <w:tcPr>
            <w:tcW w:type="dxa" w:w="1949"/>
          </w:tcPr>
          <w:p>
            <w:pPr>
              <w:spacing w:line="240" w:lineRule="auto"/>
              <w:jc w:val="center"/>
            </w:pPr>
            <w:r>
              <w:rPr>
                <w:rFonts w:ascii="宋体" w:hAnsi="宋体" w:eastAsia="宋体"/>
                <w:b w:val="0"/>
                <w:sz w:val="21"/>
              </w:rPr>
              <w:t>0.4318</w:t>
            </w:r>
          </w:p>
        </w:tc>
        <w:tc>
          <w:tcPr>
            <w:tcW w:type="dxa" w:w="1949"/>
          </w:tcPr>
          <w:p>
            <w:pPr>
              <w:spacing w:line="240" w:lineRule="auto"/>
              <w:jc w:val="center"/>
            </w:pPr>
            <w:r>
              <w:rPr>
                <w:rFonts w:ascii="宋体" w:hAnsi="宋体" w:eastAsia="宋体"/>
                <w:b w:val="0"/>
                <w:sz w:val="21"/>
              </w:rPr>
              <w:t>10.7255</w:t>
            </w:r>
          </w:p>
        </w:tc>
        <w:tc>
          <w:tcPr>
            <w:tcW w:type="dxa" w:w="1949"/>
          </w:tcPr>
          <w:p>
            <w:pPr>
              <w:spacing w:line="240" w:lineRule="auto"/>
              <w:jc w:val="center"/>
            </w:pPr>
            <w:r>
              <w:rPr>
                <w:rFonts w:ascii="宋体" w:hAnsi="宋体" w:eastAsia="宋体"/>
                <w:b w:val="0"/>
                <w:sz w:val="21"/>
              </w:rPr>
              <w:t>13.8433</w:t>
            </w:r>
          </w:p>
        </w:tc>
      </w:tr>
      <w:tr>
        <w:tc>
          <w:tcPr>
            <w:tcW w:type="dxa" w:w="1949"/>
          </w:tcPr>
          <w:p>
            <w:pPr>
              <w:spacing w:line="240" w:lineRule="auto"/>
              <w:jc w:val="center"/>
            </w:pPr>
            <w:r>
              <w:rPr>
                <w:rFonts w:ascii="宋体" w:hAnsi="宋体" w:eastAsia="宋体"/>
                <w:b w:val="0"/>
                <w:sz w:val="21"/>
              </w:rPr>
              <w:t>25</w:t>
            </w:r>
          </w:p>
        </w:tc>
        <w:tc>
          <w:tcPr>
            <w:tcW w:type="dxa" w:w="1949"/>
          </w:tcPr>
          <w:p>
            <w:pPr>
              <w:spacing w:line="240" w:lineRule="auto"/>
              <w:jc w:val="center"/>
            </w:pPr>
            <w:r>
              <w:rPr>
                <w:rFonts w:ascii="宋体" w:hAnsi="宋体" w:eastAsia="宋体"/>
                <w:b w:val="0"/>
                <w:sz w:val="21"/>
              </w:rPr>
              <w:t>9.4369</w:t>
            </w:r>
          </w:p>
        </w:tc>
        <w:tc>
          <w:tcPr>
            <w:tcW w:type="dxa" w:w="1949"/>
          </w:tcPr>
          <w:p>
            <w:pPr>
              <w:spacing w:line="240" w:lineRule="auto"/>
              <w:jc w:val="center"/>
            </w:pPr>
            <w:r>
              <w:rPr>
                <w:rFonts w:ascii="宋体" w:hAnsi="宋体" w:eastAsia="宋体"/>
                <w:b w:val="0"/>
                <w:sz w:val="21"/>
              </w:rPr>
              <w:t>0.4525</w:t>
            </w:r>
          </w:p>
        </w:tc>
        <w:tc>
          <w:tcPr>
            <w:tcW w:type="dxa" w:w="1949"/>
          </w:tcPr>
          <w:p>
            <w:pPr>
              <w:spacing w:line="240" w:lineRule="auto"/>
              <w:jc w:val="center"/>
            </w:pPr>
            <w:r>
              <w:rPr>
                <w:rFonts w:ascii="宋体" w:hAnsi="宋体" w:eastAsia="宋体"/>
                <w:b w:val="0"/>
                <w:sz w:val="21"/>
              </w:rPr>
              <w:t>10.7402</w:t>
            </w:r>
          </w:p>
        </w:tc>
        <w:tc>
          <w:tcPr>
            <w:tcW w:type="dxa" w:w="1949"/>
          </w:tcPr>
          <w:p>
            <w:pPr>
              <w:spacing w:line="240" w:lineRule="auto"/>
              <w:jc w:val="center"/>
            </w:pPr>
            <w:r>
              <w:rPr>
                <w:rFonts w:ascii="宋体" w:hAnsi="宋体" w:eastAsia="宋体"/>
                <w:b w:val="0"/>
                <w:sz w:val="21"/>
              </w:rPr>
              <w:t>14.0505</w:t>
            </w:r>
          </w:p>
        </w:tc>
      </w:tr>
      <w:tr>
        <w:tc>
          <w:tcPr>
            <w:tcW w:type="dxa" w:w="1949"/>
          </w:tcPr>
          <w:p>
            <w:pPr>
              <w:spacing w:line="240" w:lineRule="auto"/>
              <w:jc w:val="center"/>
            </w:pPr>
            <w:r>
              <w:rPr>
                <w:rFonts w:ascii="宋体" w:hAnsi="宋体" w:eastAsia="宋体"/>
                <w:b w:val="0"/>
                <w:sz w:val="21"/>
              </w:rPr>
              <w:t>50</w:t>
            </w:r>
          </w:p>
        </w:tc>
        <w:tc>
          <w:tcPr>
            <w:tcW w:type="dxa" w:w="1949"/>
          </w:tcPr>
          <w:p>
            <w:pPr>
              <w:spacing w:line="240" w:lineRule="auto"/>
              <w:jc w:val="center"/>
            </w:pPr>
            <w:r>
              <w:rPr>
                <w:rFonts w:ascii="宋体" w:hAnsi="宋体" w:eastAsia="宋体"/>
                <w:b w:val="0"/>
                <w:sz w:val="21"/>
              </w:rPr>
              <w:t>9.3954</w:t>
            </w:r>
          </w:p>
        </w:tc>
        <w:tc>
          <w:tcPr>
            <w:tcW w:type="dxa" w:w="1949"/>
          </w:tcPr>
          <w:p>
            <w:pPr>
              <w:spacing w:line="240" w:lineRule="auto"/>
              <w:jc w:val="center"/>
            </w:pPr>
            <w:r>
              <w:rPr>
                <w:rFonts w:ascii="宋体" w:hAnsi="宋体" w:eastAsia="宋体"/>
                <w:b w:val="0"/>
                <w:sz w:val="21"/>
              </w:rPr>
              <w:t>0.4693</w:t>
            </w:r>
          </w:p>
        </w:tc>
        <w:tc>
          <w:tcPr>
            <w:tcW w:type="dxa" w:w="1949"/>
          </w:tcPr>
          <w:p>
            <w:pPr>
              <w:spacing w:line="240" w:lineRule="auto"/>
              <w:jc w:val="center"/>
            </w:pPr>
            <w:r>
              <w:rPr>
                <w:rFonts w:ascii="宋体" w:hAnsi="宋体" w:eastAsia="宋体"/>
                <w:b w:val="0"/>
                <w:sz w:val="21"/>
              </w:rPr>
              <w:t>10.7507</w:t>
            </w:r>
          </w:p>
        </w:tc>
        <w:tc>
          <w:tcPr>
            <w:tcW w:type="dxa" w:w="1949"/>
          </w:tcPr>
          <w:p>
            <w:pPr>
              <w:spacing w:line="240" w:lineRule="auto"/>
              <w:jc w:val="center"/>
            </w:pPr>
            <w:r>
              <w:rPr>
                <w:rFonts w:ascii="宋体" w:hAnsi="宋体" w:eastAsia="宋体"/>
                <w:b w:val="0"/>
                <w:sz w:val="21"/>
              </w:rPr>
              <w:t>14.3269</w:t>
            </w:r>
          </w:p>
        </w:tc>
      </w:tr>
      <w:tr>
        <w:tc>
          <w:tcPr>
            <w:tcW w:type="dxa" w:w="1949"/>
          </w:tcPr>
          <w:p>
            <w:pPr>
              <w:spacing w:line="240" w:lineRule="auto"/>
              <w:jc w:val="center"/>
            </w:pPr>
            <w:r>
              <w:rPr>
                <w:rFonts w:ascii="宋体" w:hAnsi="宋体" w:eastAsia="宋体"/>
                <w:b w:val="0"/>
                <w:sz w:val="21"/>
              </w:rPr>
              <w:t>75</w:t>
            </w:r>
          </w:p>
        </w:tc>
        <w:tc>
          <w:tcPr>
            <w:tcW w:type="dxa" w:w="1949"/>
          </w:tcPr>
          <w:p>
            <w:pPr>
              <w:spacing w:line="240" w:lineRule="auto"/>
              <w:jc w:val="center"/>
            </w:pPr>
            <w:r>
              <w:rPr>
                <w:rFonts w:ascii="宋体" w:hAnsi="宋体" w:eastAsia="宋体"/>
                <w:b w:val="0"/>
                <w:sz w:val="21"/>
              </w:rPr>
              <w:t>9.3556</w:t>
            </w:r>
          </w:p>
        </w:tc>
        <w:tc>
          <w:tcPr>
            <w:tcW w:type="dxa" w:w="1949"/>
          </w:tcPr>
          <w:p>
            <w:pPr>
              <w:spacing w:line="240" w:lineRule="auto"/>
              <w:jc w:val="center"/>
            </w:pPr>
            <w:r>
              <w:rPr>
                <w:rFonts w:ascii="宋体" w:hAnsi="宋体" w:eastAsia="宋体"/>
                <w:b w:val="0"/>
                <w:sz w:val="21"/>
              </w:rPr>
              <w:t>0.4847</w:t>
            </w:r>
          </w:p>
        </w:tc>
        <w:tc>
          <w:tcPr>
            <w:tcW w:type="dxa" w:w="1949"/>
          </w:tcPr>
          <w:p>
            <w:pPr>
              <w:spacing w:line="240" w:lineRule="auto"/>
              <w:jc w:val="center"/>
            </w:pPr>
            <w:r>
              <w:rPr>
                <w:rFonts w:ascii="宋体" w:hAnsi="宋体" w:eastAsia="宋体"/>
                <w:b w:val="0"/>
                <w:sz w:val="21"/>
              </w:rPr>
              <w:t>10.7547</w:t>
            </w:r>
          </w:p>
        </w:tc>
        <w:tc>
          <w:tcPr>
            <w:tcW w:type="dxa" w:w="1949"/>
          </w:tcPr>
          <w:p>
            <w:pPr>
              <w:spacing w:line="240" w:lineRule="auto"/>
              <w:jc w:val="center"/>
            </w:pPr>
            <w:r>
              <w:rPr>
                <w:rFonts w:ascii="宋体" w:hAnsi="宋体" w:eastAsia="宋体"/>
                <w:b w:val="0"/>
                <w:sz w:val="21"/>
              </w:rPr>
              <w:t>14.3541</w:t>
            </w:r>
          </w:p>
        </w:tc>
      </w:tr>
      <w:tr>
        <w:tc>
          <w:tcPr>
            <w:tcW w:type="dxa" w:w="1949"/>
          </w:tcPr>
          <w:p>
            <w:pPr>
              <w:spacing w:line="240" w:lineRule="auto"/>
              <w:jc w:val="center"/>
            </w:pPr>
            <w:r>
              <w:rPr>
                <w:rFonts w:ascii="宋体" w:hAnsi="宋体" w:eastAsia="宋体"/>
                <w:b w:val="0"/>
                <w:sz w:val="21"/>
              </w:rPr>
              <w:t>99</w:t>
            </w:r>
          </w:p>
        </w:tc>
        <w:tc>
          <w:tcPr>
            <w:tcW w:type="dxa" w:w="1949"/>
          </w:tcPr>
          <w:p>
            <w:pPr>
              <w:spacing w:line="240" w:lineRule="auto"/>
              <w:jc w:val="center"/>
            </w:pPr>
            <w:r>
              <w:rPr>
                <w:rFonts w:ascii="宋体" w:hAnsi="宋体" w:eastAsia="宋体"/>
                <w:b w:val="0"/>
                <w:sz w:val="21"/>
              </w:rPr>
              <w:t>9.3187</w:t>
            </w:r>
          </w:p>
        </w:tc>
        <w:tc>
          <w:tcPr>
            <w:tcW w:type="dxa" w:w="1949"/>
          </w:tcPr>
          <w:p>
            <w:pPr>
              <w:spacing w:line="240" w:lineRule="auto"/>
              <w:jc w:val="center"/>
            </w:pPr>
            <w:r>
              <w:rPr>
                <w:rFonts w:ascii="宋体" w:hAnsi="宋体" w:eastAsia="宋体"/>
                <w:b w:val="0"/>
                <w:sz w:val="21"/>
              </w:rPr>
              <w:t>0.4983</w:t>
            </w:r>
          </w:p>
        </w:tc>
        <w:tc>
          <w:tcPr>
            <w:tcW w:type="dxa" w:w="1949"/>
          </w:tcPr>
          <w:p>
            <w:pPr>
              <w:spacing w:line="240" w:lineRule="auto"/>
              <w:jc w:val="center"/>
            </w:pPr>
            <w:r>
              <w:rPr>
                <w:rFonts w:ascii="宋体" w:hAnsi="宋体" w:eastAsia="宋体"/>
                <w:b w:val="0"/>
                <w:sz w:val="21"/>
              </w:rPr>
              <w:t>10.7601</w:t>
            </w:r>
          </w:p>
        </w:tc>
        <w:tc>
          <w:tcPr>
            <w:tcW w:type="dxa" w:w="1949"/>
          </w:tcPr>
          <w:p>
            <w:pPr>
              <w:spacing w:line="240" w:lineRule="auto"/>
              <w:jc w:val="center"/>
            </w:pPr>
            <w:r>
              <w:rPr>
                <w:rFonts w:ascii="宋体" w:hAnsi="宋体" w:eastAsia="宋体"/>
                <w:b w:val="0"/>
                <w:sz w:val="21"/>
              </w:rPr>
              <w:t>14.4494</w:t>
            </w:r>
          </w:p>
        </w:tc>
      </w:tr>
    </w:tbl>
    <w:p/>
    <w:p>
      <w:pPr>
        <w:spacing w:line="360" w:lineRule="auto" w:after="0" w:before="0"/>
        <w:ind w:firstLine="420"/>
        <w:jc w:val="both"/>
      </w:pPr>
      <w:r>
        <w:rPr>
          <w:rFonts w:ascii="宋体" w:hAnsi="宋体" w:eastAsia="宋体"/>
          <w:b w:val="0"/>
          <w:sz w:val="21"/>
        </w:rPr>
        <w:t>表1显示均值略降而σ与p99缓升，说明物质由相对均匀分布转向分化：大部分体积仍处中低密区，但极少数体素密度持续抬升，在体渲染中即对应后期更亮、更细的filament网络。传递函数在log域映射可压缩IGM大动态范围，使低密度void与高密度脊线在同一色标下同时可见；若采用线性映射，filament细节将被中低密背景淹没。本组五帧图与交互仪表盘共用同一cosmic预设与统计域，保证报告图与在线探索视觉一致。</w:t>
      </w:r>
    </w:p>
    <w:p>
      <w:pPr>
        <w:jc w:val="center"/>
      </w:pPr>
      <w:r>
        <w:drawing>
          <wp:inline xmlns:a="http://schemas.openxmlformats.org/drawingml/2006/main" xmlns:pic="http://schemas.openxmlformats.org/drawingml/2006/picture">
            <wp:extent cx="5040000" cy="1766907"/>
            <wp:docPr id="1" name="Picture 1"/>
            <wp:cNvGraphicFramePr>
              <a:graphicFrameLocks noChangeAspect="1"/>
            </wp:cNvGraphicFramePr>
            <a:graphic>
              <a:graphicData uri="http://schemas.openxmlformats.org/drawingml/2006/picture">
                <pic:pic>
                  <pic:nvPicPr>
                    <pic:cNvPr id="0" name="task1_vol_strip.png"/>
                    <pic:cNvPicPr/>
                  </pic:nvPicPr>
                  <pic:blipFill>
                    <a:blip r:embed="rId9"/>
                    <a:stretch>
                      <a:fillRect/>
                    </a:stretch>
                  </pic:blipFill>
                  <pic:spPr>
                    <a:xfrm>
                      <a:off x="0" y="0"/>
                      <a:ext cx="5040000" cy="1766907"/>
                    </a:xfrm>
                    <a:prstGeom prst="rect"/>
                  </pic:spPr>
                </pic:pic>
              </a:graphicData>
            </a:graphic>
          </wp:inline>
        </w:drawing>
      </w:r>
    </w:p>
    <w:p>
      <w:pPr>
        <w:spacing w:before="60" w:after="120"/>
        <w:jc w:val="center"/>
      </w:pPr>
      <w:r>
        <w:rPr>
          <w:rFonts w:ascii="宋体" w:hAnsi="宋体" w:eastAsia="宋体"/>
          <w:b w:val="0"/>
          <w:sz w:val="21"/>
        </w:rPr>
        <w:t>图1 五时刻体渲染（统一色标）</w:t>
      </w:r>
    </w:p>
    <w:p>
      <w:pPr>
        <w:jc w:val="center"/>
      </w:pPr>
      <w:r>
        <w:drawing>
          <wp:inline xmlns:a="http://schemas.openxmlformats.org/drawingml/2006/main" xmlns:pic="http://schemas.openxmlformats.org/drawingml/2006/picture">
            <wp:extent cx="4320000" cy="2430000"/>
            <wp:docPr id="2" name="Picture 2"/>
            <wp:cNvGraphicFramePr>
              <a:graphicFrameLocks noChangeAspect="1"/>
            </wp:cNvGraphicFramePr>
            <a:graphic>
              <a:graphicData uri="http://schemas.openxmlformats.org/drawingml/2006/picture">
                <pic:pic>
                  <pic:nvPicPr>
                    <pic:cNvPr id="0" name="task1_vol_t0000.png"/>
                    <pic:cNvPicPr/>
                  </pic:nvPicPr>
                  <pic:blipFill>
                    <a:blip r:embed="rId10"/>
                    <a:stretch>
                      <a:fillRect/>
                    </a:stretch>
                  </pic:blipFill>
                  <pic:spPr>
                    <a:xfrm>
                      <a:off x="0" y="0"/>
                      <a:ext cx="4320000" cy="2430000"/>
                    </a:xfrm>
                    <a:prstGeom prst="rect"/>
                  </pic:spPr>
                </pic:pic>
              </a:graphicData>
            </a:graphic>
          </wp:inline>
        </w:drawing>
      </w:r>
    </w:p>
    <w:p>
      <w:pPr>
        <w:spacing w:before="60" w:after="120"/>
        <w:jc w:val="center"/>
      </w:pPr>
      <w:r>
        <w:rPr>
          <w:rFonts w:ascii="宋体" w:hAnsi="宋体" w:eastAsia="宋体"/>
          <w:b w:val="0"/>
          <w:sz w:val="21"/>
        </w:rPr>
        <w:t>图2 t=0：均匀雾状初态</w:t>
      </w:r>
    </w:p>
    <w:p>
      <w:pPr>
        <w:jc w:val="center"/>
      </w:pPr>
      <w:r>
        <w:drawing>
          <wp:inline xmlns:a="http://schemas.openxmlformats.org/drawingml/2006/main" xmlns:pic="http://schemas.openxmlformats.org/drawingml/2006/picture">
            <wp:extent cx="4320000" cy="2430000"/>
            <wp:docPr id="3" name="Picture 3"/>
            <wp:cNvGraphicFramePr>
              <a:graphicFrameLocks noChangeAspect="1"/>
            </wp:cNvGraphicFramePr>
            <a:graphic>
              <a:graphicData uri="http://schemas.openxmlformats.org/drawingml/2006/picture">
                <pic:pic>
                  <pic:nvPicPr>
                    <pic:cNvPr id="0" name="task1_vol_t0099.png"/>
                    <pic:cNvPicPr/>
                  </pic:nvPicPr>
                  <pic:blipFill>
                    <a:blip r:embed="rId11"/>
                    <a:stretch>
                      <a:fillRect/>
                    </a:stretch>
                  </pic:blipFill>
                  <pic:spPr>
                    <a:xfrm>
                      <a:off x="0" y="0"/>
                      <a:ext cx="4320000" cy="2430000"/>
                    </a:xfrm>
                    <a:prstGeom prst="rect"/>
                  </pic:spPr>
                </pic:pic>
              </a:graphicData>
            </a:graphic>
          </wp:inline>
        </w:drawing>
      </w:r>
    </w:p>
    <w:p>
      <w:pPr>
        <w:spacing w:before="60" w:after="120"/>
        <w:jc w:val="center"/>
      </w:pPr>
      <w:r>
        <w:rPr>
          <w:rFonts w:ascii="宋体" w:hAnsi="宋体" w:eastAsia="宋体"/>
          <w:b w:val="0"/>
          <w:sz w:val="21"/>
        </w:rPr>
        <w:t>图3 t=99：宇宙网filament清晰</w:t>
      </w:r>
    </w:p>
    <w:p w14:paraId="63BEA4DC" w14:textId="58F2ABA0" w:rsidR="00940392" w:rsidRDefault="00965202">
      <w:pPr>
        <w:spacing w:beforeLines="100" w:before="312" w:after="50" w:line="360" w:lineRule="auto"/>
        <w:rPr>
          <w:rFonts w:ascii="黑体" w:eastAsia="黑体" w:hAnsi="黑体"/>
          <w:color w:val="C45911"/>
          <w:sz w:val="24"/>
        </w:rPr>
      </w:pPr>
      <w:r>
        <w:rPr>
          <w:rFonts w:ascii="黑体" w:eastAsia="黑体" w:hAnsi="黑体" w:hint="eastAsia"/>
          <w:b/>
          <w:sz w:val="24"/>
        </w:rPr>
        <w:t>2、</w:t>
      </w:r>
      <w:r w:rsidR="006F2AE0" w:rsidRPr="006F2AE0">
        <w:rPr>
          <w:rFonts w:ascii="黑体" w:eastAsia="黑体" w:hAnsi="黑体" w:hint="eastAsia"/>
          <w:b/>
          <w:sz w:val="24"/>
        </w:rPr>
        <w:t>基于可视化图像结果，归纳宇宙密度的演化特征，总结宇宙结构形成、星系际介质演化的核心规律，阐释可视化技术在宇宙学数据分析中的应用价值</w:t>
      </w:r>
      <w:r w:rsidR="0067075C" w:rsidRPr="0067075C">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23C76E88" w14:textId="77777777" w:rsidR="00940392" w:rsidRDefault="001B3BDA">
      <w:pPr>
        <w:rPr>
          <w:color w:val="BFBFBF"/>
        </w:rPr>
      </w:pPr>
      <w:r>
        <w:rPr>
          <w:color w:val="BFBFBF"/>
        </w:rPr>
        <w:t>（下面是答题区域）</w:t>
      </w:r>
    </w:p>
    <w:p>
      <w:pPr>
        <w:spacing w:line="360" w:lineRule="auto" w:after="0" w:before="0"/>
        <w:ind w:firstLine="420"/>
        <w:jc w:val="both"/>
      </w:pPr>
      <w:r>
        <w:rPr>
          <w:rFonts w:ascii="宋体" w:hAnsi="宋体" w:eastAsia="宋体"/>
          <w:b w:val="0"/>
          <w:sz w:val="21"/>
        </w:rPr>
        <w:t>本数据集来自Nyx宇宙学流体模拟：基于AMReX自适应网格的引力流体计算，128³子体积记录的是星系际介质（IGM）重子气体密度，而非暗物质。100个时间步对应引力不稳定下，由近乎均匀的微涨落向void—filament—node宇宙网拓扑分化的典型过程。IGM密度动态范围大、分布强右偏，故本工作在log域做统计与可视化；绝大部分体积仍为稀疏IGM，肉眼可见的亮脊与节点仅对应极少数高密度尾。</w:t>
      </w:r>
    </w:p>
    <w:p>
      <w:pPr>
        <w:spacing w:line="360" w:lineRule="auto" w:after="0" w:before="0"/>
        <w:ind w:firstLine="420"/>
        <w:jc w:val="both"/>
      </w:pPr>
      <w:r>
        <w:rPr>
          <w:rFonts w:ascii="宋体" w:hAnsi="宋体" w:eastAsia="宋体"/>
          <w:b w:val="0"/>
          <w:sz w:val="21"/>
        </w:rPr>
        <w:t>定量上，标准差σ由0.4318升至0.4983（+15.4%），分位跨度p99−p01由2.098增至2.414（+15.1%），表明高低密度区域分化加剧，符合“均匀IGM→纤维/节点”团块化图像。密度直方图主峰始终位于中低密区，≥p99体素体积占比约1.00%，即仅约1%体素承载可见宇宙网结构。这一“少数致密、多数稀疏”的体积—密度关系，是理解IGM与filament竞争占据空间的关键：统计上右偏并不矛盾于视觉上明显的丝状网络。</w:t>
      </w:r>
    </w:p>
    <w:p>
      <w:pPr>
        <w:spacing w:before="120" w:after="60"/>
        <w:jc w:val="center"/>
      </w:pPr>
      <w:r>
        <w:rPr>
          <w:rFonts w:ascii="宋体" w:hAnsi="宋体" w:eastAsia="宋体"/>
          <w:b/>
          <w:sz w:val="21"/>
        </w:rPr>
        <w:t>表1 t=0与t=99演化指标</w:t>
      </w:r>
    </w:p>
    <w:tbl>
      <w:tblPr>
        <w:tblW w:type="auto" w:w="0"/>
        <w:tblLook w:firstColumn="1" w:firstRow="1" w:lastColumn="0" w:lastRow="0" w:noHBand="0" w:noVBand="1" w:val="04A0"/>
      </w:tblPr>
      <w:tblGrid>
        <w:gridCol w:w="2436"/>
        <w:gridCol w:w="2436"/>
        <w:gridCol w:w="2436"/>
        <w:gridCol w:w="2436"/>
      </w:tblGrid>
      <w:tr>
        <w:tc>
          <w:tcPr>
            <w:tcW w:type="dxa" w:w="2436"/>
          </w:tcPr>
          <w:p>
            <w:pPr>
              <w:spacing w:line="240" w:lineRule="auto"/>
              <w:jc w:val="center"/>
            </w:pPr>
            <w:r>
              <w:rPr>
                <w:rFonts w:ascii="宋体" w:hAnsi="宋体" w:eastAsia="宋体"/>
                <w:b/>
                <w:sz w:val="21"/>
              </w:rPr>
              <w:t>指标</w:t>
            </w:r>
          </w:p>
        </w:tc>
        <w:tc>
          <w:tcPr>
            <w:tcW w:type="dxa" w:w="2436"/>
          </w:tcPr>
          <w:p>
            <w:pPr>
              <w:spacing w:line="240" w:lineRule="auto"/>
              <w:jc w:val="center"/>
            </w:pPr>
            <w:r>
              <w:rPr>
                <w:rFonts w:ascii="宋体" w:hAnsi="宋体" w:eastAsia="宋体"/>
                <w:b/>
                <w:sz w:val="21"/>
              </w:rPr>
              <w:t>t=0</w:t>
            </w:r>
          </w:p>
        </w:tc>
        <w:tc>
          <w:tcPr>
            <w:tcW w:type="dxa" w:w="2436"/>
          </w:tcPr>
          <w:p>
            <w:pPr>
              <w:spacing w:line="240" w:lineRule="auto"/>
              <w:jc w:val="center"/>
            </w:pPr>
            <w:r>
              <w:rPr>
                <w:rFonts w:ascii="宋体" w:hAnsi="宋体" w:eastAsia="宋体"/>
                <w:b/>
                <w:sz w:val="21"/>
              </w:rPr>
              <w:t>t=99</w:t>
            </w:r>
          </w:p>
        </w:tc>
        <w:tc>
          <w:tcPr>
            <w:tcW w:type="dxa" w:w="2436"/>
          </w:tcPr>
          <w:p>
            <w:pPr>
              <w:spacing w:line="240" w:lineRule="auto"/>
              <w:jc w:val="center"/>
            </w:pPr>
            <w:r>
              <w:rPr>
                <w:rFonts w:ascii="宋体" w:hAnsi="宋体" w:eastAsia="宋体"/>
                <w:b/>
                <w:sz w:val="21"/>
              </w:rPr>
              <w:t>变化</w:t>
            </w:r>
          </w:p>
        </w:tc>
      </w:tr>
      <w:tr>
        <w:tc>
          <w:tcPr>
            <w:tcW w:type="dxa" w:w="2436"/>
          </w:tcPr>
          <w:p>
            <w:pPr>
              <w:spacing w:line="240" w:lineRule="auto"/>
              <w:jc w:val="center"/>
            </w:pPr>
            <w:r>
              <w:rPr>
                <w:rFonts w:ascii="宋体" w:hAnsi="宋体" w:eastAsia="宋体"/>
                <w:b w:val="0"/>
                <w:sz w:val="21"/>
              </w:rPr>
              <w:t>σ</w:t>
            </w:r>
          </w:p>
        </w:tc>
        <w:tc>
          <w:tcPr>
            <w:tcW w:type="dxa" w:w="2436"/>
          </w:tcPr>
          <w:p>
            <w:pPr>
              <w:spacing w:line="240" w:lineRule="auto"/>
              <w:jc w:val="center"/>
            </w:pPr>
            <w:r>
              <w:rPr>
                <w:rFonts w:ascii="宋体" w:hAnsi="宋体" w:eastAsia="宋体"/>
                <w:b w:val="0"/>
                <w:sz w:val="21"/>
              </w:rPr>
              <w:t>0.4318</w:t>
            </w:r>
          </w:p>
        </w:tc>
        <w:tc>
          <w:tcPr>
            <w:tcW w:type="dxa" w:w="2436"/>
          </w:tcPr>
          <w:p>
            <w:pPr>
              <w:spacing w:line="240" w:lineRule="auto"/>
              <w:jc w:val="center"/>
            </w:pPr>
            <w:r>
              <w:rPr>
                <w:rFonts w:ascii="宋体" w:hAnsi="宋体" w:eastAsia="宋体"/>
                <w:b w:val="0"/>
                <w:sz w:val="21"/>
              </w:rPr>
              <w:t>0.4983</w:t>
            </w:r>
          </w:p>
        </w:tc>
        <w:tc>
          <w:tcPr>
            <w:tcW w:type="dxa" w:w="2436"/>
          </w:tcPr>
          <w:p>
            <w:pPr>
              <w:spacing w:line="240" w:lineRule="auto"/>
              <w:jc w:val="center"/>
            </w:pPr>
            <w:r>
              <w:rPr>
                <w:rFonts w:ascii="宋体" w:hAnsi="宋体" w:eastAsia="宋体"/>
                <w:b w:val="0"/>
                <w:sz w:val="21"/>
              </w:rPr>
              <w:t>+15.4%</w:t>
            </w:r>
          </w:p>
        </w:tc>
      </w:tr>
      <w:tr>
        <w:tc>
          <w:tcPr>
            <w:tcW w:type="dxa" w:w="2436"/>
          </w:tcPr>
          <w:p>
            <w:pPr>
              <w:spacing w:line="240" w:lineRule="auto"/>
              <w:jc w:val="center"/>
            </w:pPr>
            <w:r>
              <w:rPr>
                <w:rFonts w:ascii="宋体" w:hAnsi="宋体" w:eastAsia="宋体"/>
                <w:b w:val="0"/>
                <w:sz w:val="21"/>
              </w:rPr>
              <w:t>p99−p01</w:t>
            </w:r>
          </w:p>
        </w:tc>
        <w:tc>
          <w:tcPr>
            <w:tcW w:type="dxa" w:w="2436"/>
          </w:tcPr>
          <w:p>
            <w:pPr>
              <w:spacing w:line="240" w:lineRule="auto"/>
              <w:jc w:val="center"/>
            </w:pPr>
            <w:r>
              <w:rPr>
                <w:rFonts w:ascii="宋体" w:hAnsi="宋体" w:eastAsia="宋体"/>
                <w:b w:val="0"/>
                <w:sz w:val="21"/>
              </w:rPr>
              <w:t>2.098</w:t>
            </w:r>
          </w:p>
        </w:tc>
        <w:tc>
          <w:tcPr>
            <w:tcW w:type="dxa" w:w="2436"/>
          </w:tcPr>
          <w:p>
            <w:pPr>
              <w:spacing w:line="240" w:lineRule="auto"/>
              <w:jc w:val="center"/>
            </w:pPr>
            <w:r>
              <w:rPr>
                <w:rFonts w:ascii="宋体" w:hAnsi="宋体" w:eastAsia="宋体"/>
                <w:b w:val="0"/>
                <w:sz w:val="21"/>
              </w:rPr>
              <w:t>2.414</w:t>
            </w:r>
          </w:p>
        </w:tc>
        <w:tc>
          <w:tcPr>
            <w:tcW w:type="dxa" w:w="2436"/>
          </w:tcPr>
          <w:p>
            <w:pPr>
              <w:spacing w:line="240" w:lineRule="auto"/>
              <w:jc w:val="center"/>
            </w:pPr>
            <w:r>
              <w:rPr>
                <w:rFonts w:ascii="宋体" w:hAnsi="宋体" w:eastAsia="宋体"/>
                <w:b w:val="0"/>
                <w:sz w:val="21"/>
              </w:rPr>
              <w:t>+15.1%</w:t>
            </w:r>
          </w:p>
        </w:tc>
      </w:tr>
      <w:tr>
        <w:tc>
          <w:tcPr>
            <w:tcW w:type="dxa" w:w="2436"/>
          </w:tcPr>
          <w:p>
            <w:pPr>
              <w:spacing w:line="240" w:lineRule="auto"/>
              <w:jc w:val="center"/>
            </w:pPr>
            <w:r>
              <w:rPr>
                <w:rFonts w:ascii="宋体" w:hAnsi="宋体" w:eastAsia="宋体"/>
                <w:b w:val="0"/>
                <w:sz w:val="21"/>
              </w:rPr>
              <w:t>偏度</w:t>
            </w:r>
          </w:p>
        </w:tc>
        <w:tc>
          <w:tcPr>
            <w:tcW w:type="dxa" w:w="2436"/>
          </w:tcPr>
          <w:p>
            <w:pPr>
              <w:spacing w:line="240" w:lineRule="auto"/>
              <w:jc w:val="center"/>
            </w:pPr>
            <w:r>
              <w:rPr>
                <w:rFonts w:ascii="宋体" w:hAnsi="宋体" w:eastAsia="宋体"/>
                <w:b w:val="0"/>
                <w:sz w:val="21"/>
              </w:rPr>
              <w:t>0.7162</w:t>
            </w:r>
          </w:p>
        </w:tc>
        <w:tc>
          <w:tcPr>
            <w:tcW w:type="dxa" w:w="2436"/>
          </w:tcPr>
          <w:p>
            <w:pPr>
              <w:spacing w:line="240" w:lineRule="auto"/>
              <w:jc w:val="center"/>
            </w:pPr>
            <w:r>
              <w:rPr>
                <w:rFonts w:ascii="宋体" w:hAnsi="宋体" w:eastAsia="宋体"/>
                <w:b w:val="0"/>
                <w:sz w:val="21"/>
              </w:rPr>
              <w:t>0.7183</w:t>
            </w:r>
          </w:p>
        </w:tc>
        <w:tc>
          <w:tcPr>
            <w:tcW w:type="dxa" w:w="2436"/>
          </w:tcPr>
          <w:p>
            <w:pPr>
              <w:spacing w:line="240" w:lineRule="auto"/>
              <w:jc w:val="center"/>
            </w:pPr>
            <w:r>
              <w:rPr>
                <w:rFonts w:ascii="宋体" w:hAnsi="宋体" w:eastAsia="宋体"/>
                <w:b w:val="0"/>
                <w:sz w:val="21"/>
              </w:rPr>
              <w:t>右偏维持</w:t>
            </w:r>
          </w:p>
        </w:tc>
      </w:tr>
      <w:tr>
        <w:tc>
          <w:tcPr>
            <w:tcW w:type="dxa" w:w="2436"/>
          </w:tcPr>
          <w:p>
            <w:pPr>
              <w:spacing w:line="240" w:lineRule="auto"/>
              <w:jc w:val="center"/>
            </w:pPr>
            <w:r>
              <w:rPr>
                <w:rFonts w:ascii="宋体" w:hAnsi="宋体" w:eastAsia="宋体"/>
                <w:b w:val="0"/>
                <w:sz w:val="21"/>
              </w:rPr>
              <w:t>≥p99占比</w:t>
            </w:r>
          </w:p>
        </w:tc>
        <w:tc>
          <w:tcPr>
            <w:tcW w:type="dxa" w:w="2436"/>
          </w:tcPr>
          <w:p>
            <w:pPr>
              <w:spacing w:line="240" w:lineRule="auto"/>
              <w:jc w:val="center"/>
            </w:pPr>
            <w:r>
              <w:rPr>
                <w:rFonts w:ascii="宋体" w:hAnsi="宋体" w:eastAsia="宋体"/>
                <w:b w:val="0"/>
                <w:sz w:val="21"/>
              </w:rPr>
              <w:t>1.00%</w:t>
            </w:r>
          </w:p>
        </w:tc>
        <w:tc>
          <w:tcPr>
            <w:tcW w:type="dxa" w:w="2436"/>
          </w:tcPr>
          <w:p>
            <w:pPr>
              <w:spacing w:line="240" w:lineRule="auto"/>
              <w:jc w:val="center"/>
            </w:pPr>
            <w:r>
              <w:rPr>
                <w:rFonts w:ascii="宋体" w:hAnsi="宋体" w:eastAsia="宋体"/>
                <w:b w:val="0"/>
                <w:sz w:val="21"/>
              </w:rPr>
              <w:t>1.00%</w:t>
            </w:r>
          </w:p>
        </w:tc>
        <w:tc>
          <w:tcPr>
            <w:tcW w:type="dxa" w:w="2436"/>
          </w:tcPr>
          <w:p>
            <w:pPr>
              <w:spacing w:line="240" w:lineRule="auto"/>
              <w:jc w:val="center"/>
            </w:pPr>
            <w:r>
              <w:rPr>
                <w:rFonts w:ascii="宋体" w:hAnsi="宋体" w:eastAsia="宋体"/>
                <w:b w:val="0"/>
                <w:sz w:val="21"/>
              </w:rPr>
              <w:t>~1%</w:t>
            </w:r>
          </w:p>
        </w:tc>
      </w:tr>
    </w:tbl>
    <w:p/>
    <w:p>
      <w:pPr>
        <w:spacing w:line="360" w:lineRule="auto" w:after="0" w:before="0"/>
        <w:ind w:firstLine="420"/>
        <w:jc w:val="both"/>
      </w:pPr>
      <w:r>
        <w:rPr>
          <w:rFonts w:ascii="宋体" w:hAnsi="宋体" w:eastAsia="宋体"/>
          <w:b w:val="0"/>
          <w:sz w:val="21"/>
        </w:rPr>
        <w:t>归纳三条可检验结论：（1）涨落增强——σ(t)整体上升（见图1时序曲线）；（2）两极分化——偏度维持右偏且尾翼抬升，低密度void与高密度节点共存；（3）宇宙网对应——Top 1%体素在XY投影中呈丝状聚集，与t=99体渲染亮脊位置一致（任务四双向验证）。可视化上，体渲染提供全局形态直觉，100步log直方图量化分布漂移，相空间刷选将高密度尾与空间节点一一对应，形成“假设—统计—空间”闭环，支撑宇宙学数据探索而非主观读图。从应用角度看，该组合可用于检验模拟参数是否产生合理的IGM结构、比较不同红移或子体积的团块化速率，并为后续提取filament样本提供入口。</w:t>
      </w:r>
    </w:p>
    <w:p>
      <w:pPr>
        <w:jc w:val="center"/>
      </w:pPr>
      <w:r>
        <w:drawing>
          <wp:inline xmlns:a="http://schemas.openxmlformats.org/drawingml/2006/main" xmlns:pic="http://schemas.openxmlformats.org/drawingml/2006/picture">
            <wp:extent cx="5040000" cy="3519920"/>
            <wp:docPr id="4" name="Picture 4"/>
            <wp:cNvGraphicFramePr>
              <a:graphicFrameLocks noChangeAspect="1"/>
            </wp:cNvGraphicFramePr>
            <a:graphic>
              <a:graphicData uri="http://schemas.openxmlformats.org/drawingml/2006/picture">
                <pic:pic>
                  <pic:nvPicPr>
                    <pic:cNvPr id="0" name="task2_evolution_story.png"/>
                    <pic:cNvPicPr/>
                  </pic:nvPicPr>
                  <pic:blipFill>
                    <a:blip r:embed="rId12"/>
                    <a:stretch>
                      <a:fillRect/>
                    </a:stretch>
                  </pic:blipFill>
                  <pic:spPr>
                    <a:xfrm>
                      <a:off x="0" y="0"/>
                      <a:ext cx="5040000" cy="3519920"/>
                    </a:xfrm>
                    <a:prstGeom prst="rect"/>
                  </pic:spPr>
                </pic:pic>
              </a:graphicData>
            </a:graphic>
          </wp:inline>
        </w:drawing>
      </w:r>
    </w:p>
    <w:p>
      <w:pPr>
        <w:spacing w:before="60" w:after="120"/>
        <w:jc w:val="center"/>
      </w:pPr>
      <w:r>
        <w:rPr>
          <w:rFonts w:ascii="宋体" w:hAnsi="宋体" w:eastAsia="宋体"/>
          <w:b w:val="0"/>
          <w:sz w:val="21"/>
        </w:rPr>
        <w:t>图1 100步全域统计曲线</w:t>
      </w:r>
    </w:p>
    <w:p>
      <w:pPr>
        <w:jc w:val="center"/>
      </w:pPr>
      <w:r>
        <w:drawing>
          <wp:inline xmlns:a="http://schemas.openxmlformats.org/drawingml/2006/main" xmlns:pic="http://schemas.openxmlformats.org/drawingml/2006/picture">
            <wp:extent cx="4680000" cy="2899661"/>
            <wp:docPr id="5" name="Picture 5"/>
            <wp:cNvGraphicFramePr>
              <a:graphicFrameLocks noChangeAspect="1"/>
            </wp:cNvGraphicFramePr>
            <a:graphic>
              <a:graphicData uri="http://schemas.openxmlformats.org/drawingml/2006/picture">
                <pic:pic>
                  <pic:nvPicPr>
                    <pic:cNvPr id="0" name="task3_hist_overlay.png"/>
                    <pic:cNvPicPr/>
                  </pic:nvPicPr>
                  <pic:blipFill>
                    <a:blip r:embed="rId13"/>
                    <a:stretch>
                      <a:fillRect/>
                    </a:stretch>
                  </pic:blipFill>
                  <pic:spPr>
                    <a:xfrm>
                      <a:off x="0" y="0"/>
                      <a:ext cx="4680000" cy="2899661"/>
                    </a:xfrm>
                    <a:prstGeom prst="rect"/>
                  </pic:spPr>
                </pic:pic>
              </a:graphicData>
            </a:graphic>
          </wp:inline>
        </w:drawing>
      </w:r>
    </w:p>
    <w:p>
      <w:pPr>
        <w:spacing w:before="60" w:after="120"/>
        <w:jc w:val="center"/>
      </w:pPr>
      <w:r>
        <w:rPr>
          <w:rFonts w:ascii="宋体" w:hAnsi="宋体" w:eastAsia="宋体"/>
          <w:b w:val="0"/>
          <w:sz w:val="21"/>
        </w:rPr>
        <w:t>图2 代表步直方图叠加</w:t>
      </w:r>
    </w:p>
    <w:p>
      <w:pPr>
        <w:jc w:val="center"/>
      </w:pPr>
      <w:r>
        <w:drawing>
          <wp:inline xmlns:a="http://schemas.openxmlformats.org/drawingml/2006/main" xmlns:pic="http://schemas.openxmlformats.org/drawingml/2006/picture">
            <wp:extent cx="3960000" cy="2227500"/>
            <wp:docPr id="6" name="Picture 6"/>
            <wp:cNvGraphicFramePr>
              <a:graphicFrameLocks noChangeAspect="1"/>
            </wp:cNvGraphicFramePr>
            <a:graphic>
              <a:graphicData uri="http://schemas.openxmlformats.org/drawingml/2006/picture">
                <pic:pic>
                  <pic:nvPicPr>
                    <pic:cNvPr id="0" name="task1_vol_t0000.png"/>
                    <pic:cNvPicPr/>
                  </pic:nvPicPr>
                  <pic:blipFill>
                    <a:blip r:embed="rId10"/>
                    <a:stretch>
                      <a:fillRect/>
                    </a:stretch>
                  </pic:blipFill>
                  <pic:spPr>
                    <a:xfrm>
                      <a:off x="0" y="0"/>
                      <a:ext cx="3960000" cy="2227500"/>
                    </a:xfrm>
                    <a:prstGeom prst="rect"/>
                  </pic:spPr>
                </pic:pic>
              </a:graphicData>
            </a:graphic>
          </wp:inline>
        </w:drawing>
      </w:r>
    </w:p>
    <w:p>
      <w:pPr>
        <w:spacing w:before="60" w:after="120"/>
        <w:jc w:val="center"/>
      </w:pPr>
      <w:r>
        <w:rPr>
          <w:rFonts w:ascii="宋体" w:hAnsi="宋体" w:eastAsia="宋体"/>
          <w:b w:val="0"/>
          <w:sz w:val="21"/>
        </w:rPr>
        <w:t>图3 t=0体渲染</w:t>
      </w:r>
    </w:p>
    <w:p>
      <w:pPr>
        <w:jc w:val="center"/>
      </w:pPr>
      <w:r>
        <w:drawing>
          <wp:inline xmlns:a="http://schemas.openxmlformats.org/drawingml/2006/main" xmlns:pic="http://schemas.openxmlformats.org/drawingml/2006/picture">
            <wp:extent cx="3960000" cy="2227500"/>
            <wp:docPr id="7" name="Picture 7"/>
            <wp:cNvGraphicFramePr>
              <a:graphicFrameLocks noChangeAspect="1"/>
            </wp:cNvGraphicFramePr>
            <a:graphic>
              <a:graphicData uri="http://schemas.openxmlformats.org/drawingml/2006/picture">
                <pic:pic>
                  <pic:nvPicPr>
                    <pic:cNvPr id="0" name="task1_vol_t0099.png"/>
                    <pic:cNvPicPr/>
                  </pic:nvPicPr>
                  <pic:blipFill>
                    <a:blip r:embed="rId11"/>
                    <a:stretch>
                      <a:fillRect/>
                    </a:stretch>
                  </pic:blipFill>
                  <pic:spPr>
                    <a:xfrm>
                      <a:off x="0" y="0"/>
                      <a:ext cx="3960000" cy="2227500"/>
                    </a:xfrm>
                    <a:prstGeom prst="rect"/>
                  </pic:spPr>
                </pic:pic>
              </a:graphicData>
            </a:graphic>
          </wp:inline>
        </w:drawing>
      </w:r>
    </w:p>
    <w:p>
      <w:pPr>
        <w:spacing w:before="60" w:after="120"/>
        <w:jc w:val="center"/>
      </w:pPr>
      <w:r>
        <w:rPr>
          <w:rFonts w:ascii="宋体" w:hAnsi="宋体" w:eastAsia="宋体"/>
          <w:b w:val="0"/>
          <w:sz w:val="21"/>
        </w:rPr>
        <w:t>图4 t=99体渲染</w:t>
      </w:r>
    </w:p>
    <w:p w14:paraId="79724611" w14:textId="0C4257FA" w:rsidR="00940392" w:rsidRDefault="00965202">
      <w:pPr>
        <w:spacing w:beforeLines="100" w:before="312" w:after="50" w:line="360" w:lineRule="auto"/>
        <w:rPr>
          <w:rFonts w:ascii="黑体" w:eastAsia="黑体" w:hAnsi="黑体"/>
          <w:color w:val="C45911"/>
          <w:sz w:val="24"/>
        </w:rPr>
      </w:pPr>
      <w:r>
        <w:rPr>
          <w:rFonts w:ascii="黑体" w:eastAsia="黑体" w:hAnsi="黑体" w:hint="eastAsia"/>
          <w:b/>
          <w:sz w:val="24"/>
        </w:rPr>
        <w:t>3、</w:t>
      </w:r>
      <w:r w:rsidR="006F2AE0" w:rsidRPr="006F2AE0">
        <w:rPr>
          <w:rFonts w:ascii="黑体" w:eastAsia="黑体" w:hAnsi="黑体" w:hint="eastAsia"/>
          <w:b/>
          <w:sz w:val="24"/>
        </w:rPr>
        <w:t>宇宙密度时序统计特征分析：早期宇宙物质分布相对均匀，密度数值高度集中于均值区间。在100个演化时间步长的暗物质引力持续作用下，宇宙物质不断聚集坍缩，整体呈现显著的“团块化”特征，密度数值波动幅度持续增大，逐步形成极端低密度宇宙空洞与极端高密度结构峰值的两极分化分布。自主统计每个时间步长的气体密度数据，构建密度对数直方图，量化追踪全域密度分布随时间的演化偏移规律</w:t>
      </w:r>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2FF6F296" w14:textId="77777777" w:rsidR="00940392" w:rsidRDefault="001B3BDA">
      <w:pPr>
        <w:rPr>
          <w:color w:val="BFBFBF"/>
        </w:rPr>
      </w:pPr>
      <w:r>
        <w:rPr>
          <w:color w:val="BFBFBF"/>
        </w:rPr>
        <w:t>（下面是答题区域）</w:t>
      </w:r>
    </w:p>
    <w:p>
      <w:pPr>
        <w:spacing w:line="360" w:lineRule="auto" w:after="0" w:before="0"/>
        <w:ind w:firstLine="420"/>
        <w:jc w:val="both"/>
      </w:pPr>
      <w:r>
        <w:rPr>
          <w:rFonts w:ascii="宋体" w:hAnsi="宋体" w:eastAsia="宋体"/>
          <w:b w:val="0"/>
          <w:sz w:val="21"/>
        </w:rPr>
        <w:t>对全部100个时间步的气体密度做log等距分箱（128bins），边界[7.7533,14.5231]（全域min/max）。分箱中心取相邻边界几何均值ρᵢ=√(edgeᵢ·edgeᵢ₊₁)，直方图纵轴为归一化频数count/N；同步预计算每步mean、σ、p01/p50/p99、偏度skew，写入timeline.json供交互页与静态图共用。交互仪表盘（D3.js）与本文配图均读取同一统计源，保证数值一致、可复现。</w:t>
      </w:r>
    </w:p>
    <w:p>
      <w:pPr>
        <w:spacing w:line="360" w:lineRule="auto" w:after="0" w:before="0"/>
        <w:ind w:firstLine="420"/>
        <w:jc w:val="both"/>
      </w:pPr>
      <w:r>
        <w:rPr>
          <w:rFonts w:ascii="宋体" w:hAnsi="宋体" w:eastAsia="宋体"/>
          <w:b w:val="0"/>
          <w:sz w:val="21"/>
        </w:rPr>
        <w:t>演化规律体现在三方面。团块化：σ由0.4318→0.4983，物质由相对均匀转向强烈聚敛。两极分化：偏度由0.7162→0.7183，代表步直方图叠加显示主峰略移、右尾持续增厚，对应void扩大与致密节点并存。分位跨度p99−p01由2.098→2.414，高密度尾体积占比稳定在~1%量级，但在空间上已对应可见filament。100步mean/p99/σ时序曲线（图2）与σ、偏度、分位跨度三联图（图3）共同刻画这一漂移过程，比单帧切片更有说服力。</w:t>
      </w:r>
    </w:p>
    <w:p>
      <w:pPr>
        <w:spacing w:before="120" w:after="60"/>
        <w:jc w:val="center"/>
      </w:pPr>
      <w:r>
        <w:rPr>
          <w:rFonts w:ascii="宋体" w:hAnsi="宋体" w:eastAsia="宋体"/>
          <w:b/>
          <w:sz w:val="21"/>
        </w:rPr>
        <w:t>表1 直方图演化要点</w:t>
      </w:r>
    </w:p>
    <w:tbl>
      <w:tblPr>
        <w:tblW w:type="auto" w:w="0"/>
        <w:tblLook w:firstColumn="1" w:firstRow="1" w:lastColumn="0" w:lastRow="0" w:noHBand="0" w:noVBand="1" w:val="04A0"/>
      </w:tblPr>
      <w:tblGrid>
        <w:gridCol w:w="2436"/>
        <w:gridCol w:w="2436"/>
        <w:gridCol w:w="2436"/>
        <w:gridCol w:w="2436"/>
      </w:tblGrid>
      <w:tr>
        <w:tc>
          <w:tcPr>
            <w:tcW w:type="dxa" w:w="2436"/>
          </w:tcPr>
          <w:p>
            <w:pPr>
              <w:spacing w:line="240" w:lineRule="auto"/>
              <w:jc w:val="center"/>
            </w:pPr>
            <w:r>
              <w:rPr>
                <w:rFonts w:ascii="宋体" w:hAnsi="宋体" w:eastAsia="宋体"/>
                <w:b/>
                <w:sz w:val="21"/>
              </w:rPr>
              <w:t>量</w:t>
            </w:r>
          </w:p>
        </w:tc>
        <w:tc>
          <w:tcPr>
            <w:tcW w:type="dxa" w:w="2436"/>
          </w:tcPr>
          <w:p>
            <w:pPr>
              <w:spacing w:line="240" w:lineRule="auto"/>
              <w:jc w:val="center"/>
            </w:pPr>
            <w:r>
              <w:rPr>
                <w:rFonts w:ascii="宋体" w:hAnsi="宋体" w:eastAsia="宋体"/>
                <w:b/>
                <w:sz w:val="21"/>
              </w:rPr>
              <w:t>t=0</w:t>
            </w:r>
          </w:p>
        </w:tc>
        <w:tc>
          <w:tcPr>
            <w:tcW w:type="dxa" w:w="2436"/>
          </w:tcPr>
          <w:p>
            <w:pPr>
              <w:spacing w:line="240" w:lineRule="auto"/>
              <w:jc w:val="center"/>
            </w:pPr>
            <w:r>
              <w:rPr>
                <w:rFonts w:ascii="宋体" w:hAnsi="宋体" w:eastAsia="宋体"/>
                <w:b/>
                <w:sz w:val="21"/>
              </w:rPr>
              <w:t>t=99</w:t>
            </w:r>
          </w:p>
        </w:tc>
        <w:tc>
          <w:tcPr>
            <w:tcW w:type="dxa" w:w="2436"/>
          </w:tcPr>
          <w:p>
            <w:pPr>
              <w:spacing w:line="240" w:lineRule="auto"/>
              <w:jc w:val="center"/>
            </w:pPr>
            <w:r>
              <w:rPr>
                <w:rFonts w:ascii="宋体" w:hAnsi="宋体" w:eastAsia="宋体"/>
                <w:b/>
                <w:sz w:val="21"/>
              </w:rPr>
              <w:t>含义</w:t>
            </w:r>
          </w:p>
        </w:tc>
      </w:tr>
      <w:tr>
        <w:tc>
          <w:tcPr>
            <w:tcW w:type="dxa" w:w="2436"/>
          </w:tcPr>
          <w:p>
            <w:pPr>
              <w:spacing w:line="240" w:lineRule="auto"/>
              <w:jc w:val="center"/>
            </w:pPr>
            <w:r>
              <w:rPr>
                <w:rFonts w:ascii="宋体" w:hAnsi="宋体" w:eastAsia="宋体"/>
                <w:b w:val="0"/>
                <w:sz w:val="21"/>
              </w:rPr>
              <w:t>σ</w:t>
            </w:r>
          </w:p>
        </w:tc>
        <w:tc>
          <w:tcPr>
            <w:tcW w:type="dxa" w:w="2436"/>
          </w:tcPr>
          <w:p>
            <w:pPr>
              <w:spacing w:line="240" w:lineRule="auto"/>
              <w:jc w:val="center"/>
            </w:pPr>
            <w:r>
              <w:rPr>
                <w:rFonts w:ascii="宋体" w:hAnsi="宋体" w:eastAsia="宋体"/>
                <w:b w:val="0"/>
                <w:sz w:val="21"/>
              </w:rPr>
              <w:t>0.4318</w:t>
            </w:r>
          </w:p>
        </w:tc>
        <w:tc>
          <w:tcPr>
            <w:tcW w:type="dxa" w:w="2436"/>
          </w:tcPr>
          <w:p>
            <w:pPr>
              <w:spacing w:line="240" w:lineRule="auto"/>
              <w:jc w:val="center"/>
            </w:pPr>
            <w:r>
              <w:rPr>
                <w:rFonts w:ascii="宋体" w:hAnsi="宋体" w:eastAsia="宋体"/>
                <w:b w:val="0"/>
                <w:sz w:val="21"/>
              </w:rPr>
              <w:t>0.4983</w:t>
            </w:r>
          </w:p>
        </w:tc>
        <w:tc>
          <w:tcPr>
            <w:tcW w:type="dxa" w:w="2436"/>
          </w:tcPr>
          <w:p>
            <w:pPr>
              <w:spacing w:line="240" w:lineRule="auto"/>
              <w:jc w:val="center"/>
            </w:pPr>
            <w:r>
              <w:rPr>
                <w:rFonts w:ascii="宋体" w:hAnsi="宋体" w:eastAsia="宋体"/>
                <w:b w:val="0"/>
                <w:sz w:val="21"/>
              </w:rPr>
              <w:t>团块化、涨落扩大</w:t>
            </w:r>
          </w:p>
        </w:tc>
      </w:tr>
      <w:tr>
        <w:tc>
          <w:tcPr>
            <w:tcW w:type="dxa" w:w="2436"/>
          </w:tcPr>
          <w:p>
            <w:pPr>
              <w:spacing w:line="240" w:lineRule="auto"/>
              <w:jc w:val="center"/>
            </w:pPr>
            <w:r>
              <w:rPr>
                <w:rFonts w:ascii="宋体" w:hAnsi="宋体" w:eastAsia="宋体"/>
                <w:b w:val="0"/>
                <w:sz w:val="21"/>
              </w:rPr>
              <w:t>偏度</w:t>
            </w:r>
          </w:p>
        </w:tc>
        <w:tc>
          <w:tcPr>
            <w:tcW w:type="dxa" w:w="2436"/>
          </w:tcPr>
          <w:p>
            <w:pPr>
              <w:spacing w:line="240" w:lineRule="auto"/>
              <w:jc w:val="center"/>
            </w:pPr>
            <w:r>
              <w:rPr>
                <w:rFonts w:ascii="宋体" w:hAnsi="宋体" w:eastAsia="宋体"/>
                <w:b w:val="0"/>
                <w:sz w:val="21"/>
              </w:rPr>
              <w:t>0.7162</w:t>
            </w:r>
          </w:p>
        </w:tc>
        <w:tc>
          <w:tcPr>
            <w:tcW w:type="dxa" w:w="2436"/>
          </w:tcPr>
          <w:p>
            <w:pPr>
              <w:spacing w:line="240" w:lineRule="auto"/>
              <w:jc w:val="center"/>
            </w:pPr>
            <w:r>
              <w:rPr>
                <w:rFonts w:ascii="宋体" w:hAnsi="宋体" w:eastAsia="宋体"/>
                <w:b w:val="0"/>
                <w:sz w:val="21"/>
              </w:rPr>
              <w:t>0.7183</w:t>
            </w:r>
          </w:p>
        </w:tc>
        <w:tc>
          <w:tcPr>
            <w:tcW w:type="dxa" w:w="2436"/>
          </w:tcPr>
          <w:p>
            <w:pPr>
              <w:spacing w:line="240" w:lineRule="auto"/>
              <w:jc w:val="center"/>
            </w:pPr>
            <w:r>
              <w:rPr>
                <w:rFonts w:ascii="宋体" w:hAnsi="宋体" w:eastAsia="宋体"/>
                <w:b w:val="0"/>
                <w:sz w:val="21"/>
              </w:rPr>
              <w:t>右尾增厚</w:t>
            </w:r>
          </w:p>
        </w:tc>
      </w:tr>
      <w:tr>
        <w:tc>
          <w:tcPr>
            <w:tcW w:type="dxa" w:w="2436"/>
          </w:tcPr>
          <w:p>
            <w:pPr>
              <w:spacing w:line="240" w:lineRule="auto"/>
              <w:jc w:val="center"/>
            </w:pPr>
            <w:r>
              <w:rPr>
                <w:rFonts w:ascii="宋体" w:hAnsi="宋体" w:eastAsia="宋体"/>
                <w:b w:val="0"/>
                <w:sz w:val="21"/>
              </w:rPr>
              <w:t>p50</w:t>
            </w:r>
          </w:p>
        </w:tc>
        <w:tc>
          <w:tcPr>
            <w:tcW w:type="dxa" w:w="2436"/>
          </w:tcPr>
          <w:p>
            <w:pPr>
              <w:spacing w:line="240" w:lineRule="auto"/>
              <w:jc w:val="center"/>
            </w:pPr>
            <w:r>
              <w:rPr>
                <w:rFonts w:ascii="宋体" w:hAnsi="宋体" w:eastAsia="宋体"/>
                <w:b w:val="0"/>
                <w:sz w:val="21"/>
              </w:rPr>
              <w:t>9.4504</w:t>
            </w:r>
          </w:p>
        </w:tc>
        <w:tc>
          <w:tcPr>
            <w:tcW w:type="dxa" w:w="2436"/>
          </w:tcPr>
          <w:p>
            <w:pPr>
              <w:spacing w:line="240" w:lineRule="auto"/>
              <w:jc w:val="center"/>
            </w:pPr>
            <w:r>
              <w:rPr>
                <w:rFonts w:ascii="宋体" w:hAnsi="宋体" w:eastAsia="宋体"/>
                <w:b w:val="0"/>
                <w:sz w:val="21"/>
              </w:rPr>
              <w:t>9.2745</w:t>
            </w:r>
          </w:p>
        </w:tc>
        <w:tc>
          <w:tcPr>
            <w:tcW w:type="dxa" w:w="2436"/>
          </w:tcPr>
          <w:p>
            <w:pPr>
              <w:spacing w:line="240" w:lineRule="auto"/>
              <w:jc w:val="center"/>
            </w:pPr>
            <w:r>
              <w:rPr>
                <w:rFonts w:ascii="宋体" w:hAnsi="宋体" w:eastAsia="宋体"/>
                <w:b w:val="0"/>
                <w:sz w:val="21"/>
              </w:rPr>
              <w:t>主峰略移</w:t>
            </w:r>
          </w:p>
        </w:tc>
      </w:tr>
      <w:tr>
        <w:tc>
          <w:tcPr>
            <w:tcW w:type="dxa" w:w="2436"/>
          </w:tcPr>
          <w:p>
            <w:pPr>
              <w:spacing w:line="240" w:lineRule="auto"/>
              <w:jc w:val="center"/>
            </w:pPr>
            <w:r>
              <w:rPr>
                <w:rFonts w:ascii="宋体" w:hAnsi="宋体" w:eastAsia="宋体"/>
                <w:b w:val="0"/>
                <w:sz w:val="21"/>
              </w:rPr>
              <w:t>p99−p01</w:t>
            </w:r>
          </w:p>
        </w:tc>
        <w:tc>
          <w:tcPr>
            <w:tcW w:type="dxa" w:w="2436"/>
          </w:tcPr>
          <w:p>
            <w:pPr>
              <w:spacing w:line="240" w:lineRule="auto"/>
              <w:jc w:val="center"/>
            </w:pPr>
            <w:r>
              <w:rPr>
                <w:rFonts w:ascii="宋体" w:hAnsi="宋体" w:eastAsia="宋体"/>
                <w:b w:val="0"/>
                <w:sz w:val="21"/>
              </w:rPr>
              <w:t>2.098</w:t>
            </w:r>
          </w:p>
        </w:tc>
        <w:tc>
          <w:tcPr>
            <w:tcW w:type="dxa" w:w="2436"/>
          </w:tcPr>
          <w:p>
            <w:pPr>
              <w:spacing w:line="240" w:lineRule="auto"/>
              <w:jc w:val="center"/>
            </w:pPr>
            <w:r>
              <w:rPr>
                <w:rFonts w:ascii="宋体" w:hAnsi="宋体" w:eastAsia="宋体"/>
                <w:b w:val="0"/>
                <w:sz w:val="21"/>
              </w:rPr>
              <w:t>2.414</w:t>
            </w:r>
          </w:p>
        </w:tc>
        <w:tc>
          <w:tcPr>
            <w:tcW w:type="dxa" w:w="2436"/>
          </w:tcPr>
          <w:p>
            <w:pPr>
              <w:spacing w:line="240" w:lineRule="auto"/>
              <w:jc w:val="center"/>
            </w:pPr>
            <w:r>
              <w:rPr>
                <w:rFonts w:ascii="宋体" w:hAnsi="宋体" w:eastAsia="宋体"/>
                <w:b w:val="0"/>
                <w:sz w:val="21"/>
              </w:rPr>
              <w:t>两极分化</w:t>
            </w:r>
          </w:p>
        </w:tc>
      </w:tr>
    </w:tbl>
    <w:p/>
    <w:p>
      <w:pPr>
        <w:spacing w:line="360" w:lineRule="auto" w:after="0" w:before="0"/>
        <w:ind w:firstLine="420"/>
        <w:jc w:val="both"/>
      </w:pPr>
      <w:r>
        <w:rPr>
          <w:rFonts w:ascii="宋体" w:hAnsi="宋体" w:eastAsia="宋体"/>
          <w:b w:val="0"/>
          <w:sz w:val="21"/>
        </w:rPr>
        <w:t>与赛题描述对照：早期密度集中于均值附近，后期出现空洞与峰值两极分化——本工作以完整100步直方图序列而非个别时刻证明该趋势。图1五步叠加直观展示主峰右移与尾翼抬升；图2显示mean缓降而p99缓升，说明整体略向低密度偏移的同时，极端高密度体素仍在积累。图3中偏度与分位跨度同步走阔，定量支持“团块化”叙事。结合任务一体渲染，可将统计上的右尾增厚与空间上的filament亮脊对应起来，避免仅依赖单一指标得出片面结论。</w:t>
      </w:r>
    </w:p>
    <w:p>
      <w:pPr>
        <w:jc w:val="center"/>
      </w:pPr>
      <w:r>
        <w:drawing>
          <wp:inline xmlns:a="http://schemas.openxmlformats.org/drawingml/2006/main" xmlns:pic="http://schemas.openxmlformats.org/drawingml/2006/picture">
            <wp:extent cx="4680000" cy="2899661"/>
            <wp:docPr id="8" name="Picture 8"/>
            <wp:cNvGraphicFramePr>
              <a:graphicFrameLocks noChangeAspect="1"/>
            </wp:cNvGraphicFramePr>
            <a:graphic>
              <a:graphicData uri="http://schemas.openxmlformats.org/drawingml/2006/picture">
                <pic:pic>
                  <pic:nvPicPr>
                    <pic:cNvPr id="0" name="task3_hist_overlay.png"/>
                    <pic:cNvPicPr/>
                  </pic:nvPicPr>
                  <pic:blipFill>
                    <a:blip r:embed="rId13"/>
                    <a:stretch>
                      <a:fillRect/>
                    </a:stretch>
                  </pic:blipFill>
                  <pic:spPr>
                    <a:xfrm>
                      <a:off x="0" y="0"/>
                      <a:ext cx="4680000" cy="2899661"/>
                    </a:xfrm>
                    <a:prstGeom prst="rect"/>
                  </pic:spPr>
                </pic:pic>
              </a:graphicData>
            </a:graphic>
          </wp:inline>
        </w:drawing>
      </w:r>
    </w:p>
    <w:p>
      <w:pPr>
        <w:spacing w:before="60" w:after="120"/>
        <w:jc w:val="center"/>
      </w:pPr>
      <w:r>
        <w:rPr>
          <w:rFonts w:ascii="宋体" w:hAnsi="宋体" w:eastAsia="宋体"/>
          <w:b w:val="0"/>
          <w:sz w:val="21"/>
        </w:rPr>
        <w:t>图1 五步直方图叠加</w:t>
      </w:r>
    </w:p>
    <w:p>
      <w:pPr>
        <w:jc w:val="center"/>
      </w:pPr>
      <w:r>
        <w:drawing>
          <wp:inline xmlns:a="http://schemas.openxmlformats.org/drawingml/2006/main" xmlns:pic="http://schemas.openxmlformats.org/drawingml/2006/picture">
            <wp:extent cx="4680000" cy="2062019"/>
            <wp:docPr id="9" name="Picture 9"/>
            <wp:cNvGraphicFramePr>
              <a:graphicFrameLocks noChangeAspect="1"/>
            </wp:cNvGraphicFramePr>
            <a:graphic>
              <a:graphicData uri="http://schemas.openxmlformats.org/drawingml/2006/picture">
                <pic:pic>
                  <pic:nvPicPr>
                    <pic:cNvPr id="0" name="task3_metrics_timeline.png"/>
                    <pic:cNvPicPr/>
                  </pic:nvPicPr>
                  <pic:blipFill>
                    <a:blip r:embed="rId14"/>
                    <a:stretch>
                      <a:fillRect/>
                    </a:stretch>
                  </pic:blipFill>
                  <pic:spPr>
                    <a:xfrm>
                      <a:off x="0" y="0"/>
                      <a:ext cx="4680000" cy="2062019"/>
                    </a:xfrm>
                    <a:prstGeom prst="rect"/>
                  </pic:spPr>
                </pic:pic>
              </a:graphicData>
            </a:graphic>
          </wp:inline>
        </w:drawing>
      </w:r>
    </w:p>
    <w:p>
      <w:pPr>
        <w:spacing w:before="60" w:after="120"/>
        <w:jc w:val="center"/>
      </w:pPr>
      <w:r>
        <w:rPr>
          <w:rFonts w:ascii="宋体" w:hAnsi="宋体" w:eastAsia="宋体"/>
          <w:b w:val="0"/>
          <w:sz w:val="21"/>
        </w:rPr>
        <w:t>图2 100步mean/p99/σ</w:t>
      </w:r>
    </w:p>
    <w:p>
      <w:pPr>
        <w:jc w:val="center"/>
      </w:pPr>
      <w:r>
        <w:drawing>
          <wp:inline xmlns:a="http://schemas.openxmlformats.org/drawingml/2006/main" xmlns:pic="http://schemas.openxmlformats.org/drawingml/2006/picture">
            <wp:extent cx="4680000" cy="1499322"/>
            <wp:docPr id="10" name="Picture 10"/>
            <wp:cNvGraphicFramePr>
              <a:graphicFrameLocks noChangeAspect="1"/>
            </wp:cNvGraphicFramePr>
            <a:graphic>
              <a:graphicData uri="http://schemas.openxmlformats.org/drawingml/2006/picture">
                <pic:pic>
                  <pic:nvPicPr>
                    <pic:cNvPr id="0" name="task3_evolution_metrics.png"/>
                    <pic:cNvPicPr/>
                  </pic:nvPicPr>
                  <pic:blipFill>
                    <a:blip r:embed="rId15"/>
                    <a:stretch>
                      <a:fillRect/>
                    </a:stretch>
                  </pic:blipFill>
                  <pic:spPr>
                    <a:xfrm>
                      <a:off x="0" y="0"/>
                      <a:ext cx="4680000" cy="1499322"/>
                    </a:xfrm>
                    <a:prstGeom prst="rect"/>
                  </pic:spPr>
                </pic:pic>
              </a:graphicData>
            </a:graphic>
          </wp:inline>
        </w:drawing>
      </w:r>
    </w:p>
    <w:p>
      <w:pPr>
        <w:spacing w:before="60" w:after="120"/>
        <w:jc w:val="center"/>
      </w:pPr>
      <w:r>
        <w:rPr>
          <w:rFonts w:ascii="宋体" w:hAnsi="宋体" w:eastAsia="宋体"/>
          <w:b w:val="0"/>
          <w:sz w:val="21"/>
        </w:rPr>
        <w:t>图3 σ、偏度与分位跨度</w:t>
      </w:r>
    </w:p>
    <w:p w14:paraId="33EBC2F9" w14:textId="0C1B67F8" w:rsidR="00965202" w:rsidRDefault="00965202" w:rsidP="00965202">
      <w:pPr>
        <w:spacing w:beforeLines="100" w:before="312" w:after="50" w:line="360" w:lineRule="auto"/>
        <w:rPr>
          <w:rFonts w:ascii="黑体" w:eastAsia="黑体" w:hAnsi="黑体"/>
          <w:color w:val="C45911"/>
          <w:sz w:val="24"/>
        </w:rPr>
      </w:pPr>
      <w:r>
        <w:rPr>
          <w:rFonts w:ascii="黑体" w:eastAsia="黑体" w:hAnsi="黑体" w:hint="eastAsia"/>
          <w:b/>
          <w:sz w:val="24"/>
        </w:rPr>
        <w:t>4、</w:t>
      </w:r>
      <w:r w:rsidR="006F2AE0" w:rsidRPr="006F2AE0">
        <w:rPr>
          <w:rFonts w:ascii="黑体" w:eastAsia="黑体" w:hAnsi="黑体" w:hint="eastAsia"/>
          <w:b/>
          <w:sz w:val="24"/>
        </w:rPr>
        <w:t>相空间交互式刷选可视分析：搭建联动式交互可视分析仪表盘，实现基于相空间的筛选分析功能。支持用户在统计直方图中自定义框选特定密度区间，例如筛选占比1%的极高密度区间。系统可实时联动三维空间视图，快速渲染匹配该密度阈值的物理单元格数据，直观验</w:t>
      </w:r>
      <w:r w:rsidR="006F2AE0" w:rsidRPr="006F2AE0">
        <w:rPr>
          <w:rFonts w:ascii="黑体" w:eastAsia="黑体" w:hAnsi="黑体" w:hint="eastAsia"/>
          <w:b/>
          <w:sz w:val="24"/>
        </w:rPr>
        <w:lastRenderedPageBreak/>
        <w:t>证直方图高密度尾部数据与宇宙网节点致密结构的对应关系，实现统计特征与空间物理结构的双向关联分析</w:t>
      </w:r>
      <w:r w:rsidR="00FF4BA2" w:rsidRPr="00FF4BA2">
        <w:rPr>
          <w:rFonts w:ascii="黑体" w:eastAsia="黑体" w:hAnsi="黑体" w:hint="eastAsia"/>
          <w:b/>
          <w:sz w:val="24"/>
        </w:rPr>
        <w:t>。</w:t>
      </w:r>
      <w:r>
        <w:rPr>
          <w:rFonts w:ascii="黑体" w:eastAsia="黑体" w:hAnsi="黑体" w:hint="eastAsia"/>
          <w:color w:val="C45911"/>
          <w:sz w:val="24"/>
        </w:rPr>
        <w:t>（</w:t>
      </w:r>
      <w:r w:rsidRPr="00965202">
        <w:rPr>
          <w:rFonts w:ascii="黑体" w:eastAsia="黑体" w:hAnsi="黑体" w:hint="eastAsia"/>
          <w:color w:val="C45911"/>
          <w:sz w:val="24"/>
        </w:rPr>
        <w:t>建议参赛者回答此题文字不多于800字，图片不多于5张</w:t>
      </w:r>
      <w:r>
        <w:rPr>
          <w:rFonts w:ascii="黑体" w:eastAsia="黑体" w:hAnsi="黑体" w:hint="eastAsia"/>
          <w:color w:val="C45911"/>
          <w:sz w:val="24"/>
        </w:rPr>
        <w:t>）</w:t>
      </w:r>
    </w:p>
    <w:p w14:paraId="76A38ABE" w14:textId="77777777" w:rsidR="00965202" w:rsidRDefault="00965202" w:rsidP="00965202">
      <w:pPr>
        <w:rPr>
          <w:color w:val="BFBFBF"/>
        </w:rPr>
      </w:pPr>
      <w:r>
        <w:rPr>
          <w:color w:val="BFBFBF"/>
        </w:rPr>
        <w:t>（下面是答题区域）</w:t>
      </w:r>
    </w:p>
    <w:p>
      <w:pPr>
        <w:spacing w:line="360" w:lineRule="auto" w:after="0" w:before="0"/>
        <w:ind w:firstLine="420"/>
        <w:jc w:val="both"/>
      </w:pPr>
      <w:r>
        <w:rPr>
          <w:rFonts w:ascii="宋体" w:hAnsi="宋体" w:eastAsia="宋体"/>
          <w:b w:val="0"/>
          <w:sz w:val="21"/>
        </w:rPr>
        <w:t>交互页v2为三栏：左统计、中体渲染常驻、右刷选（/app.html）。预设Top 1%、90–99%纤维、Bottom 1%；可拖拽框选密度区间。Top 1%：ρ≥10.7601；纤维：ρ∈[9.96,10.76]；Bottom 1%：ρ≤8.3458。刷选后传递函数对命中体素高亮，Canvas 2D最大密度投影以金色标出刷选体素；可选3D点云预览（≤12000点）。刷选体素扫描在Web Worker中执行，避免阻塞主线程渲染；相邻时间步idle预取以提升播放流畅度。</w:t>
      </w:r>
    </w:p>
    <w:p>
      <w:pPr>
        <w:spacing w:line="360" w:lineRule="auto" w:after="0" w:before="0"/>
        <w:ind w:firstLine="420"/>
        <w:jc w:val="both"/>
      </w:pPr>
      <w:r>
        <w:rPr>
          <w:rFonts w:ascii="宋体" w:hAnsi="宋体" w:eastAsia="宋体"/>
          <w:b w:val="0"/>
          <w:sz w:val="21"/>
        </w:rPr>
        <w:t>统计→空间：Top 1%刷选右尾后，XY投影显示丝状/节点状聚集而非随机散点，与t=99体渲染亮脊重合，说明高密度尾对应宇宙网致密结构；Bottom 1%刷选左尾则对应广袤稀疏IGM主体。空间→统计：在t=99 XY最大密度投影上识别filament亮脊（投影值≥P88），汇总亮脊像素密度得ρ∈[11.23,12.16]，位于p75–p99右尾，与Top 1%刷选区间一致；在log直方图上以金色标注该密度带。两条路径形成统计—空间双向可验证闭环。</w:t>
      </w:r>
    </w:p>
    <w:p>
      <w:pPr>
        <w:spacing w:before="120" w:after="60"/>
        <w:jc w:val="center"/>
      </w:pPr>
      <w:r>
        <w:rPr>
          <w:rFonts w:ascii="宋体" w:hAnsi="宋体" w:eastAsia="宋体"/>
          <w:b/>
          <w:sz w:val="21"/>
        </w:rPr>
        <w:t>表1 刷选验证（t=99）</w:t>
      </w:r>
    </w:p>
    <w:tbl>
      <w:tblPr>
        <w:tblW w:type="auto" w:w="0"/>
        <w:tblLook w:firstColumn="1" w:firstRow="1" w:lastColumn="0" w:lastRow="0" w:noHBand="0" w:noVBand="1" w:val="04A0"/>
      </w:tblPr>
      <w:tblGrid>
        <w:gridCol w:w="2436"/>
        <w:gridCol w:w="2436"/>
        <w:gridCol w:w="2436"/>
        <w:gridCol w:w="2436"/>
      </w:tblGrid>
      <w:tr>
        <w:tc>
          <w:tcPr>
            <w:tcW w:type="dxa" w:w="2436"/>
          </w:tcPr>
          <w:p>
            <w:pPr>
              <w:spacing w:line="240" w:lineRule="auto"/>
              <w:jc w:val="center"/>
            </w:pPr>
            <w:r>
              <w:rPr>
                <w:rFonts w:ascii="宋体" w:hAnsi="宋体" w:eastAsia="宋体"/>
                <w:b/>
                <w:sz w:val="21"/>
              </w:rPr>
              <w:t>方向</w:t>
            </w:r>
          </w:p>
        </w:tc>
        <w:tc>
          <w:tcPr>
            <w:tcW w:type="dxa" w:w="2436"/>
          </w:tcPr>
          <w:p>
            <w:pPr>
              <w:spacing w:line="240" w:lineRule="auto"/>
              <w:jc w:val="center"/>
            </w:pPr>
            <w:r>
              <w:rPr>
                <w:rFonts w:ascii="宋体" w:hAnsi="宋体" w:eastAsia="宋体"/>
                <w:b/>
                <w:sz w:val="21"/>
              </w:rPr>
              <w:t>操作</w:t>
            </w:r>
          </w:p>
        </w:tc>
        <w:tc>
          <w:tcPr>
            <w:tcW w:type="dxa" w:w="2436"/>
          </w:tcPr>
          <w:p>
            <w:pPr>
              <w:spacing w:line="240" w:lineRule="auto"/>
              <w:jc w:val="center"/>
            </w:pPr>
            <w:r>
              <w:rPr>
                <w:rFonts w:ascii="宋体" w:hAnsi="宋体" w:eastAsia="宋体"/>
                <w:b/>
                <w:sz w:val="21"/>
              </w:rPr>
              <w:t>空间表现</w:t>
            </w:r>
          </w:p>
        </w:tc>
        <w:tc>
          <w:tcPr>
            <w:tcW w:type="dxa" w:w="2436"/>
          </w:tcPr>
          <w:p>
            <w:pPr>
              <w:spacing w:line="240" w:lineRule="auto"/>
              <w:jc w:val="center"/>
            </w:pPr>
            <w:r>
              <w:rPr>
                <w:rFonts w:ascii="宋体" w:hAnsi="宋体" w:eastAsia="宋体"/>
                <w:b/>
                <w:sz w:val="21"/>
              </w:rPr>
              <w:t>密度</w:t>
            </w:r>
          </w:p>
        </w:tc>
      </w:tr>
      <w:tr>
        <w:tc>
          <w:tcPr>
            <w:tcW w:type="dxa" w:w="2436"/>
          </w:tcPr>
          <w:p>
            <w:pPr>
              <w:spacing w:line="240" w:lineRule="auto"/>
              <w:jc w:val="center"/>
            </w:pPr>
            <w:r>
              <w:rPr>
                <w:rFonts w:ascii="宋体" w:hAnsi="宋体" w:eastAsia="宋体"/>
                <w:b w:val="0"/>
                <w:sz w:val="21"/>
              </w:rPr>
              <w:t>统计→空间</w:t>
            </w:r>
          </w:p>
        </w:tc>
        <w:tc>
          <w:tcPr>
            <w:tcW w:type="dxa" w:w="2436"/>
          </w:tcPr>
          <w:p>
            <w:pPr>
              <w:spacing w:line="240" w:lineRule="auto"/>
              <w:jc w:val="center"/>
            </w:pPr>
            <w:r>
              <w:rPr>
                <w:rFonts w:ascii="宋体" w:hAnsi="宋体" w:eastAsia="宋体"/>
                <w:b w:val="0"/>
                <w:sz w:val="21"/>
              </w:rPr>
              <w:t>Top 1%</w:t>
            </w:r>
          </w:p>
        </w:tc>
        <w:tc>
          <w:tcPr>
            <w:tcW w:type="dxa" w:w="2436"/>
          </w:tcPr>
          <w:p>
            <w:pPr>
              <w:spacing w:line="240" w:lineRule="auto"/>
              <w:jc w:val="center"/>
            </w:pPr>
            <w:r>
              <w:rPr>
                <w:rFonts w:ascii="宋体" w:hAnsi="宋体" w:eastAsia="宋体"/>
                <w:b w:val="0"/>
                <w:sz w:val="21"/>
              </w:rPr>
              <w:t>丝状/节点聚集</w:t>
            </w:r>
          </w:p>
        </w:tc>
        <w:tc>
          <w:tcPr>
            <w:tcW w:type="dxa" w:w="2436"/>
          </w:tcPr>
          <w:p>
            <w:pPr>
              <w:spacing w:line="240" w:lineRule="auto"/>
              <w:jc w:val="center"/>
            </w:pPr>
            <w:r>
              <w:rPr>
                <w:rFonts w:ascii="宋体" w:hAnsi="宋体" w:eastAsia="宋体"/>
                <w:b w:val="0"/>
                <w:sz w:val="21"/>
              </w:rPr>
              <w:t>ρ≥10.76</w:t>
            </w:r>
          </w:p>
        </w:tc>
      </w:tr>
      <w:tr>
        <w:tc>
          <w:tcPr>
            <w:tcW w:type="dxa" w:w="2436"/>
          </w:tcPr>
          <w:p>
            <w:pPr>
              <w:spacing w:line="240" w:lineRule="auto"/>
              <w:jc w:val="center"/>
            </w:pPr>
            <w:r>
              <w:rPr>
                <w:rFonts w:ascii="宋体" w:hAnsi="宋体" w:eastAsia="宋体"/>
                <w:b w:val="0"/>
                <w:sz w:val="21"/>
              </w:rPr>
              <w:t>统计→空间</w:t>
            </w:r>
          </w:p>
        </w:tc>
        <w:tc>
          <w:tcPr>
            <w:tcW w:type="dxa" w:w="2436"/>
          </w:tcPr>
          <w:p>
            <w:pPr>
              <w:spacing w:line="240" w:lineRule="auto"/>
              <w:jc w:val="center"/>
            </w:pPr>
            <w:r>
              <w:rPr>
                <w:rFonts w:ascii="宋体" w:hAnsi="宋体" w:eastAsia="宋体"/>
                <w:b w:val="0"/>
                <w:sz w:val="21"/>
              </w:rPr>
              <w:t>纤维90–99%</w:t>
            </w:r>
          </w:p>
        </w:tc>
        <w:tc>
          <w:tcPr>
            <w:tcW w:type="dxa" w:w="2436"/>
          </w:tcPr>
          <w:p>
            <w:pPr>
              <w:spacing w:line="240" w:lineRule="auto"/>
              <w:jc w:val="center"/>
            </w:pPr>
            <w:r>
              <w:rPr>
                <w:rFonts w:ascii="宋体" w:hAnsi="宋体" w:eastAsia="宋体"/>
                <w:b w:val="0"/>
                <w:sz w:val="21"/>
              </w:rPr>
              <w:t>亮脊带状</w:t>
            </w:r>
          </w:p>
        </w:tc>
        <w:tc>
          <w:tcPr>
            <w:tcW w:type="dxa" w:w="2436"/>
          </w:tcPr>
          <w:p>
            <w:pPr>
              <w:spacing w:line="240" w:lineRule="auto"/>
              <w:jc w:val="center"/>
            </w:pPr>
            <w:r>
              <w:rPr>
                <w:rFonts w:ascii="宋体" w:hAnsi="宋体" w:eastAsia="宋体"/>
                <w:b w:val="0"/>
                <w:sz w:val="21"/>
              </w:rPr>
              <w:t>ρ∈[9.96,10.76]</w:t>
            </w:r>
          </w:p>
        </w:tc>
      </w:tr>
      <w:tr>
        <w:tc>
          <w:tcPr>
            <w:tcW w:type="dxa" w:w="2436"/>
          </w:tcPr>
          <w:p>
            <w:pPr>
              <w:spacing w:line="240" w:lineRule="auto"/>
              <w:jc w:val="center"/>
            </w:pPr>
            <w:r>
              <w:rPr>
                <w:rFonts w:ascii="宋体" w:hAnsi="宋体" w:eastAsia="宋体"/>
                <w:b w:val="0"/>
                <w:sz w:val="21"/>
              </w:rPr>
              <w:t>统计→空间</w:t>
            </w:r>
          </w:p>
        </w:tc>
        <w:tc>
          <w:tcPr>
            <w:tcW w:type="dxa" w:w="2436"/>
          </w:tcPr>
          <w:p>
            <w:pPr>
              <w:spacing w:line="240" w:lineRule="auto"/>
              <w:jc w:val="center"/>
            </w:pPr>
            <w:r>
              <w:rPr>
                <w:rFonts w:ascii="宋体" w:hAnsi="宋体" w:eastAsia="宋体"/>
                <w:b w:val="0"/>
                <w:sz w:val="21"/>
              </w:rPr>
              <w:t>Bottom 1%</w:t>
            </w:r>
          </w:p>
        </w:tc>
        <w:tc>
          <w:tcPr>
            <w:tcW w:type="dxa" w:w="2436"/>
          </w:tcPr>
          <w:p>
            <w:pPr>
              <w:spacing w:line="240" w:lineRule="auto"/>
              <w:jc w:val="center"/>
            </w:pPr>
            <w:r>
              <w:rPr>
                <w:rFonts w:ascii="宋体" w:hAnsi="宋体" w:eastAsia="宋体"/>
                <w:b w:val="0"/>
                <w:sz w:val="21"/>
              </w:rPr>
              <w:t>稀疏IGM</w:t>
            </w:r>
          </w:p>
        </w:tc>
        <w:tc>
          <w:tcPr>
            <w:tcW w:type="dxa" w:w="2436"/>
          </w:tcPr>
          <w:p>
            <w:pPr>
              <w:spacing w:line="240" w:lineRule="auto"/>
              <w:jc w:val="center"/>
            </w:pPr>
            <w:r>
              <w:rPr>
                <w:rFonts w:ascii="宋体" w:hAnsi="宋体" w:eastAsia="宋体"/>
                <w:b w:val="0"/>
                <w:sz w:val="21"/>
              </w:rPr>
              <w:t>ρ≤8.35</w:t>
            </w:r>
          </w:p>
        </w:tc>
      </w:tr>
      <w:tr>
        <w:tc>
          <w:tcPr>
            <w:tcW w:type="dxa" w:w="2436"/>
          </w:tcPr>
          <w:p>
            <w:pPr>
              <w:spacing w:line="240" w:lineRule="auto"/>
              <w:jc w:val="center"/>
            </w:pPr>
            <w:r>
              <w:rPr>
                <w:rFonts w:ascii="宋体" w:hAnsi="宋体" w:eastAsia="宋体"/>
                <w:b w:val="0"/>
                <w:sz w:val="21"/>
              </w:rPr>
              <w:t>空间→统计</w:t>
            </w:r>
          </w:p>
        </w:tc>
        <w:tc>
          <w:tcPr>
            <w:tcW w:type="dxa" w:w="2436"/>
          </w:tcPr>
          <w:p>
            <w:pPr>
              <w:spacing w:line="240" w:lineRule="auto"/>
              <w:jc w:val="center"/>
            </w:pPr>
            <w:r>
              <w:rPr>
                <w:rFonts w:ascii="宋体" w:hAnsi="宋体" w:eastAsia="宋体"/>
                <w:b w:val="0"/>
                <w:sz w:val="21"/>
              </w:rPr>
              <w:t>亮脊P88</w:t>
            </w:r>
          </w:p>
        </w:tc>
        <w:tc>
          <w:tcPr>
            <w:tcW w:type="dxa" w:w="2436"/>
          </w:tcPr>
          <w:p>
            <w:pPr>
              <w:spacing w:line="240" w:lineRule="auto"/>
              <w:jc w:val="center"/>
            </w:pPr>
            <w:r>
              <w:rPr>
                <w:rFonts w:ascii="宋体" w:hAnsi="宋体" w:eastAsia="宋体"/>
                <w:b w:val="0"/>
                <w:sz w:val="21"/>
              </w:rPr>
              <w:t>金色filament</w:t>
            </w:r>
          </w:p>
        </w:tc>
        <w:tc>
          <w:tcPr>
            <w:tcW w:type="dxa" w:w="2436"/>
          </w:tcPr>
          <w:p>
            <w:pPr>
              <w:spacing w:line="240" w:lineRule="auto"/>
              <w:jc w:val="center"/>
            </w:pPr>
            <w:r>
              <w:rPr>
                <w:rFonts w:ascii="宋体" w:hAnsi="宋体" w:eastAsia="宋体"/>
                <w:b w:val="0"/>
                <w:sz w:val="21"/>
              </w:rPr>
              <w:t>ρ∈[11.23,12.16]</w:t>
            </w:r>
          </w:p>
        </w:tc>
      </w:tr>
    </w:tbl>
    <w:p/>
    <w:p>
      <w:pPr>
        <w:spacing w:line="360" w:lineRule="auto" w:after="0" w:before="0"/>
        <w:ind w:firstLine="420"/>
        <w:jc w:val="both"/>
      </w:pPr>
      <w:r>
        <w:rPr>
          <w:rFonts w:ascii="宋体" w:hAnsi="宋体" w:eastAsia="宋体"/>
          <w:b w:val="0"/>
          <w:sz w:val="21"/>
        </w:rPr>
        <w:t>图1展示空间→统计完整链路：先在投影中定位filament，再反查直方图密度带。图2–4为Top 1%三联验证：直方图刷选区间、体渲染高亮与投影金色标记三者一致。Bottom 1%实验（未附图）进一步表明低密度尾对应投影中的大面积空白，与IGM占主导体积的物理图像吻合。该设计使用户从“看漂亮图”升级为“用统计约束空间、用空间检验统计”，符合可视分析中联动与刷选范式；静态配图由projection_render.py与spatial_to_stats.py离线复现，与在线交互逻辑一致。</w:t>
      </w:r>
    </w:p>
    <w:p>
      <w:pPr>
        <w:jc w:val="center"/>
      </w:pPr>
      <w:r>
        <w:drawing>
          <wp:inline xmlns:a="http://schemas.openxmlformats.org/drawingml/2006/main" xmlns:pic="http://schemas.openxmlformats.org/drawingml/2006/picture">
            <wp:extent cx="5040000" cy="2190997"/>
            <wp:docPr id="11" name="Picture 11"/>
            <wp:cNvGraphicFramePr>
              <a:graphicFrameLocks noChangeAspect="1"/>
            </wp:cNvGraphicFramePr>
            <a:graphic>
              <a:graphicData uri="http://schemas.openxmlformats.org/drawingml/2006/picture">
                <pic:pic>
                  <pic:nvPicPr>
                    <pic:cNvPr id="0" name="task4_spatial_to_stats.png"/>
                    <pic:cNvPicPr/>
                  </pic:nvPicPr>
                  <pic:blipFill>
                    <a:blip r:embed="rId16"/>
                    <a:stretch>
                      <a:fillRect/>
                    </a:stretch>
                  </pic:blipFill>
                  <pic:spPr>
                    <a:xfrm>
                      <a:off x="0" y="0"/>
                      <a:ext cx="5040000" cy="2190997"/>
                    </a:xfrm>
                    <a:prstGeom prst="rect"/>
                  </pic:spPr>
                </pic:pic>
              </a:graphicData>
            </a:graphic>
          </wp:inline>
        </w:drawing>
      </w:r>
    </w:p>
    <w:p>
      <w:pPr>
        <w:spacing w:before="60" w:after="120"/>
        <w:jc w:val="center"/>
      </w:pPr>
      <w:r>
        <w:rPr>
          <w:rFonts w:ascii="宋体" w:hAnsi="宋体" w:eastAsia="宋体"/>
          <w:b w:val="0"/>
          <w:sz w:val="21"/>
        </w:rPr>
        <w:t>图1 空间→统计</w:t>
      </w:r>
    </w:p>
    <w:p>
      <w:pPr>
        <w:jc w:val="center"/>
      </w:pPr>
      <w:r>
        <w:drawing>
          <wp:inline xmlns:a="http://schemas.openxmlformats.org/drawingml/2006/main" xmlns:pic="http://schemas.openxmlformats.org/drawingml/2006/picture">
            <wp:extent cx="5040000" cy="1713424"/>
            <wp:docPr id="12" name="Picture 12"/>
            <wp:cNvGraphicFramePr>
              <a:graphicFrameLocks noChangeAspect="1"/>
            </wp:cNvGraphicFramePr>
            <a:graphic>
              <a:graphicData uri="http://schemas.openxmlformats.org/drawingml/2006/picture">
                <pic:pic>
                  <pic:nvPicPr>
                    <pic:cNvPr id="0" name="task4_brush_triptych.png"/>
                    <pic:cNvPicPr/>
                  </pic:nvPicPr>
                  <pic:blipFill>
                    <a:blip r:embed="rId17"/>
                    <a:stretch>
                      <a:fillRect/>
                    </a:stretch>
                  </pic:blipFill>
                  <pic:spPr>
                    <a:xfrm>
                      <a:off x="0" y="0"/>
                      <a:ext cx="5040000" cy="1713424"/>
                    </a:xfrm>
                    <a:prstGeom prst="rect"/>
                  </pic:spPr>
                </pic:pic>
              </a:graphicData>
            </a:graphic>
          </wp:inline>
        </w:drawing>
      </w:r>
    </w:p>
    <w:p>
      <w:pPr>
        <w:spacing w:before="60" w:after="120"/>
        <w:jc w:val="center"/>
      </w:pPr>
      <w:r>
        <w:rPr>
          <w:rFonts w:ascii="宋体" w:hAnsi="宋体" w:eastAsia="宋体"/>
          <w:b w:val="0"/>
          <w:sz w:val="21"/>
        </w:rPr>
        <w:t>图2 Top 1%三联验证</w:t>
      </w:r>
    </w:p>
    <w:p>
      <w:pPr>
        <w:jc w:val="center"/>
      </w:pPr>
      <w:r>
        <w:drawing>
          <wp:inline xmlns:a="http://schemas.openxmlformats.org/drawingml/2006/main" xmlns:pic="http://schemas.openxmlformats.org/drawingml/2006/picture">
            <wp:extent cx="4320000" cy="2154633"/>
            <wp:docPr id="13" name="Picture 13"/>
            <wp:cNvGraphicFramePr>
              <a:graphicFrameLocks noChangeAspect="1"/>
            </wp:cNvGraphicFramePr>
            <a:graphic>
              <a:graphicData uri="http://schemas.openxmlformats.org/drawingml/2006/picture">
                <pic:pic>
                  <pic:nvPicPr>
                    <pic:cNvPr id="0" name="task4_hist_brush_top1.png"/>
                    <pic:cNvPicPr/>
                  </pic:nvPicPr>
                  <pic:blipFill>
                    <a:blip r:embed="rId18"/>
                    <a:stretch>
                      <a:fillRect/>
                    </a:stretch>
                  </pic:blipFill>
                  <pic:spPr>
                    <a:xfrm>
                      <a:off x="0" y="0"/>
                      <a:ext cx="4320000" cy="2154633"/>
                    </a:xfrm>
                    <a:prstGeom prst="rect"/>
                  </pic:spPr>
                </pic:pic>
              </a:graphicData>
            </a:graphic>
          </wp:inline>
        </w:drawing>
      </w:r>
    </w:p>
    <w:p>
      <w:pPr>
        <w:spacing w:before="60" w:after="120"/>
        <w:jc w:val="center"/>
      </w:pPr>
      <w:r>
        <w:rPr>
          <w:rFonts w:ascii="宋体" w:hAnsi="宋体" w:eastAsia="宋体"/>
          <w:b w:val="0"/>
          <w:sz w:val="21"/>
        </w:rPr>
        <w:t>图3 Top 1%直方图刷选</w:t>
      </w:r>
    </w:p>
    <w:p>
      <w:pPr>
        <w:jc w:val="center"/>
      </w:pPr>
      <w:r>
        <w:drawing>
          <wp:inline xmlns:a="http://schemas.openxmlformats.org/drawingml/2006/main" xmlns:pic="http://schemas.openxmlformats.org/drawingml/2006/picture">
            <wp:extent cx="3960000" cy="4113886"/>
            <wp:docPr id="14" name="Picture 14"/>
            <wp:cNvGraphicFramePr>
              <a:graphicFrameLocks noChangeAspect="1"/>
            </wp:cNvGraphicFramePr>
            <a:graphic>
              <a:graphicData uri="http://schemas.openxmlformats.org/drawingml/2006/picture">
                <pic:pic>
                  <pic:nvPicPr>
                    <pic:cNvPr id="0" name="task4_brush_top1.png"/>
                    <pic:cNvPicPr/>
                  </pic:nvPicPr>
                  <pic:blipFill>
                    <a:blip r:embed="rId19"/>
                    <a:stretch>
                      <a:fillRect/>
                    </a:stretch>
                  </pic:blipFill>
                  <pic:spPr>
                    <a:xfrm>
                      <a:off x="0" y="0"/>
                      <a:ext cx="3960000" cy="4113886"/>
                    </a:xfrm>
                    <a:prstGeom prst="rect"/>
                  </pic:spPr>
                </pic:pic>
              </a:graphicData>
            </a:graphic>
          </wp:inline>
        </w:drawing>
      </w:r>
    </w:p>
    <w:p>
      <w:pPr>
        <w:spacing w:before="60" w:after="120"/>
        <w:jc w:val="center"/>
      </w:pPr>
      <w:r>
        <w:rPr>
          <w:rFonts w:ascii="宋体" w:hAnsi="宋体" w:eastAsia="宋体"/>
          <w:b w:val="0"/>
          <w:sz w:val="21"/>
        </w:rPr>
        <w:t>图4 Top 1%空间投影</w:t>
      </w:r>
    </w:p>
    <w:sectPr w:rsidR="0096520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B367A0" w14:textId="77777777" w:rsidR="00273A3E" w:rsidRDefault="00273A3E">
      <w:pPr>
        <w:spacing w:line="240" w:lineRule="auto"/>
      </w:pPr>
      <w:r>
        <w:separator/>
      </w:r>
    </w:p>
  </w:endnote>
  <w:endnote w:type="continuationSeparator" w:id="0">
    <w:p w14:paraId="1A615736" w14:textId="77777777" w:rsidR="00273A3E" w:rsidRDefault="00273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CE909B" w14:textId="77777777" w:rsidR="00273A3E" w:rsidRDefault="00273A3E">
      <w:pPr>
        <w:spacing w:after="0"/>
      </w:pPr>
      <w:r>
        <w:separator/>
      </w:r>
    </w:p>
  </w:footnote>
  <w:footnote w:type="continuationSeparator" w:id="0">
    <w:p w14:paraId="3A293D0A" w14:textId="77777777" w:rsidR="00273A3E" w:rsidRDefault="00273A3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g4ZmYzYTY0ZWRlMmRhZDNjY2QyYWRmNTUyMGE0OGEifQ=="/>
  </w:docVars>
  <w:rsids>
    <w:rsidRoot w:val="00993785"/>
    <w:rsid w:val="000249C3"/>
    <w:rsid w:val="00034337"/>
    <w:rsid w:val="00074377"/>
    <w:rsid w:val="000969AD"/>
    <w:rsid w:val="000A51D6"/>
    <w:rsid w:val="00111C40"/>
    <w:rsid w:val="00142471"/>
    <w:rsid w:val="00144A5C"/>
    <w:rsid w:val="001B3BDA"/>
    <w:rsid w:val="00273A3E"/>
    <w:rsid w:val="002F1EC8"/>
    <w:rsid w:val="0036156D"/>
    <w:rsid w:val="00511AFA"/>
    <w:rsid w:val="005A69D7"/>
    <w:rsid w:val="005F3163"/>
    <w:rsid w:val="00650923"/>
    <w:rsid w:val="0067075C"/>
    <w:rsid w:val="006F2AE0"/>
    <w:rsid w:val="007421D0"/>
    <w:rsid w:val="00743AA7"/>
    <w:rsid w:val="00754207"/>
    <w:rsid w:val="007A5E0E"/>
    <w:rsid w:val="008F621A"/>
    <w:rsid w:val="009167E5"/>
    <w:rsid w:val="00940392"/>
    <w:rsid w:val="00956A53"/>
    <w:rsid w:val="00965202"/>
    <w:rsid w:val="00993785"/>
    <w:rsid w:val="009D3907"/>
    <w:rsid w:val="00A12869"/>
    <w:rsid w:val="00A155B2"/>
    <w:rsid w:val="00A97522"/>
    <w:rsid w:val="00B77D19"/>
    <w:rsid w:val="00BB7A09"/>
    <w:rsid w:val="00C60428"/>
    <w:rsid w:val="00C628A5"/>
    <w:rsid w:val="00CB7667"/>
    <w:rsid w:val="00D44925"/>
    <w:rsid w:val="00D553A3"/>
    <w:rsid w:val="00D734CE"/>
    <w:rsid w:val="00DA0D0A"/>
    <w:rsid w:val="00E015A7"/>
    <w:rsid w:val="00E36F32"/>
    <w:rsid w:val="00E40CB4"/>
    <w:rsid w:val="00E91F43"/>
    <w:rsid w:val="00EC669A"/>
    <w:rsid w:val="00FB16FA"/>
    <w:rsid w:val="00FF4BA2"/>
    <w:rsid w:val="00FF7536"/>
    <w:rsid w:val="0598572A"/>
    <w:rsid w:val="146B549A"/>
    <w:rsid w:val="23B670EB"/>
    <w:rsid w:val="3CB14874"/>
    <w:rsid w:val="3E6E5C27"/>
    <w:rsid w:val="4F6F1D18"/>
    <w:rsid w:val="6B66680F"/>
    <w:rsid w:val="6DA47243"/>
    <w:rsid w:val="765362CF"/>
    <w:rsid w:val="7ACC520B"/>
    <w:rsid w:val="7AED2E7F"/>
    <w:rsid w:val="7F270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823F"/>
  <w15:docId w15:val="{F8EF5026-8343-44E3-B396-9F31C36A1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160" w:line="259" w:lineRule="auto"/>
    </w:pPr>
    <w:rPr>
      <w:rFonts w:eastAsia="宋体" w:ascii="宋体" w:hAnsi="宋体"/>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qFormat/>
    <w:rPr>
      <w:rFonts w:eastAsia="Microsoft YaHei UI"/>
      <w:sz w:val="18"/>
      <w:szCs w:val="18"/>
    </w:rPr>
  </w:style>
  <w:style w:type="character" w:customStyle="1" w:styleId="a4">
    <w:name w:val="页脚 字符"/>
    <w:link w:val="a3"/>
    <w:autoRedefine/>
    <w:uiPriority w:val="99"/>
    <w:qFormat/>
    <w:rPr>
      <w:rFonts w:eastAsia="Microsoft YaHei UI"/>
      <w:sz w:val="18"/>
      <w:szCs w:val="18"/>
    </w:rPr>
  </w:style>
  <w:style w:type="paragraph" w:customStyle="1" w:styleId="1">
    <w:name w:val="列出段落1"/>
    <w:basedOn w:val="a"/>
    <w:uiPriority w:val="34"/>
    <w:qFormat/>
    <w:pPr>
      <w:widowControl w:val="0"/>
      <w:spacing w:after="0" w:line="240" w:lineRule="auto"/>
      <w:ind w:firstLineChars="200" w:firstLine="420"/>
      <w:jc w:val="both"/>
    </w:pPr>
    <w:rPr>
      <w:rFonts w:eastAsia="宋体"/>
      <w:kern w:val="2"/>
      <w:sz w:val="21"/>
    </w:rPr>
  </w:style>
  <w:style w:type="paragraph" w:customStyle="1" w:styleId="TitleA">
    <w:name w:val="Title A"/>
    <w:qFormat/>
    <w:pPr>
      <w:widowControl w:val="0"/>
      <w:jc w:val="both"/>
    </w:pPr>
    <w:rPr>
      <w:rFonts w:eastAsia="Calibri" w:cs="Calibri"/>
      <w:color w:val="000000"/>
      <w:kern w:val="2"/>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810716">
      <w:bodyDiv w:val="1"/>
      <w:marLeft w:val="0"/>
      <w:marRight w:val="0"/>
      <w:marTop w:val="0"/>
      <w:marBottom w:val="0"/>
      <w:divBdr>
        <w:top w:val="none" w:sz="0" w:space="0" w:color="auto"/>
        <w:left w:val="none" w:sz="0" w:space="0" w:color="auto"/>
        <w:bottom w:val="none" w:sz="0" w:space="0" w:color="auto"/>
        <w:right w:val="none" w:sz="0" w:space="0" w:color="auto"/>
      </w:divBdr>
    </w:div>
    <w:div w:id="576593449">
      <w:bodyDiv w:val="1"/>
      <w:marLeft w:val="0"/>
      <w:marRight w:val="0"/>
      <w:marTop w:val="0"/>
      <w:marBottom w:val="0"/>
      <w:divBdr>
        <w:top w:val="none" w:sz="0" w:space="0" w:color="auto"/>
        <w:left w:val="none" w:sz="0" w:space="0" w:color="auto"/>
        <w:bottom w:val="none" w:sz="0" w:space="0" w:color="auto"/>
        <w:right w:val="none" w:sz="0" w:space="0" w:color="auto"/>
      </w:divBdr>
      <w:divsChild>
        <w:div w:id="602150617">
          <w:marLeft w:val="0"/>
          <w:marRight w:val="0"/>
          <w:marTop w:val="0"/>
          <w:marBottom w:val="0"/>
          <w:divBdr>
            <w:top w:val="none" w:sz="0" w:space="0" w:color="auto"/>
            <w:left w:val="none" w:sz="0" w:space="0" w:color="auto"/>
            <w:bottom w:val="none" w:sz="0" w:space="0" w:color="auto"/>
            <w:right w:val="none" w:sz="0" w:space="0" w:color="auto"/>
          </w:divBdr>
        </w:div>
      </w:divsChild>
    </w:div>
    <w:div w:id="797114978">
      <w:bodyDiv w:val="1"/>
      <w:marLeft w:val="0"/>
      <w:marRight w:val="0"/>
      <w:marTop w:val="0"/>
      <w:marBottom w:val="0"/>
      <w:divBdr>
        <w:top w:val="none" w:sz="0" w:space="0" w:color="auto"/>
        <w:left w:val="none" w:sz="0" w:space="0" w:color="auto"/>
        <w:bottom w:val="none" w:sz="0" w:space="0" w:color="auto"/>
        <w:right w:val="none" w:sz="0" w:space="0" w:color="auto"/>
      </w:divBdr>
      <w:divsChild>
        <w:div w:id="1136944730">
          <w:marLeft w:val="0"/>
          <w:marRight w:val="0"/>
          <w:marTop w:val="0"/>
          <w:marBottom w:val="0"/>
          <w:divBdr>
            <w:top w:val="none" w:sz="0" w:space="0" w:color="auto"/>
            <w:left w:val="none" w:sz="0" w:space="0" w:color="auto"/>
            <w:bottom w:val="none" w:sz="0" w:space="0" w:color="auto"/>
            <w:right w:val="none" w:sz="0" w:space="0" w:color="auto"/>
          </w:divBdr>
          <w:divsChild>
            <w:div w:id="15033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5462">
      <w:bodyDiv w:val="1"/>
      <w:marLeft w:val="0"/>
      <w:marRight w:val="0"/>
      <w:marTop w:val="0"/>
      <w:marBottom w:val="0"/>
      <w:divBdr>
        <w:top w:val="none" w:sz="0" w:space="0" w:color="auto"/>
        <w:left w:val="none" w:sz="0" w:space="0" w:color="auto"/>
        <w:bottom w:val="none" w:sz="0" w:space="0" w:color="auto"/>
        <w:right w:val="none" w:sz="0" w:space="0" w:color="auto"/>
      </w:divBdr>
      <w:divsChild>
        <w:div w:id="91947073">
          <w:marLeft w:val="0"/>
          <w:marRight w:val="0"/>
          <w:marTop w:val="0"/>
          <w:marBottom w:val="0"/>
          <w:divBdr>
            <w:top w:val="none" w:sz="0" w:space="0" w:color="auto"/>
            <w:left w:val="none" w:sz="0" w:space="0" w:color="auto"/>
            <w:bottom w:val="none" w:sz="0" w:space="0" w:color="auto"/>
            <w:right w:val="none" w:sz="0" w:space="0" w:color="auto"/>
          </w:divBdr>
          <w:divsChild>
            <w:div w:id="998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2132">
      <w:bodyDiv w:val="1"/>
      <w:marLeft w:val="0"/>
      <w:marRight w:val="0"/>
      <w:marTop w:val="0"/>
      <w:marBottom w:val="0"/>
      <w:divBdr>
        <w:top w:val="none" w:sz="0" w:space="0" w:color="auto"/>
        <w:left w:val="none" w:sz="0" w:space="0" w:color="auto"/>
        <w:bottom w:val="none" w:sz="0" w:space="0" w:color="auto"/>
        <w:right w:val="none" w:sz="0" w:space="0" w:color="auto"/>
      </w:divBdr>
      <w:divsChild>
        <w:div w:id="39787137">
          <w:marLeft w:val="0"/>
          <w:marRight w:val="0"/>
          <w:marTop w:val="0"/>
          <w:marBottom w:val="0"/>
          <w:divBdr>
            <w:top w:val="none" w:sz="0" w:space="0" w:color="auto"/>
            <w:left w:val="none" w:sz="0" w:space="0" w:color="auto"/>
            <w:bottom w:val="none" w:sz="0" w:space="0" w:color="auto"/>
            <w:right w:val="none" w:sz="0" w:space="0" w:color="auto"/>
          </w:divBdr>
          <w:divsChild>
            <w:div w:id="9988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7048">
      <w:bodyDiv w:val="1"/>
      <w:marLeft w:val="0"/>
      <w:marRight w:val="0"/>
      <w:marTop w:val="0"/>
      <w:marBottom w:val="0"/>
      <w:divBdr>
        <w:top w:val="none" w:sz="0" w:space="0" w:color="auto"/>
        <w:left w:val="none" w:sz="0" w:space="0" w:color="auto"/>
        <w:bottom w:val="none" w:sz="0" w:space="0" w:color="auto"/>
        <w:right w:val="none" w:sz="0" w:space="0" w:color="auto"/>
      </w:divBdr>
      <w:divsChild>
        <w:div w:id="355935638">
          <w:marLeft w:val="0"/>
          <w:marRight w:val="0"/>
          <w:marTop w:val="0"/>
          <w:marBottom w:val="0"/>
          <w:divBdr>
            <w:top w:val="none" w:sz="0" w:space="0" w:color="auto"/>
            <w:left w:val="none" w:sz="0" w:space="0" w:color="auto"/>
            <w:bottom w:val="none" w:sz="0" w:space="0" w:color="auto"/>
            <w:right w:val="none" w:sz="0" w:space="0" w:color="auto"/>
          </w:divBdr>
          <w:divsChild>
            <w:div w:id="96904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s@tju.edu.c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jin xu</cp:lastModifiedBy>
  <cp:revision>22</cp:revision>
  <dcterms:created xsi:type="dcterms:W3CDTF">2022-03-27T05:01:00Z</dcterms:created>
  <dcterms:modified xsi:type="dcterms:W3CDTF">2026-05-07T07:43:00Z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03B78DF9DBCC43E190FBA832EA9B2F64_13</vt:lpwstr>
  </property>
</Properties>
</file>