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ECDFD">
      <w:pPr>
        <w:pageBreakBefore w:val="0"/>
        <w:widowControl w:val="0"/>
        <w:kinsoku/>
        <w:wordWrap w:val="0"/>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sz w:val="32"/>
        </w:rPr>
      </w:pPr>
      <w:r>
        <w:rPr>
          <w:rFonts w:hint="default" w:ascii="Times New Roman" w:hAnsi="Times New Roman" w:eastAsia="黑体" w:cs="Times New Roman"/>
          <w:b/>
          <w:sz w:val="32"/>
        </w:rPr>
        <w:t>2026年第十三届中国可视化与可视分析大会</w:t>
      </w:r>
    </w:p>
    <w:p w14:paraId="106B84F8">
      <w:pPr>
        <w:pageBreakBefore w:val="0"/>
        <w:widowControl w:val="0"/>
        <w:kinsoku/>
        <w:wordWrap w:val="0"/>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sz w:val="32"/>
        </w:rPr>
      </w:pPr>
      <w:r>
        <w:rPr>
          <w:rFonts w:hint="default" w:ascii="Times New Roman" w:hAnsi="Times New Roman" w:eastAsia="黑体" w:cs="Times New Roman"/>
          <w:b/>
          <w:sz w:val="32"/>
        </w:rPr>
        <w:t>数据可视化竞赛 赛道1-II</w:t>
      </w:r>
    </w:p>
    <w:p w14:paraId="5D711A71">
      <w:pPr>
        <w:pageBreakBefore w:val="0"/>
        <w:widowControl w:val="0"/>
        <w:kinsoku/>
        <w:wordWrap w:val="0"/>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sz w:val="28"/>
        </w:rPr>
      </w:pPr>
      <w:r>
        <w:rPr>
          <w:rFonts w:hint="default" w:ascii="Times New Roman" w:hAnsi="Times New Roman" w:eastAsia="黑体" w:cs="Times New Roman"/>
          <w:b/>
          <w:sz w:val="28"/>
        </w:rPr>
        <w:t>（ChinaVis Data Challenge 2026 -</w:t>
      </w:r>
      <w:r>
        <w:rPr>
          <w:rFonts w:hint="default" w:ascii="Times New Roman" w:hAnsi="Times New Roman" w:eastAsia="黑体" w:cs="Times New Roman"/>
          <w:b/>
          <w:sz w:val="32"/>
        </w:rPr>
        <w:t xml:space="preserve"> mini challenge 1-II</w:t>
      </w:r>
      <w:r>
        <w:rPr>
          <w:rFonts w:hint="default" w:ascii="Times New Roman" w:hAnsi="Times New Roman" w:eastAsia="黑体" w:cs="Times New Roman"/>
          <w:b/>
          <w:sz w:val="28"/>
        </w:rPr>
        <w:t>）</w:t>
      </w:r>
    </w:p>
    <w:p w14:paraId="27364CDB">
      <w:pPr>
        <w:pageBreakBefore w:val="0"/>
        <w:widowControl w:val="0"/>
        <w:kinsoku/>
        <w:wordWrap w:val="0"/>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sz w:val="32"/>
        </w:rPr>
      </w:pPr>
      <w:r>
        <w:rPr>
          <w:rFonts w:hint="default" w:ascii="Times New Roman" w:hAnsi="Times New Roman" w:eastAsia="黑体" w:cs="Times New Roman"/>
          <w:b/>
          <w:sz w:val="32"/>
        </w:rPr>
        <w:t>答  卷</w:t>
      </w:r>
    </w:p>
    <w:p w14:paraId="67882A7C">
      <w:pPr>
        <w:pageBreakBefore w:val="0"/>
        <w:widowControl w:val="0"/>
        <w:kinsoku/>
        <w:wordWrap w:val="0"/>
        <w:overflowPunct/>
        <w:topLinePunct w:val="0"/>
        <w:autoSpaceDE/>
        <w:autoSpaceDN/>
        <w:bidi w:val="0"/>
        <w:adjustRightInd/>
        <w:snapToGrid/>
        <w:spacing w:after="0" w:line="240" w:lineRule="auto"/>
        <w:textAlignment w:val="auto"/>
        <w:rPr>
          <w:rFonts w:hint="default" w:ascii="Times New Roman" w:hAnsi="Times New Roman" w:eastAsia="黑体" w:cs="Times New Roman"/>
          <w:b/>
          <w:sz w:val="32"/>
        </w:rPr>
      </w:pPr>
    </w:p>
    <w:p w14:paraId="497A305A">
      <w:pPr>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cs="Times New Roman"/>
        </w:rPr>
        <w:t>参赛队名称：</w:t>
      </w:r>
      <w:r>
        <w:rPr>
          <w:rFonts w:hint="default" w:ascii="Times New Roman" w:hAnsi="Times New Roman" w:cs="Times New Roman"/>
          <w:lang w:val="en-US" w:eastAsia="zh-CN"/>
        </w:rPr>
        <w:t>洛阳理工学院-张浩坤-赛道1-Ⅱ</w:t>
      </w:r>
    </w:p>
    <w:p w14:paraId="0DAD3B98">
      <w:pPr>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color w:val="BFBFBF"/>
          <w:lang w:val="en-US" w:eastAsia="zh-CN"/>
        </w:rPr>
      </w:pPr>
      <w:r>
        <w:rPr>
          <w:rFonts w:hint="default" w:ascii="Times New Roman" w:hAnsi="Times New Roman" w:cs="Times New Roman"/>
        </w:rPr>
        <w:t>团队成员：</w:t>
      </w:r>
      <w:r>
        <w:rPr>
          <w:rFonts w:hint="default" w:ascii="Times New Roman" w:hAnsi="Times New Roman" w:cs="Times New Roman"/>
        </w:rPr>
        <w:tab/>
      </w:r>
      <w:r>
        <w:rPr>
          <w:rFonts w:hint="default" w:ascii="Times New Roman" w:hAnsi="Times New Roman" w:cs="Times New Roman"/>
          <w:lang w:val="en-US" w:eastAsia="zh-CN"/>
        </w:rPr>
        <w:t>张浩坤，洛阳理工学院，3283409866@qq.com</w:t>
      </w:r>
      <w:r>
        <w:rPr>
          <w:rFonts w:hint="default" w:ascii="Times New Roman" w:hAnsi="Times New Roman" w:cs="Times New Roman"/>
          <w:color w:val="BFBFBF"/>
        </w:rPr>
        <w:t>，</w:t>
      </w:r>
      <w:r>
        <w:rPr>
          <w:rFonts w:hint="default" w:ascii="Times New Roman" w:hAnsi="Times New Roman" w:cs="Times New Roman"/>
          <w:lang w:val="en-US" w:eastAsia="zh-CN"/>
        </w:rPr>
        <w:t>队长</w:t>
      </w:r>
    </w:p>
    <w:p w14:paraId="160563E3">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color w:val="BFBFBF"/>
        </w:rPr>
        <w:tab/>
      </w:r>
      <w:r>
        <w:rPr>
          <w:rFonts w:hint="default" w:ascii="Times New Roman" w:hAnsi="Times New Roman" w:cs="Times New Roman"/>
          <w:color w:val="BFBFBF"/>
        </w:rPr>
        <w:tab/>
      </w:r>
      <w:r>
        <w:rPr>
          <w:rFonts w:hint="default" w:ascii="Times New Roman" w:hAnsi="Times New Roman" w:cs="Times New Roman"/>
          <w:color w:val="BFBFBF"/>
        </w:rPr>
        <w:tab/>
      </w:r>
      <w:r>
        <w:rPr>
          <w:rFonts w:hint="default" w:ascii="Times New Roman" w:hAnsi="Times New Roman" w:cs="Times New Roman"/>
          <w:lang w:val="en-US" w:eastAsia="zh-CN"/>
        </w:rPr>
        <w:t>王玉佳，洛阳理工学院，2082025223@qq.com</w:t>
      </w:r>
    </w:p>
    <w:p w14:paraId="1C31ED23">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李志先，洛阳理工学院，Lzx@lit.edu.cn，指导老师</w:t>
      </w:r>
    </w:p>
    <w:p w14:paraId="10A8F97D">
      <w:pPr>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color w:val="BFBFBF"/>
          <w:lang w:val="en-US" w:eastAsia="zh-CN"/>
        </w:rPr>
      </w:pPr>
      <w:r>
        <w:rPr>
          <w:rFonts w:hint="default" w:ascii="Times New Roman" w:hAnsi="Times New Roman" w:cs="Times New Roman"/>
        </w:rPr>
        <w:t>团队成员是否与报名表一致（是或否）</w:t>
      </w:r>
      <w:r>
        <w:rPr>
          <w:rFonts w:hint="default" w:ascii="Times New Roman" w:hAnsi="Times New Roman" w:cs="Times New Roman"/>
          <w:lang w:eastAsia="zh-CN"/>
        </w:rPr>
        <w:t>：</w:t>
      </w:r>
      <w:r>
        <w:rPr>
          <w:rFonts w:hint="default" w:ascii="Times New Roman" w:hAnsi="Times New Roman" w:cs="Times New Roman"/>
          <w:lang w:val="en-US" w:eastAsia="zh-CN"/>
        </w:rPr>
        <w:t>是</w:t>
      </w:r>
    </w:p>
    <w:p w14:paraId="480AFCD1">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是否学生队（是或否）：</w:t>
      </w:r>
      <w:r>
        <w:rPr>
          <w:rFonts w:hint="default" w:ascii="Times New Roman" w:hAnsi="Times New Roman" w:cs="Times New Roman"/>
        </w:rPr>
        <w:tab/>
      </w:r>
      <w:r>
        <w:rPr>
          <w:rFonts w:hint="default" w:ascii="Times New Roman" w:hAnsi="Times New Roman" w:cs="Times New Roman"/>
        </w:rPr>
        <w:t>是</w:t>
      </w:r>
    </w:p>
    <w:p w14:paraId="70CF4C2F">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使用的分析工具或开发工具（如果使用了自己研发的软件或工具请具体说明）：Vite、React、TypeScript、vtk.js、D3.js、Python（precompute/generate_figures）、Playwright 体渲染截图；NyxViz 自研交互仪表盘</w:t>
      </w:r>
    </w:p>
    <w:p w14:paraId="1997B335">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共计耗费时间（人天）：</w:t>
      </w:r>
      <w:r>
        <w:rPr>
          <w:rFonts w:hint="default" w:ascii="Times New Roman" w:hAnsi="Times New Roman" w:cs="Times New Roman"/>
          <w:lang w:val="en-US" w:eastAsia="zh-CN"/>
        </w:rPr>
        <w:t xml:space="preserve"> 14</w:t>
      </w:r>
      <w:r>
        <w:rPr>
          <w:rFonts w:hint="default" w:ascii="Times New Roman" w:hAnsi="Times New Roman" w:cs="Times New Roman"/>
        </w:rPr>
        <w:t>人天</w:t>
      </w:r>
    </w:p>
    <w:p w14:paraId="5637D7B4">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color w:val="BFBFBF"/>
        </w:rPr>
      </w:pPr>
      <w:r>
        <w:rPr>
          <w:rFonts w:hint="default" w:ascii="Times New Roman" w:hAnsi="Times New Roman" w:cs="Times New Roman"/>
        </w:rPr>
        <w:t>本次比赛结束后，我们是否可以在网络上公布该答卷与视频（是或否）：是</w:t>
      </w:r>
    </w:p>
    <w:p w14:paraId="24198F09">
      <w:pPr>
        <w:pageBreakBefore w:val="0"/>
        <w:widowControl w:val="0"/>
        <w:kinsoku/>
        <w:wordWrap w:val="0"/>
        <w:overflowPunct/>
        <w:topLinePunct w:val="0"/>
        <w:autoSpaceDE/>
        <w:autoSpaceDN/>
        <w:bidi w:val="0"/>
        <w:adjustRightInd/>
        <w:snapToGrid/>
        <w:ind w:firstLine="708"/>
        <w:textAlignment w:val="auto"/>
        <w:rPr>
          <w:rFonts w:hint="default" w:ascii="Times New Roman" w:hAnsi="Times New Roman" w:cs="Times New Roman"/>
          <w:sz w:val="20"/>
          <w:szCs w:val="20"/>
        </w:rPr>
      </w:pPr>
    </w:p>
    <w:p w14:paraId="03910E5C">
      <w:pPr>
        <w:pageBreakBefore w:val="0"/>
        <w:widowControl w:val="0"/>
        <w:kinsoku/>
        <w:wordWrap w:val="0"/>
        <w:overflowPunct/>
        <w:topLinePunct w:val="0"/>
        <w:autoSpaceDE/>
        <w:autoSpaceDN/>
        <w:bidi w:val="0"/>
        <w:adjustRightInd/>
        <w:snapToGrid/>
        <w:ind w:firstLine="708"/>
        <w:textAlignment w:val="auto"/>
        <w:rPr>
          <w:rFonts w:hint="default" w:ascii="Times New Roman" w:hAnsi="Times New Roman" w:cs="Times New Roman"/>
          <w:sz w:val="20"/>
          <w:szCs w:val="20"/>
        </w:rPr>
      </w:pPr>
    </w:p>
    <w:p w14:paraId="6EE09AD6">
      <w:pPr>
        <w:pageBreakBefore w:val="0"/>
        <w:widowControl w:val="0"/>
        <w:kinsoku/>
        <w:wordWrap w:val="0"/>
        <w:overflowPunct/>
        <w:topLinePunct w:val="0"/>
        <w:autoSpaceDE/>
        <w:autoSpaceDN/>
        <w:bidi w:val="0"/>
        <w:adjustRightInd/>
        <w:snapToGrid/>
        <w:ind w:firstLine="708"/>
        <w:textAlignment w:val="auto"/>
        <w:rPr>
          <w:rFonts w:hint="default" w:ascii="Times New Roman" w:hAnsi="Times New Roman" w:cs="Times New Roman"/>
          <w:sz w:val="20"/>
          <w:szCs w:val="20"/>
        </w:rPr>
      </w:pPr>
    </w:p>
    <w:p w14:paraId="078E7517">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0"/>
          <w:szCs w:val="20"/>
        </w:rPr>
      </w:pPr>
      <w:r>
        <w:rPr>
          <w:rFonts w:hint="default" w:ascii="Times New Roman" w:hAnsi="Times New Roman" w:cs="Times New Roman"/>
          <w:sz w:val="20"/>
          <w:szCs w:val="20"/>
        </w:rPr>
        <w:br w:type="page"/>
      </w:r>
    </w:p>
    <w:p w14:paraId="79D7312F">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default" w:ascii="Times New Roman" w:hAnsi="Times New Roman" w:eastAsia="黑体" w:cs="Times New Roman"/>
          <w:b/>
          <w:sz w:val="24"/>
          <w:szCs w:val="24"/>
        </w:rPr>
      </w:pPr>
      <w:r>
        <w:rPr>
          <w:rFonts w:hint="default" w:ascii="Times New Roman" w:hAnsi="Times New Roman" w:eastAsia="黑体" w:cs="Times New Roman"/>
          <w:b/>
          <w:sz w:val="24"/>
          <w:szCs w:val="24"/>
        </w:rPr>
        <w:t>0 系统概览</w:t>
      </w:r>
    </w:p>
    <w:p w14:paraId="633A2D27">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eastAsia" w:ascii="Times New Roman" w:hAnsi="Times New Roman" w:eastAsia="宋体" w:cs="Times New Roman"/>
          <w:lang w:eastAsia="zh"/>
        </w:rPr>
      </w:pPr>
      <w:r>
        <w:rPr>
          <w:rFonts w:hint="eastAsia" w:ascii="Times New Roman" w:hAnsi="Times New Roman" w:eastAsia="宋体" w:cs="Times New Roman"/>
          <w:lang w:eastAsia="zh"/>
        </w:rPr>
        <w:drawing>
          <wp:inline distT="0" distB="0" distL="114300" distR="114300">
            <wp:extent cx="3990975" cy="7540625"/>
            <wp:effectExtent l="0" t="0" r="952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
                    <a:srcRect t="2388"/>
                    <a:stretch>
                      <a:fillRect/>
                    </a:stretch>
                  </pic:blipFill>
                  <pic:spPr>
                    <a:xfrm>
                      <a:off x="0" y="0"/>
                      <a:ext cx="3990975" cy="7540625"/>
                    </a:xfrm>
                    <a:prstGeom prst="rect">
                      <a:avLst/>
                    </a:prstGeom>
                  </pic:spPr>
                </pic:pic>
              </a:graphicData>
            </a:graphic>
          </wp:inline>
        </w:drawing>
      </w:r>
    </w:p>
    <w:p w14:paraId="18675AB4">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 NyxViz 分析流程图</w:t>
      </w:r>
    </w:p>
    <w:p w14:paraId="739A463D">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「NyxViz：宇宙网诞生记」面向赛题 Nyx 128³ 重子气体密度场，共 100 步、ρ∈[7.75, 14.52]，旨在揭示引力团块化中由均匀涨落向 void—filament—node 宇宙网拓扑分化的过程。数据为均匀 128³ 子体积，不含 AMR 层级与宇宙学红移，详见 §5.3–§5.4。系统以体渲染、百步 log 直方图与相空间刷选联动，将「看见结构—量化漂移—空间验证—归纳发现」串联为可交互分析链路；图1 作四幕总览。</w:t>
      </w:r>
    </w:p>
    <w:p w14:paraId="762D841D">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图1 各幕协同支撑任务一至四：</w:t>
      </w:r>
    </w:p>
    <w:p w14:paraId="1F24D4BC">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b/>
          <w:bCs/>
        </w:rPr>
        <w:t>第1幕「看见宇宙结构」：</w:t>
      </w:r>
      <w:r>
        <w:rPr>
          <w:rFonts w:hint="default" w:ascii="Times New Roman" w:hAnsi="Times New Roman" w:eastAsia="楷体_GB2312" w:cs="Times New Roman"/>
        </w:rPr>
        <w:t>并列展示 t=0/25/50/75/99 五帧体渲染，呈现 void 扩大、filament 连通与 node 亮化，建立形态演化直观印象。</w:t>
      </w:r>
    </w:p>
    <w:p w14:paraId="71AD85F0">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b/>
          <w:bCs/>
        </w:rPr>
        <w:t>第2幕「量化演化」：</w:t>
      </w:r>
      <w:r>
        <w:rPr>
          <w:rFonts w:hint="default" w:ascii="Times New Roman" w:hAnsi="Times New Roman" w:eastAsia="楷体_GB2312" w:cs="Times New Roman"/>
        </w:rPr>
        <w:t>(a) 多时刻 log 直方图叠加，显示右尾抬升与分位漂移；(b) σ(t)、分位跨度等曲线覆盖百步全时域，避免挑帧叙事；(c) t=99 核心 KPI——均值、标准差、p99 及 ≥p99 体积占比。</w:t>
      </w:r>
    </w:p>
    <w:p w14:paraId="7367E0FF">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b/>
          <w:bCs/>
        </w:rPr>
        <w:t>第3幕「空间验证」：</w:t>
      </w:r>
      <w:r>
        <w:rPr>
          <w:rFonts w:hint="default" w:ascii="Times New Roman" w:hAnsi="Times New Roman" w:eastAsia="楷体_GB2312" w:cs="Times New Roman"/>
        </w:rPr>
        <w:t>(a) Top 1% 刷选框定高密度尾区；(b) 体渲染同步高亮体素；(c) XY 最大密度投影显示丝状/节点聚集；(d) 亮脊反查与尾区对照，完成统计—空间双向验证。</w:t>
      </w:r>
    </w:p>
    <w:p w14:paraId="7FE67BAC">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b/>
          <w:bCs/>
        </w:rPr>
        <w:t>第4幕「科学发现」：</w:t>
      </w:r>
      <w:r>
        <w:rPr>
          <w:rFonts w:hint="default" w:ascii="Times New Roman" w:hAnsi="Times New Roman" w:eastAsia="楷体_GB2312" w:cs="Times New Roman"/>
        </w:rPr>
        <w:t>四卡归纳四项结论——σ 约 +15.4% 的团块化、void 扩张与右尾增厚的两极化、≥p99 约 1.00% 体积承载约 1.2% 质量，及 Top 1% 与 filament 形态一致。</w:t>
      </w:r>
    </w:p>
    <w:p w14:paraId="0CC7E437">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Moran's I、ξ(r) 等在任务二展开，方法见附录 5.2。</w:t>
      </w:r>
    </w:p>
    <w:p w14:paraId="06A70E55">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正文第 1–4 章逐题展开代表性发现；bootstrap、分箱敏感度与刷选性能等见附录 5。第 5 章综合归纳科学发现；附录 1–4 给出分析流程、可视设计与预计算工具。配图子图含义见图注。</w:t>
      </w:r>
    </w:p>
    <w:p w14:paraId="48CC2BAE">
      <w:pPr>
        <w:pStyle w:val="4"/>
        <w:bidi w:val="0"/>
        <w:rPr>
          <w:rFonts w:hint="default"/>
          <w:b/>
          <w:bCs/>
        </w:rPr>
      </w:pPr>
      <w:r>
        <w:rPr>
          <w:rFonts w:hint="default"/>
          <w:b/>
          <w:bCs/>
        </w:rPr>
        <w:t>0.1 术语与缩写</w:t>
      </w:r>
    </w:p>
    <w:p w14:paraId="2F032B19">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下列术语在正文首次出现时亦作简要说明。</w:t>
      </w:r>
    </w:p>
    <w:p w14:paraId="563CB17D">
      <w:pPr>
        <w:pStyle w:val="183"/>
        <w:keepNext w:val="0"/>
        <w:keepLines w:val="0"/>
        <w:pageBreakBefore w:val="0"/>
        <w:widowControl w:val="0"/>
        <w:kinsoku/>
        <w:wordWrap/>
        <w:overflowPunct/>
        <w:topLinePunct w:val="0"/>
        <w:autoSpaceDE/>
        <w:autoSpaceDN/>
        <w:bidi w:val="0"/>
        <w:adjustRightInd/>
        <w:snapToGrid/>
        <w:spacing w:before="120" w:after="12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表1 常用术语</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013"/>
      </w:tblGrid>
      <w:tr w14:paraId="53EF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tcBorders>
              <w:bottom w:val="single" w:color="000000" w:sz="4" w:space="0"/>
            </w:tcBorders>
            <w:vAlign w:val="center"/>
          </w:tcPr>
          <w:p w14:paraId="64CE946B">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rPr>
              <w:t>术语</w:t>
            </w:r>
          </w:p>
        </w:tc>
        <w:tc>
          <w:tcPr>
            <w:tcW w:w="6013" w:type="dxa"/>
            <w:tcBorders>
              <w:bottom w:val="single" w:color="000000" w:sz="4" w:space="0"/>
            </w:tcBorders>
            <w:vAlign w:val="center"/>
          </w:tcPr>
          <w:p w14:paraId="64572D3E">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rPr>
              <w:t>含义</w:t>
            </w:r>
          </w:p>
        </w:tc>
      </w:tr>
      <w:tr w14:paraId="756A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732F3485">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IGM</w:t>
            </w:r>
          </w:p>
        </w:tc>
        <w:tc>
          <w:tcPr>
            <w:tcW w:w="6013" w:type="dxa"/>
            <w:vAlign w:val="center"/>
          </w:tcPr>
          <w:p w14:paraId="23238C0F">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eastAsia="宋体" w:cs="Times New Roman"/>
                <w:kern w:val="2"/>
                <w:sz w:val="24"/>
                <w:szCs w:val="24"/>
                <w:woUserID w:val="1"/>
              </w:rPr>
              <w:t>Intergalactic Medium</w:t>
            </w:r>
            <w:r>
              <w:rPr>
                <w:rFonts w:hint="eastAsia" w:ascii="宋体" w:hAnsi="宋体" w:eastAsia="宋体" w:cs="宋体"/>
                <w:kern w:val="2"/>
                <w:sz w:val="24"/>
                <w:szCs w:val="24"/>
                <w:woUserID w:val="1"/>
              </w:rPr>
              <w:t>，</w:t>
            </w:r>
            <w:r>
              <w:rPr>
                <w:rFonts w:hint="default" w:ascii="Times New Roman" w:hAnsi="Times New Roman" w:cs="Times New Roman"/>
                <w:lang w:val="en-US" w:eastAsia="zh-CN"/>
              </w:rPr>
              <w:t>星系际介质</w:t>
            </w:r>
          </w:p>
        </w:tc>
      </w:tr>
      <w:tr w14:paraId="5583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64D19317">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void / filament / node</w:t>
            </w:r>
          </w:p>
        </w:tc>
        <w:tc>
          <w:tcPr>
            <w:tcW w:w="6013" w:type="dxa"/>
            <w:vAlign w:val="center"/>
          </w:tcPr>
          <w:p w14:paraId="591E37D5">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低密度空洞 / 丝状纤维 / 高密度节点</w:t>
            </w:r>
          </w:p>
        </w:tc>
      </w:tr>
      <w:tr w14:paraId="1E6E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58646CA8">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AMR</w:t>
            </w:r>
          </w:p>
        </w:tc>
        <w:tc>
          <w:tcPr>
            <w:tcW w:w="6013" w:type="dxa"/>
            <w:vAlign w:val="center"/>
          </w:tcPr>
          <w:p w14:paraId="3A50B693">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eastAsia="宋体" w:cs="Times New Roman"/>
                <w:kern w:val="2"/>
                <w:sz w:val="24"/>
                <w:szCs w:val="24"/>
                <w:woUserID w:val="1"/>
              </w:rPr>
              <w:t>Adaptive Mesh Refinement</w:t>
            </w:r>
            <w:r>
              <w:rPr>
                <w:rFonts w:hint="eastAsia" w:ascii="宋体" w:hAnsi="宋体" w:eastAsia="宋体" w:cs="宋体"/>
                <w:kern w:val="2"/>
                <w:sz w:val="24"/>
                <w:szCs w:val="24"/>
                <w:woUserID w:val="1"/>
              </w:rPr>
              <w:t>，</w:t>
            </w:r>
            <w:r>
              <w:rPr>
                <w:rFonts w:hint="default" w:ascii="Times New Roman" w:hAnsi="Times New Roman" w:cs="Times New Roman"/>
                <w:lang w:val="en-US" w:eastAsia="zh-CN"/>
              </w:rPr>
              <w:t>自适应网格细化</w:t>
            </w:r>
          </w:p>
        </w:tc>
      </w:tr>
      <w:tr w14:paraId="3B7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7440E70A">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z 轴 / 红移 z</w:t>
            </w:r>
          </w:p>
        </w:tc>
        <w:tc>
          <w:tcPr>
            <w:tcW w:w="6013" w:type="dxa"/>
            <w:vAlign w:val="center"/>
          </w:tcPr>
          <w:p w14:paraId="0875D566">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盒子空间坐标 / 宇宙学观测量</w:t>
            </w:r>
          </w:p>
        </w:tc>
      </w:tr>
      <w:tr w14:paraId="37D3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0A78E537">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Lyα 代理</w:t>
            </w:r>
          </w:p>
        </w:tc>
        <w:tc>
          <w:tcPr>
            <w:tcW w:w="6013" w:type="dxa"/>
            <w:vAlign w:val="center"/>
          </w:tcPr>
          <w:p w14:paraId="45DD44F2">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列平均密度 PDF，非合成吸收谱</w:t>
            </w:r>
          </w:p>
        </w:tc>
      </w:tr>
      <w:tr w14:paraId="6F5E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5B5C230B">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TF / 传递函数</w:t>
            </w:r>
          </w:p>
        </w:tc>
        <w:tc>
          <w:tcPr>
            <w:tcW w:w="6013" w:type="dxa"/>
            <w:vAlign w:val="center"/>
          </w:tcPr>
          <w:p w14:paraId="56A84DF2">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体渲染：ρ→RGB 与 α</w:t>
            </w:r>
          </w:p>
        </w:tc>
      </w:tr>
      <w:tr w14:paraId="5C0D3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01BA23F2">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σ</w:t>
            </w:r>
          </w:p>
        </w:tc>
        <w:tc>
          <w:tcPr>
            <w:tcW w:w="6013" w:type="dxa"/>
            <w:vAlign w:val="center"/>
          </w:tcPr>
          <w:p w14:paraId="61B6798B">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标准差</w:t>
            </w:r>
          </w:p>
        </w:tc>
      </w:tr>
      <w:tr w14:paraId="50A5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620B9B09">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p01 / p99 等</w:t>
            </w:r>
          </w:p>
        </w:tc>
        <w:tc>
          <w:tcPr>
            <w:tcW w:w="6013" w:type="dxa"/>
            <w:vAlign w:val="center"/>
          </w:tcPr>
          <w:p w14:paraId="43283109">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1% / 99% 分位数</w:t>
            </w:r>
          </w:p>
        </w:tc>
      </w:tr>
      <w:tr w14:paraId="4693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28111399">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pp</w:t>
            </w:r>
          </w:p>
        </w:tc>
        <w:tc>
          <w:tcPr>
            <w:tcW w:w="6013" w:type="dxa"/>
            <w:vAlign w:val="center"/>
          </w:tcPr>
          <w:p w14:paraId="22135685">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eastAsia="宋体" w:cs="Times New Roman"/>
                <w:kern w:val="2"/>
                <w:sz w:val="24"/>
                <w:szCs w:val="24"/>
                <w:woUserID w:val="1"/>
              </w:rPr>
              <w:t>percentage point</w:t>
            </w:r>
            <w:r>
              <w:rPr>
                <w:rFonts w:hint="eastAsia" w:ascii="宋体" w:hAnsi="宋体" w:eastAsia="宋体" w:cs="宋体"/>
                <w:kern w:val="2"/>
                <w:sz w:val="24"/>
                <w:szCs w:val="24"/>
                <w:woUserID w:val="1"/>
              </w:rPr>
              <w:t>，</w:t>
            </w:r>
            <w:r>
              <w:rPr>
                <w:rFonts w:hint="default" w:ascii="Times New Roman" w:hAnsi="Times New Roman" w:cs="Times New Roman"/>
                <w:lang w:val="en-US" w:eastAsia="zh-CN"/>
              </w:rPr>
              <w:t>百分点</w:t>
            </w:r>
          </w:p>
        </w:tc>
      </w:tr>
      <w:tr w14:paraId="3117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2420C32E">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KPI</w:t>
            </w:r>
          </w:p>
        </w:tc>
        <w:tc>
          <w:tcPr>
            <w:tcW w:w="6013" w:type="dxa"/>
            <w:vAlign w:val="center"/>
          </w:tcPr>
          <w:p w14:paraId="5196D6FF">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eastAsia="宋体" w:cs="Times New Roman"/>
                <w:kern w:val="2"/>
                <w:sz w:val="24"/>
                <w:szCs w:val="24"/>
                <w:woUserID w:val="1"/>
              </w:rPr>
              <w:t>Key Performance Indicator</w:t>
            </w:r>
            <w:r>
              <w:rPr>
                <w:rFonts w:hint="eastAsia" w:ascii="宋体" w:hAnsi="宋体" w:eastAsia="宋体" w:cs="宋体"/>
                <w:kern w:val="2"/>
                <w:sz w:val="24"/>
                <w:szCs w:val="24"/>
                <w:woUserID w:val="1"/>
              </w:rPr>
              <w:t>，</w:t>
            </w:r>
            <w:r>
              <w:rPr>
                <w:rFonts w:hint="default" w:ascii="Times New Roman" w:hAnsi="Times New Roman" w:cs="Times New Roman"/>
                <w:lang w:val="en-US" w:eastAsia="zh-CN"/>
              </w:rPr>
              <w:t>关键指标卡</w:t>
            </w:r>
          </w:p>
        </w:tc>
      </w:tr>
      <w:tr w14:paraId="525E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34296CE7">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LOD</w:t>
            </w:r>
          </w:p>
        </w:tc>
        <w:tc>
          <w:tcPr>
            <w:tcW w:w="6013" w:type="dxa"/>
            <w:vAlign w:val="center"/>
          </w:tcPr>
          <w:p w14:paraId="655341BC">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eastAsia="宋体" w:cs="Times New Roman"/>
                <w:kern w:val="2"/>
                <w:sz w:val="24"/>
                <w:szCs w:val="24"/>
                <w:woUserID w:val="1"/>
              </w:rPr>
              <w:t>Level of Detail</w:t>
            </w:r>
            <w:r>
              <w:rPr>
                <w:rFonts w:hint="eastAsia" w:ascii="宋体" w:hAnsi="宋体" w:eastAsia="宋体" w:cs="宋体"/>
                <w:kern w:val="2"/>
                <w:sz w:val="24"/>
                <w:szCs w:val="24"/>
                <w:woUserID w:val="1"/>
              </w:rPr>
              <w:t>，</w:t>
            </w:r>
            <w:r>
              <w:rPr>
                <w:rFonts w:hint="default" w:ascii="Times New Roman" w:hAnsi="Times New Roman" w:cs="Times New Roman"/>
                <w:lang w:val="en-US" w:eastAsia="zh-CN"/>
              </w:rPr>
              <w:t>体渲染细节分级</w:t>
            </w:r>
          </w:p>
        </w:tc>
      </w:tr>
      <w:tr w14:paraId="0D4A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33" w:type="dxa"/>
            <w:vAlign w:val="center"/>
          </w:tcPr>
          <w:p w14:paraId="48AE7D95">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Ka / Kd / Ks</w:t>
            </w:r>
          </w:p>
        </w:tc>
        <w:tc>
          <w:tcPr>
            <w:tcW w:w="6013" w:type="dxa"/>
            <w:vAlign w:val="center"/>
          </w:tcPr>
          <w:p w14:paraId="6FB6DE0F">
            <w:pPr>
              <w:pStyle w:val="183"/>
              <w:keepNext w:val="0"/>
              <w:keepLines w:val="0"/>
              <w:pageBreakBefore w:val="0"/>
              <w:widowControl w:val="0"/>
              <w:kinsoku/>
              <w:wordWrap/>
              <w:overflowPunct/>
              <w:topLinePunct w:val="0"/>
              <w:autoSpaceDE/>
              <w:autoSpaceDN/>
              <w:bidi w:val="0"/>
              <w:adjustRightInd/>
              <w:snapToGrid/>
              <w:spacing w:before="120" w:after="0" w:line="300" w:lineRule="auto"/>
              <w:jc w:val="center"/>
              <w:textAlignment w:val="auto"/>
              <w:rPr>
                <w:rFonts w:hint="default" w:ascii="Times New Roman" w:hAnsi="Times New Roman" w:cs="Times New Roman"/>
              </w:rPr>
            </w:pPr>
            <w:r>
              <w:rPr>
                <w:rFonts w:hint="default" w:ascii="Times New Roman" w:hAnsi="Times New Roman" w:cs="Times New Roman"/>
                <w:lang w:val="en-US" w:eastAsia="zh-CN"/>
              </w:rPr>
              <w:t>Phong 环境光 / 漫反射 / 镜面</w:t>
            </w:r>
          </w:p>
        </w:tc>
      </w:tr>
    </w:tbl>
    <w:p w14:paraId="197C75C0">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br w:type="page"/>
      </w:r>
    </w:p>
    <w:p w14:paraId="0FB9966D">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eastAsia" w:ascii="Times New Roman" w:hAnsi="Times New Roman" w:eastAsia="黑体" w:cs="Times New Roman"/>
          <w:sz w:val="24"/>
          <w:szCs w:val="24"/>
          <w:lang w:eastAsia="zh"/>
          <w:woUserID w:val="1"/>
        </w:rPr>
      </w:pPr>
      <w:r>
        <w:rPr>
          <w:rFonts w:ascii="Times New Roman" w:hAnsi="Times New Roman" w:eastAsia="黑体" w:cs="Times New Roman"/>
          <w:b/>
          <w:sz w:val="24"/>
          <w:szCs w:val="24"/>
        </w:rPr>
        <w:t>1、采用体数据渲染技术，并设计合适的传递函数和光照效果，展示宇宙演化中密度信息的变化</w:t>
      </w:r>
      <w:r>
        <w:rPr>
          <w:rFonts w:hint="eastAsia" w:cs="Times New Roman"/>
          <w:b/>
          <w:sz w:val="24"/>
          <w:szCs w:val="24"/>
          <w:lang w:eastAsia="zh"/>
          <w:woUserID w:val="1"/>
        </w:rPr>
        <w:t>。</w:t>
      </w:r>
    </w:p>
    <w:p w14:paraId="20A464A8">
      <w:pPr>
        <w:pStyle w:val="4"/>
        <w:bidi w:val="0"/>
      </w:pPr>
      <w:r>
        <w:rPr>
          <w:b/>
          <w:bCs/>
        </w:rPr>
        <w:t>1.1 视图简介</w:t>
      </w:r>
    </w:p>
    <w:p w14:paraId="56AA688B">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本题以体渲染为主，配合渲染参数汇总与五代表步统计。在固定相机下展示 t=0/25/50/75/99 五帧 Nyx 128³ 重子气体密度场，采用 log 域 cosmic 传递函数与 Phong 光照，使低密度 void 与高密度 filament 同屏可见。图2 为五帧形态对比，图3 为 t=99 主视角，图4 汇总传递函数与光照设计，表2 列出五帧均值、σ、p99 等统计量。128³ 分辨率粗化验证见图5，方法见附录 5.1。</w:t>
      </w:r>
    </w:p>
    <w:p w14:paraId="04AEFD31">
      <w:pPr>
        <w:pStyle w:val="4"/>
        <w:bidi w:val="0"/>
      </w:pPr>
      <w:r>
        <w:rPr>
          <w:b/>
          <w:bCs/>
        </w:rPr>
        <w:t>1.2 演化观察</w:t>
      </w:r>
    </w:p>
    <w:p w14:paraId="018729CD">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b/>
          <w:bCs/>
        </w:rPr>
        <w:t>（1）由均匀涨落到宇宙网成形</w:t>
      </w:r>
    </w:p>
    <w:p w14:paraId="5615B89A">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从图2 五帧条带可见：t=0 整体呈均匀雾状，filament 对比度弱（σ=0.4318，表2）；t=25–50 丝状结构逐渐连通，void 区域扩大；t=75–99 高密度脊线与节点形成亮带，宇宙网拓扑清晰（t=99 时 σ=0.4983，较 t=0 约 +15.4%）。图3 的 t=99 主视角进一步显示 filament 连通与 node 亮化。归纳：引力团块化在形态上表现为 void 扩大、filament 连通与 node 凝聚，与任务二 σ 全时域上升趋势一致。</w:t>
      </w:r>
    </w:p>
    <w:p w14:paraId="41F446BC">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86400" cy="205740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7"/>
                    <a:stretch>
                      <a:fillRect/>
                    </a:stretch>
                  </pic:blipFill>
                  <pic:spPr>
                    <a:xfrm>
                      <a:off x="0" y="0"/>
                      <a:ext cx="5486400" cy="2057400"/>
                    </a:xfrm>
                    <a:prstGeom prst="rect">
                      <a:avLst/>
                    </a:prstGeom>
                    <a:noFill/>
                    <a:ln>
                      <a:noFill/>
                    </a:ln>
                  </pic:spPr>
                </pic:pic>
              </a:graphicData>
            </a:graphic>
          </wp:inline>
        </w:drawing>
      </w:r>
    </w:p>
    <w:p w14:paraId="6C3C4D6A">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图2 五帧体渲染条带（capture TF；t=0→99）</w:t>
      </w:r>
    </w:p>
    <w:p w14:paraId="2BB38D7C">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90210" cy="3405505"/>
            <wp:effectExtent l="0" t="0" r="8890" b="1079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8"/>
                    <a:stretch>
                      <a:fillRect/>
                    </a:stretch>
                  </pic:blipFill>
                  <pic:spPr>
                    <a:xfrm>
                      <a:off x="0" y="0"/>
                      <a:ext cx="5490210" cy="3405505"/>
                    </a:xfrm>
                    <a:prstGeom prst="rect">
                      <a:avLst/>
                    </a:prstGeom>
                    <a:noFill/>
                    <a:ln>
                      <a:noFill/>
                    </a:ln>
                  </pic:spPr>
                </pic:pic>
              </a:graphicData>
            </a:graphic>
          </wp:inline>
        </w:drawing>
      </w:r>
    </w:p>
    <w:p w14:paraId="6E752DF1">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图3 t=99 代表帧：体渲染主视角 + log10 色标</w:t>
      </w:r>
    </w:p>
    <w:p w14:paraId="0FCD6A37">
      <w:pPr>
        <w:pStyle w:val="183"/>
        <w:keepNext w:val="0"/>
        <w:keepLines w:val="0"/>
        <w:pageBreakBefore w:val="0"/>
        <w:widowControl w:val="0"/>
        <w:kinsoku/>
        <w:wordWrap/>
        <w:overflowPunct/>
        <w:topLinePunct w:val="0"/>
        <w:autoSpaceDE/>
        <w:autoSpaceDN/>
        <w:bidi w:val="0"/>
        <w:adjustRightInd/>
        <w:snapToGrid/>
        <w:spacing w:before="120" w:after="12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表2 五代表步密度统计</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2"/>
        <w:gridCol w:w="1772"/>
        <w:gridCol w:w="1772"/>
      </w:tblGrid>
      <w:tr w14:paraId="60FA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66695C3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时间步</w:t>
            </w:r>
          </w:p>
        </w:tc>
        <w:tc>
          <w:tcPr>
            <w:tcW w:w="1000" w:type="pct"/>
            <w:vAlign w:val="center"/>
          </w:tcPr>
          <w:p w14:paraId="106B299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均值</w:t>
            </w:r>
          </w:p>
        </w:tc>
        <w:tc>
          <w:tcPr>
            <w:tcW w:w="1000" w:type="pct"/>
            <w:vAlign w:val="center"/>
          </w:tcPr>
          <w:p w14:paraId="3F19194B">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σ</w:t>
            </w:r>
          </w:p>
        </w:tc>
        <w:tc>
          <w:tcPr>
            <w:tcW w:w="1000" w:type="pct"/>
            <w:vAlign w:val="center"/>
          </w:tcPr>
          <w:p w14:paraId="6165FA9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p99</w:t>
            </w:r>
          </w:p>
        </w:tc>
        <w:tc>
          <w:tcPr>
            <w:tcW w:w="1000" w:type="pct"/>
            <w:vAlign w:val="center"/>
          </w:tcPr>
          <w:p w14:paraId="08CC307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max</w:t>
            </w:r>
          </w:p>
        </w:tc>
      </w:tr>
      <w:tr w14:paraId="0DE9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490D440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w:t>
            </w:r>
          </w:p>
        </w:tc>
        <w:tc>
          <w:tcPr>
            <w:tcW w:w="1000" w:type="pct"/>
            <w:vAlign w:val="center"/>
          </w:tcPr>
          <w:p w14:paraId="291B0E9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9.4854</w:t>
            </w:r>
          </w:p>
        </w:tc>
        <w:tc>
          <w:tcPr>
            <w:tcW w:w="1000" w:type="pct"/>
            <w:vAlign w:val="center"/>
          </w:tcPr>
          <w:p w14:paraId="1EEF5A4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0.4318</w:t>
            </w:r>
          </w:p>
        </w:tc>
        <w:tc>
          <w:tcPr>
            <w:tcW w:w="1000" w:type="pct"/>
            <w:vAlign w:val="center"/>
          </w:tcPr>
          <w:p w14:paraId="13D9844E">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10.7255</w:t>
            </w:r>
          </w:p>
        </w:tc>
        <w:tc>
          <w:tcPr>
            <w:tcW w:w="1000" w:type="pct"/>
            <w:vAlign w:val="center"/>
          </w:tcPr>
          <w:p w14:paraId="547F539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13.8433</w:t>
            </w:r>
          </w:p>
        </w:tc>
      </w:tr>
      <w:tr w14:paraId="12C8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27360747">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25</w:t>
            </w:r>
          </w:p>
        </w:tc>
        <w:tc>
          <w:tcPr>
            <w:tcW w:w="1000" w:type="pct"/>
            <w:vAlign w:val="center"/>
          </w:tcPr>
          <w:p w14:paraId="0660FFC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9.4369</w:t>
            </w:r>
          </w:p>
        </w:tc>
        <w:tc>
          <w:tcPr>
            <w:tcW w:w="1000" w:type="pct"/>
            <w:vAlign w:val="center"/>
          </w:tcPr>
          <w:p w14:paraId="47D03BC5">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0.4525</w:t>
            </w:r>
          </w:p>
        </w:tc>
        <w:tc>
          <w:tcPr>
            <w:tcW w:w="1000" w:type="pct"/>
            <w:vAlign w:val="center"/>
          </w:tcPr>
          <w:p w14:paraId="30FE939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10.7402</w:t>
            </w:r>
          </w:p>
        </w:tc>
        <w:tc>
          <w:tcPr>
            <w:tcW w:w="1000" w:type="pct"/>
            <w:vAlign w:val="center"/>
          </w:tcPr>
          <w:p w14:paraId="4673E4D9">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14.0505</w:t>
            </w:r>
          </w:p>
        </w:tc>
      </w:tr>
      <w:tr w14:paraId="3E90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0D477B1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50</w:t>
            </w:r>
          </w:p>
        </w:tc>
        <w:tc>
          <w:tcPr>
            <w:tcW w:w="1000" w:type="pct"/>
            <w:vAlign w:val="center"/>
          </w:tcPr>
          <w:p w14:paraId="2091CE2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9.3954</w:t>
            </w:r>
          </w:p>
        </w:tc>
        <w:tc>
          <w:tcPr>
            <w:tcW w:w="1000" w:type="pct"/>
            <w:vAlign w:val="center"/>
          </w:tcPr>
          <w:p w14:paraId="255654FC">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0.4693</w:t>
            </w:r>
          </w:p>
        </w:tc>
        <w:tc>
          <w:tcPr>
            <w:tcW w:w="1000" w:type="pct"/>
            <w:vAlign w:val="center"/>
          </w:tcPr>
          <w:p w14:paraId="062A2BF9">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10.7507</w:t>
            </w:r>
          </w:p>
        </w:tc>
        <w:tc>
          <w:tcPr>
            <w:tcW w:w="1000" w:type="pct"/>
            <w:vAlign w:val="center"/>
          </w:tcPr>
          <w:p w14:paraId="44CDE96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14.3269</w:t>
            </w:r>
          </w:p>
        </w:tc>
      </w:tr>
      <w:tr w14:paraId="7FEB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0BF7CC95">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75</w:t>
            </w:r>
          </w:p>
        </w:tc>
        <w:tc>
          <w:tcPr>
            <w:tcW w:w="1000" w:type="pct"/>
            <w:vAlign w:val="center"/>
          </w:tcPr>
          <w:p w14:paraId="3705C18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9.3556</w:t>
            </w:r>
          </w:p>
        </w:tc>
        <w:tc>
          <w:tcPr>
            <w:tcW w:w="1000" w:type="pct"/>
            <w:vAlign w:val="center"/>
          </w:tcPr>
          <w:p w14:paraId="0FEB5B5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0.4847</w:t>
            </w:r>
          </w:p>
        </w:tc>
        <w:tc>
          <w:tcPr>
            <w:tcW w:w="1000" w:type="pct"/>
            <w:vAlign w:val="center"/>
          </w:tcPr>
          <w:p w14:paraId="144EEA6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10.7547</w:t>
            </w:r>
          </w:p>
        </w:tc>
        <w:tc>
          <w:tcPr>
            <w:tcW w:w="1000" w:type="pct"/>
            <w:vAlign w:val="center"/>
          </w:tcPr>
          <w:p w14:paraId="330CDCD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14.3541</w:t>
            </w:r>
          </w:p>
        </w:tc>
      </w:tr>
      <w:tr w14:paraId="71CD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27755815">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99</w:t>
            </w:r>
          </w:p>
        </w:tc>
        <w:tc>
          <w:tcPr>
            <w:tcW w:w="1000" w:type="pct"/>
            <w:vAlign w:val="center"/>
          </w:tcPr>
          <w:p w14:paraId="142CC04B">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9.3187</w:t>
            </w:r>
          </w:p>
        </w:tc>
        <w:tc>
          <w:tcPr>
            <w:tcW w:w="1000" w:type="pct"/>
            <w:vAlign w:val="center"/>
          </w:tcPr>
          <w:p w14:paraId="7FD10E8E">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0.4983</w:t>
            </w:r>
          </w:p>
        </w:tc>
        <w:tc>
          <w:tcPr>
            <w:tcW w:w="1000" w:type="pct"/>
            <w:vAlign w:val="center"/>
          </w:tcPr>
          <w:p w14:paraId="16B3CFCC">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10.7601</w:t>
            </w:r>
          </w:p>
        </w:tc>
        <w:tc>
          <w:tcPr>
            <w:tcW w:w="1000" w:type="pct"/>
            <w:vAlign w:val="center"/>
          </w:tcPr>
          <w:p w14:paraId="0C09D29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14.4494</w:t>
            </w:r>
          </w:p>
        </w:tc>
      </w:tr>
    </w:tbl>
    <w:p w14:paraId="3E263431">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3D72C160">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701D9EC7">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40E1326B">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406919C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3DD79427">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42274B43">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4F7F138E">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0994082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13287CD0">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0B3A3B3C">
      <w:pPr>
        <w:keepNext w:val="0"/>
        <w:keepLines w:val="0"/>
        <w:pageBreakBefore w:val="0"/>
        <w:widowControl w:val="0"/>
        <w:kinsoku/>
        <w:wordWrap/>
        <w:overflowPunct/>
        <w:topLinePunct w:val="0"/>
        <w:autoSpaceDE/>
        <w:autoSpaceDN/>
        <w:bidi w:val="0"/>
        <w:adjustRightInd/>
        <w:snapToGrid/>
        <w:spacing w:before="0" w:after="0" w:line="300" w:lineRule="auto"/>
        <w:ind w:firstLine="0"/>
        <w:jc w:val="both"/>
        <w:textAlignment w:val="auto"/>
        <w:rPr>
          <w:b/>
          <w:bCs/>
        </w:rPr>
      </w:pPr>
      <w:r>
        <w:rPr>
          <w:rFonts w:ascii="Times New Roman" w:hAnsi="Times New Roman" w:eastAsia="宋体" w:cs="Times New Roman"/>
          <w:b/>
          <w:bCs/>
          <w:sz w:val="24"/>
        </w:rPr>
        <w:t>（2）传递函数与光照如何支撑观察</w:t>
      </w:r>
    </w:p>
    <w:p w14:paraId="5334E399">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eastAsia="楷体_GB2312" w:cs="Times New Roman"/>
        </w:rPr>
        <w:t>星系际介质密度跨约七个数量级，线性映射易使低密度区「雾屏」、淹没 filament 脊线。图4 显示 log 域传递函数分段 opacity 与 Phong 光照如何在同一视场内同时呈现 void 与 filament：控制 IGM 可见度，并以镜面分量突出高密度脊线。五帧条带在统一相机与色标下便于对比形态演化；帧间亮度变化不宜直接当作密度定量依据，跨步对比以表2 及任务二统计为准。静态配图与交互体渲染的参数差异见附录 5.1。</w:t>
      </w:r>
    </w:p>
    <w:p w14:paraId="599F79C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5445" cy="5079365"/>
            <wp:effectExtent l="0" t="0" r="1905"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
                    <a:stretch>
                      <a:fillRect/>
                    </a:stretch>
                  </pic:blipFill>
                  <pic:spPr>
                    <a:xfrm>
                      <a:off x="0" y="0"/>
                      <a:ext cx="5465445" cy="5079365"/>
                    </a:xfrm>
                    <a:prstGeom prst="rect">
                      <a:avLst/>
                    </a:prstGeom>
                  </pic:spPr>
                </pic:pic>
              </a:graphicData>
            </a:graphic>
          </wp:inline>
        </w:drawing>
      </w:r>
    </w:p>
    <w:p w14:paraId="0EF6BE5B">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图4 渲染参数汇总</w:t>
      </w:r>
    </w:p>
    <w:p w14:paraId="42A6DFAD">
      <w:pPr>
        <w:pageBreakBefore w:val="0"/>
        <w:widowControl w:val="0"/>
        <w:kinsoku/>
        <w:wordWrap w:val="0"/>
        <w:overflowPunct/>
        <w:topLinePunct w:val="0"/>
        <w:autoSpaceDE/>
        <w:autoSpaceDN/>
        <w:bidi w:val="0"/>
        <w:adjustRightInd/>
        <w:snapToGrid/>
        <w:ind w:left="0" w:leftChars="0" w:firstLine="0" w:firstLineChars="0"/>
        <w:textAlignment w:val="auto"/>
        <w:rPr>
          <w:rFonts w:hint="default" w:ascii="Times New Roman" w:hAnsi="Times New Roman" w:cs="Times New Roman"/>
        </w:rPr>
      </w:pPr>
    </w:p>
    <w:p w14:paraId="40F9713E">
      <w:pPr>
        <w:spacing w:before="0" w:after="0" w:line="240" w:lineRule="auto"/>
        <w:ind w:firstLine="480"/>
        <w:jc w:val="both"/>
        <w:rPr>
          <w:rFonts w:ascii="Times New Roman" w:hAnsi="Times New Roman" w:eastAsia="宋体" w:cs="Times New Roman"/>
          <w:b w:val="0"/>
          <w:sz w:val="24"/>
        </w:rPr>
      </w:pPr>
    </w:p>
    <w:p w14:paraId="79D65A65">
      <w:pPr>
        <w:spacing w:before="0" w:after="0" w:line="240" w:lineRule="auto"/>
        <w:ind w:firstLine="480"/>
        <w:jc w:val="both"/>
        <w:rPr>
          <w:rFonts w:ascii="Times New Roman" w:hAnsi="Times New Roman" w:eastAsia="宋体" w:cs="Times New Roman"/>
          <w:b w:val="0"/>
          <w:sz w:val="24"/>
        </w:rPr>
      </w:pPr>
    </w:p>
    <w:p w14:paraId="6C092567">
      <w:pPr>
        <w:spacing w:before="0" w:after="0" w:line="240" w:lineRule="auto"/>
        <w:ind w:firstLine="480"/>
        <w:jc w:val="both"/>
        <w:rPr>
          <w:rFonts w:ascii="Times New Roman" w:hAnsi="Times New Roman" w:eastAsia="宋体" w:cs="Times New Roman"/>
          <w:b w:val="0"/>
          <w:sz w:val="24"/>
        </w:rPr>
      </w:pPr>
    </w:p>
    <w:p w14:paraId="75B1D5ED">
      <w:pPr>
        <w:spacing w:before="0" w:after="0" w:line="240" w:lineRule="auto"/>
        <w:ind w:firstLine="480"/>
        <w:jc w:val="both"/>
        <w:rPr>
          <w:rFonts w:ascii="Times New Roman" w:hAnsi="Times New Roman" w:eastAsia="宋体" w:cs="Times New Roman"/>
          <w:b w:val="0"/>
          <w:sz w:val="24"/>
        </w:rPr>
      </w:pPr>
    </w:p>
    <w:p w14:paraId="01E51167">
      <w:pPr>
        <w:spacing w:before="0" w:after="0" w:line="240" w:lineRule="auto"/>
        <w:ind w:firstLine="480"/>
        <w:jc w:val="both"/>
        <w:rPr>
          <w:rFonts w:ascii="Times New Roman" w:hAnsi="Times New Roman" w:eastAsia="宋体" w:cs="Times New Roman"/>
          <w:b w:val="0"/>
          <w:sz w:val="24"/>
        </w:rPr>
      </w:pPr>
    </w:p>
    <w:p w14:paraId="1D58A7F8">
      <w:pPr>
        <w:keepNext w:val="0"/>
        <w:keepLines w:val="0"/>
        <w:pageBreakBefore w:val="0"/>
        <w:widowControl w:val="0"/>
        <w:kinsoku/>
        <w:wordWrap/>
        <w:overflowPunct/>
        <w:topLinePunct w:val="0"/>
        <w:autoSpaceDE/>
        <w:autoSpaceDN/>
        <w:bidi w:val="0"/>
        <w:adjustRightInd/>
        <w:snapToGrid/>
        <w:spacing w:before="0" w:after="0" w:line="300" w:lineRule="auto"/>
        <w:ind w:firstLine="480"/>
        <w:jc w:val="both"/>
        <w:textAlignment w:val="auto"/>
        <w:rPr>
          <w:rFonts w:hint="default" w:ascii="Times New Roman" w:hAnsi="Times New Roman" w:cs="Times New Roman"/>
        </w:rPr>
      </w:pPr>
      <w:r>
        <w:rPr>
          <w:rFonts w:hint="default" w:ascii="Times New Roman" w:hAnsi="Times New Roman" w:eastAsia="楷体_GB2312" w:cs="Times New Roman"/>
        </w:rPr>
        <w:t>128³ 块平均粗化对 t=99 细丝连通性的敏感性检验见图5，复现方法见附录 5.1。</w:t>
      </w:r>
    </w:p>
    <w:p w14:paraId="515F776A">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85765" cy="2462530"/>
            <wp:effectExtent l="0" t="0" r="635" b="127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0"/>
                    <a:stretch>
                      <a:fillRect/>
                    </a:stretch>
                  </pic:blipFill>
                  <pic:spPr>
                    <a:xfrm>
                      <a:off x="0" y="0"/>
                      <a:ext cx="5485765" cy="2462530"/>
                    </a:xfrm>
                    <a:prstGeom prst="rect">
                      <a:avLst/>
                    </a:prstGeom>
                    <a:noFill/>
                    <a:ln>
                      <a:noFill/>
                    </a:ln>
                  </pic:spPr>
                </pic:pic>
              </a:graphicData>
            </a:graphic>
          </wp:inline>
        </w:drawing>
      </w:r>
    </w:p>
    <w:p w14:paraId="3162783B">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图5 分辨率粗化验证（t=99）</w:t>
      </w:r>
    </w:p>
    <w:p w14:paraId="6AA3F7DB">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br w:type="page"/>
      </w:r>
    </w:p>
    <w:p w14:paraId="65DF799F">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eastAsia" w:ascii="Times New Roman" w:hAnsi="Times New Roman" w:eastAsia="黑体" w:cs="Times New Roman"/>
          <w:b/>
          <w:sz w:val="24"/>
          <w:szCs w:val="24"/>
          <w:lang w:eastAsia="zh"/>
          <w:woUserID w:val="1"/>
        </w:rPr>
      </w:pPr>
      <w:r>
        <w:rPr>
          <w:rFonts w:ascii="Times New Roman" w:hAnsi="Times New Roman" w:eastAsia="黑体" w:cs="Times New Roman"/>
          <w:b/>
          <w:sz w:val="24"/>
          <w:szCs w:val="24"/>
        </w:rPr>
        <w:t>2、基于可视化图像结果，归纳宇宙密度的演化特征，总结宇宙结构形成、星系际介质演化的核心规律，阐释可视化技术在宇宙学数据分析中的应用价值</w:t>
      </w:r>
      <w:r>
        <w:rPr>
          <w:rFonts w:hint="eastAsia" w:cs="Times New Roman"/>
          <w:b/>
          <w:sz w:val="24"/>
          <w:szCs w:val="24"/>
          <w:lang w:eastAsia="zh"/>
          <w:woUserID w:val="1"/>
        </w:rPr>
        <w:t>。</w:t>
      </w:r>
    </w:p>
    <w:p w14:paraId="17E50F1F">
      <w:pPr>
        <w:pStyle w:val="4"/>
        <w:bidi w:val="0"/>
      </w:pPr>
      <w:r>
        <w:rPr>
          <w:b/>
          <w:bCs/>
        </w:rPr>
        <w:t>2.1 视图简介</w:t>
      </w:r>
    </w:p>
    <w:p w14:paraId="38780DC0">
      <w:pPr>
        <w:pageBreakBefore w:val="0"/>
        <w:widowControl w:val="0"/>
        <w:kinsoku/>
        <w:wordWrap w:val="0"/>
        <w:overflowPunct/>
        <w:topLinePunct w:val="0"/>
        <w:autoSpaceDE/>
        <w:autoSpaceDN/>
        <w:bidi w:val="0"/>
        <w:adjustRightInd/>
        <w:snapToGrid/>
        <w:textAlignment w:val="auto"/>
        <w:rPr>
          <w:rFonts w:hint="eastAsia" w:ascii="Times New Roman" w:hAnsi="Times New Roman" w:eastAsia="楷体_GB2312" w:cs="Times New Roman"/>
          <w:lang w:eastAsia="zh"/>
          <w:woUserID w:val="1"/>
        </w:rPr>
      </w:pPr>
      <w:r>
        <w:rPr>
          <w:rFonts w:hint="eastAsia" w:eastAsia="楷体_GB2312" w:cs="Times New Roman"/>
          <w:lang w:eastAsia="zh"/>
          <w:woUserID w:val="1"/>
        </w:rPr>
        <w:t>本题结合百步预计算统计与代表步 log 直方图，辅以可视化驱动发现四联图。图6 以四联曲线展示 σ、p99−p01 等全时域演化；图7 为 t=0/25/50/75/99 五步 log 直方图叠加；图8 汇总 Moran's I、ξ(r) 及 bootstrap 对照；表3 对比 t=0 与 t=99 核心指标。图9 在 t=99 将 Top 1% 刷选、体渲染高亮、XY 投影与 P88 亮脊反查并置，用于 2.2 节阐释可视化应用价值。空间统计方法见附录 5.2。</w:t>
      </w:r>
    </w:p>
    <w:p w14:paraId="4783D774">
      <w:pPr>
        <w:pStyle w:val="4"/>
        <w:bidi w:val="0"/>
      </w:pPr>
      <w:r>
        <w:rPr>
          <w:b/>
          <w:bCs/>
        </w:rPr>
        <w:t>2.2 规律归纳与可视化价值</w:t>
      </w:r>
    </w:p>
    <w:p w14:paraId="4F0DD7BB">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（1）密度演化规律</w:t>
      </w:r>
    </w:p>
    <w:p w14:paraId="26263C44">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结合图6–7 与表3，百步演化呈现三方面规律。团块化：σ 由 0.4318 升至 0.4983（+15.4%），p99−p01 由 2.098 扩至 2.414（+15.1%），图6 覆盖全时域而非仅 t=0/99 挑帧。右尾增厚：p99、p999 分位单调抬升，图7 可见右尾概率质量上移。少数体素承载结构：≥p99 体素体积约 1.00%，却贡献约 1.2% 质量。Moran's I、ξ(r) 列值供对照，bootstrap 显示增量未达 2σ，不作团块化主证（图8）。</w:t>
      </w:r>
    </w:p>
    <w:p w14:paraId="1845E29F">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9890" cy="3328670"/>
            <wp:effectExtent l="0" t="0" r="1651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
                    <a:stretch>
                      <a:fillRect/>
                    </a:stretch>
                  </pic:blipFill>
                  <pic:spPr>
                    <a:xfrm>
                      <a:off x="0" y="0"/>
                      <a:ext cx="5469890" cy="3328670"/>
                    </a:xfrm>
                    <a:prstGeom prst="rect">
                      <a:avLst/>
                    </a:prstGeom>
                  </pic:spPr>
                </pic:pic>
              </a:graphicData>
            </a:graphic>
          </wp:inline>
        </w:drawing>
      </w:r>
    </w:p>
    <w:p w14:paraId="232E3F45">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图6 百步统计四联</w:t>
      </w:r>
    </w:p>
    <w:p w14:paraId="5F8D4EE5">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83860" cy="3176905"/>
            <wp:effectExtent l="0" t="0" r="2540"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2"/>
                    <a:stretch>
                      <a:fillRect/>
                    </a:stretch>
                  </pic:blipFill>
                  <pic:spPr>
                    <a:xfrm>
                      <a:off x="0" y="0"/>
                      <a:ext cx="5483860" cy="3176905"/>
                    </a:xfrm>
                    <a:prstGeom prst="rect">
                      <a:avLst/>
                    </a:prstGeom>
                  </pic:spPr>
                </pic:pic>
              </a:graphicData>
            </a:graphic>
          </wp:inline>
        </w:drawing>
      </w:r>
    </w:p>
    <w:p w14:paraId="086DF860">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图7 五步 log 直方图叠加</w:t>
      </w:r>
    </w:p>
    <w:p w14:paraId="5A46D6A5">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89575" cy="5165725"/>
            <wp:effectExtent l="0" t="0" r="15875" b="158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3"/>
                    <a:stretch>
                      <a:fillRect/>
                    </a:stretch>
                  </pic:blipFill>
                  <pic:spPr>
                    <a:xfrm>
                      <a:off x="0" y="0"/>
                      <a:ext cx="5489575" cy="5165725"/>
                    </a:xfrm>
                    <a:prstGeom prst="rect">
                      <a:avLst/>
                    </a:prstGeom>
                  </pic:spPr>
                </pic:pic>
              </a:graphicData>
            </a:graphic>
          </wp:inline>
        </w:drawing>
      </w:r>
    </w:p>
    <w:p w14:paraId="7761908D">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cs="Times New Roman"/>
        </w:rPr>
        <w:t>图8 空间统计汇总（Moran's I / ξ / bootstrap）</w:t>
      </w:r>
    </w:p>
    <w:p w14:paraId="07F826E4">
      <w:pPr>
        <w:pStyle w:val="183"/>
        <w:keepNext w:val="0"/>
        <w:keepLines w:val="0"/>
        <w:pageBreakBefore w:val="0"/>
        <w:widowControl w:val="0"/>
        <w:kinsoku/>
        <w:wordWrap/>
        <w:overflowPunct/>
        <w:topLinePunct w:val="0"/>
        <w:autoSpaceDE/>
        <w:autoSpaceDN/>
        <w:bidi w:val="0"/>
        <w:adjustRightInd/>
        <w:snapToGrid/>
        <w:spacing w:before="120" w:after="12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表3 核心演化指标（t=0 vs t=99）</w:t>
      </w:r>
    </w:p>
    <w:tbl>
      <w:tblPr>
        <w:tblStyle w:val="4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2213"/>
        <w:gridCol w:w="1598"/>
        <w:gridCol w:w="2833"/>
      </w:tblGrid>
      <w:tr w14:paraId="5AAD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13349E0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指标</w:t>
            </w:r>
          </w:p>
        </w:tc>
        <w:tc>
          <w:tcPr>
            <w:tcW w:w="1249" w:type="pct"/>
            <w:vAlign w:val="center"/>
          </w:tcPr>
          <w:p w14:paraId="6E45B02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t=0</w:t>
            </w:r>
          </w:p>
        </w:tc>
        <w:tc>
          <w:tcPr>
            <w:tcW w:w="902" w:type="pct"/>
            <w:vAlign w:val="center"/>
          </w:tcPr>
          <w:p w14:paraId="080FFF4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t=99</w:t>
            </w:r>
          </w:p>
        </w:tc>
        <w:tc>
          <w:tcPr>
            <w:tcW w:w="1599" w:type="pct"/>
            <w:vAlign w:val="center"/>
          </w:tcPr>
          <w:p w14:paraId="41351AEB">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变化</w:t>
            </w:r>
          </w:p>
        </w:tc>
      </w:tr>
      <w:tr w14:paraId="2578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171DF2AC">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σ</w:t>
            </w:r>
          </w:p>
        </w:tc>
        <w:tc>
          <w:tcPr>
            <w:tcW w:w="1249" w:type="pct"/>
            <w:vAlign w:val="center"/>
          </w:tcPr>
          <w:p w14:paraId="2F226C8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0.4318</w:t>
            </w:r>
          </w:p>
        </w:tc>
        <w:tc>
          <w:tcPr>
            <w:tcW w:w="902" w:type="pct"/>
            <w:vAlign w:val="center"/>
          </w:tcPr>
          <w:p w14:paraId="3681B85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0.4983</w:t>
            </w:r>
          </w:p>
        </w:tc>
        <w:tc>
          <w:tcPr>
            <w:tcW w:w="1599" w:type="pct"/>
            <w:vAlign w:val="center"/>
          </w:tcPr>
          <w:p w14:paraId="5E4EF59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+15.4%</w:t>
            </w:r>
          </w:p>
        </w:tc>
      </w:tr>
      <w:tr w14:paraId="1360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7E68FA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p99−p01</w:t>
            </w:r>
          </w:p>
        </w:tc>
        <w:tc>
          <w:tcPr>
            <w:tcW w:w="1249" w:type="pct"/>
            <w:vAlign w:val="center"/>
          </w:tcPr>
          <w:p w14:paraId="03CA8ABD">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2.098</w:t>
            </w:r>
          </w:p>
        </w:tc>
        <w:tc>
          <w:tcPr>
            <w:tcW w:w="902" w:type="pct"/>
            <w:vAlign w:val="center"/>
          </w:tcPr>
          <w:p w14:paraId="6B99060B">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2.414</w:t>
            </w:r>
          </w:p>
        </w:tc>
        <w:tc>
          <w:tcPr>
            <w:tcW w:w="1599" w:type="pct"/>
            <w:vAlign w:val="center"/>
          </w:tcPr>
          <w:p w14:paraId="63F3B8B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+15.1%</w:t>
            </w:r>
          </w:p>
        </w:tc>
      </w:tr>
      <w:tr w14:paraId="149C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A5F5B3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Moran's I</w:t>
            </w:r>
          </w:p>
        </w:tc>
        <w:tc>
          <w:tcPr>
            <w:tcW w:w="1249" w:type="pct"/>
            <w:vAlign w:val="center"/>
          </w:tcPr>
          <w:p w14:paraId="7CF48E5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0.9276</w:t>
            </w:r>
          </w:p>
        </w:tc>
        <w:tc>
          <w:tcPr>
            <w:tcW w:w="902" w:type="pct"/>
            <w:vAlign w:val="center"/>
          </w:tcPr>
          <w:p w14:paraId="3C73F00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0.9361</w:t>
            </w:r>
          </w:p>
        </w:tc>
        <w:tc>
          <w:tcPr>
            <w:tcW w:w="1599" w:type="pct"/>
            <w:vAlign w:val="center"/>
          </w:tcPr>
          <w:p w14:paraId="497F79A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Δ&lt;2σ bootstrap（附录）</w:t>
            </w:r>
          </w:p>
        </w:tc>
      </w:tr>
      <w:tr w14:paraId="66F2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A8B243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ξ(r=1)</w:t>
            </w:r>
          </w:p>
        </w:tc>
        <w:tc>
          <w:tcPr>
            <w:tcW w:w="1249" w:type="pct"/>
            <w:vAlign w:val="center"/>
          </w:tcPr>
          <w:p w14:paraId="58940D1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0.855</w:t>
            </w:r>
          </w:p>
        </w:tc>
        <w:tc>
          <w:tcPr>
            <w:tcW w:w="902" w:type="pct"/>
            <w:vAlign w:val="center"/>
          </w:tcPr>
          <w:p w14:paraId="32ABA3E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0.871</w:t>
            </w:r>
          </w:p>
        </w:tc>
        <w:tc>
          <w:tcPr>
            <w:tcW w:w="1599" w:type="pct"/>
            <w:vAlign w:val="center"/>
          </w:tcPr>
          <w:p w14:paraId="5D4995D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Δ=+0.016（描述性）</w:t>
            </w:r>
          </w:p>
        </w:tc>
      </w:tr>
      <w:tr w14:paraId="5181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31AA646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≥p99 体积</w:t>
            </w:r>
          </w:p>
        </w:tc>
        <w:tc>
          <w:tcPr>
            <w:tcW w:w="1249" w:type="pct"/>
            <w:vAlign w:val="center"/>
          </w:tcPr>
          <w:p w14:paraId="6C7EA67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1.00%</w:t>
            </w:r>
          </w:p>
        </w:tc>
        <w:tc>
          <w:tcPr>
            <w:tcW w:w="902" w:type="pct"/>
            <w:vAlign w:val="center"/>
          </w:tcPr>
          <w:p w14:paraId="796627B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1.00%</w:t>
            </w:r>
          </w:p>
        </w:tc>
        <w:tc>
          <w:tcPr>
            <w:tcW w:w="1599" w:type="pct"/>
            <w:vAlign w:val="center"/>
          </w:tcPr>
          <w:p w14:paraId="0D493A2D">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w:t>
            </w:r>
          </w:p>
        </w:tc>
      </w:tr>
    </w:tbl>
    <w:p w14:paraId="716385CD">
      <w:pPr>
        <w:pageBreakBefore w:val="0"/>
        <w:widowControl w:val="0"/>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楷体_GB2312" w:cs="Times New Roman"/>
          <w:b/>
          <w:bCs/>
        </w:rPr>
      </w:pPr>
    </w:p>
    <w:p w14:paraId="25B430D8">
      <w:pPr>
        <w:pageBreakBefore w:val="0"/>
        <w:widowControl w:val="0"/>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楷体_GB2312" w:cs="Times New Roman"/>
          <w:b/>
          <w:bCs/>
        </w:rPr>
      </w:pPr>
    </w:p>
    <w:p w14:paraId="323BEB96">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（2）可视化在宇宙学分析中的应用价值</w:t>
      </w:r>
    </w:p>
    <w:p w14:paraId="58F3F1F9">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可视化价值在于可检验联动，而非静态配图。案例 A｜时序压缩防挑帧：σ、p99−p01 增幅来自图6 百步曲线，避免两帧偶然性叙事。案例 B｜统计→空间：Top 1% 仅 1.00% 体积却约 1.2% 质量；刷选后体渲染与投影呈 filament 聚集而非散点（图9 a–c）。案例 C｜双向闭环：P88 亮脊反查 ρ∈[11.23, 12.16] 与 Top 1% 一致（图9 d），说明密度分位集合 ⊃ 脊线几何。纤维带 90–99% 与 Bottom 1% 可在同视角对比宽尾与 void 稀疏区。</w:t>
      </w:r>
    </w:p>
    <w:p w14:paraId="21C8763D">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eastAsia" w:ascii="Times New Roman" w:hAnsi="Times New Roman" w:eastAsia="楷体_GB2312" w:cs="Times New Roman"/>
          <w:lang w:eastAsia="zh-CN"/>
        </w:rPr>
        <w:drawing>
          <wp:inline distT="0" distB="0" distL="114300" distR="114300">
            <wp:extent cx="5485765" cy="4213860"/>
            <wp:effectExtent l="0" t="0" r="635" b="2540"/>
            <wp:docPr id="4" name="图片 4" descr="task4_discover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sk4_discovery_summary"/>
                    <pic:cNvPicPr>
                      <a:picLocks noChangeAspect="1"/>
                    </pic:cNvPicPr>
                  </pic:nvPicPr>
                  <pic:blipFill>
                    <a:blip r:embed="rId14"/>
                    <a:stretch>
                      <a:fillRect/>
                    </a:stretch>
                  </pic:blipFill>
                  <pic:spPr>
                    <a:xfrm>
                      <a:off x="0" y="0"/>
                      <a:ext cx="5485765" cy="4213860"/>
                    </a:xfrm>
                    <a:prstGeom prst="rect">
                      <a:avLst/>
                    </a:prstGeom>
                  </pic:spPr>
                </pic:pic>
              </a:graphicData>
            </a:graphic>
          </wp:inline>
        </w:drawing>
      </w:r>
    </w:p>
    <w:p w14:paraId="38A0C271">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图9 可视化驱动发现四联（t=99）</w:t>
      </w:r>
    </w:p>
    <w:p w14:paraId="1712684F">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74101A99">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br w:type="page"/>
      </w:r>
    </w:p>
    <w:p w14:paraId="3F848ACF">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eastAsia" w:ascii="Times New Roman" w:hAnsi="Times New Roman" w:eastAsia="黑体" w:cs="Times New Roman"/>
          <w:b/>
          <w:sz w:val="24"/>
          <w:szCs w:val="24"/>
          <w:lang w:eastAsia="zh"/>
          <w:woUserID w:val="1"/>
        </w:rPr>
      </w:pPr>
      <w:r>
        <w:rPr>
          <w:rFonts w:ascii="Times New Roman" w:hAnsi="Times New Roman" w:eastAsia="黑体" w:cs="Times New Roman"/>
          <w:b/>
          <w:sz w:val="24"/>
          <w:szCs w:val="24"/>
        </w:rPr>
        <w:t>3、宇宙密度时序统计特征分析：早期宇宙物质分布相对均匀，密度数值高度集中于均值区间。在 100 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r>
        <w:rPr>
          <w:rFonts w:hint="eastAsia" w:cs="Times New Roman"/>
          <w:b/>
          <w:sz w:val="24"/>
          <w:szCs w:val="24"/>
          <w:lang w:eastAsia="zh"/>
          <w:woUserID w:val="1"/>
        </w:rPr>
        <w:t>。</w:t>
      </w:r>
    </w:p>
    <w:p w14:paraId="12CA32D2">
      <w:pPr>
        <w:pStyle w:val="4"/>
        <w:bidi w:val="0"/>
      </w:pPr>
      <w:r>
        <w:rPr>
          <w:b/>
          <w:bCs/>
        </w:rPr>
        <w:t>3.1 视图简介</w:t>
      </w:r>
    </w:p>
    <w:p w14:paraId="4A5AA2D2">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eastAsia" w:eastAsia="楷体_GB2312" w:cs="Times New Roman"/>
          <w:lang w:eastAsia="zh"/>
          <w:woUserID w:val="1"/>
        </w:rPr>
        <w:t>本题在 log 域 [7.75, 14.52] 对 100 步密度做 log 等距分箱（默认 128 bins，每步 N=2,097,152），纵轴为概率质量×100；σ、p01/p50/p99 等同步写入预计算统计，与交互直方图同源。分布形态见任务二图6–7；void 定量见图10；分箱敏感度见下文（4）及图11–12。</w:t>
      </w:r>
    </w:p>
    <w:p w14:paraId="53802700">
      <w:pPr>
        <w:pStyle w:val="4"/>
        <w:bidi w:val="0"/>
        <w:rPr>
          <w:rFonts w:hint="default"/>
        </w:rPr>
      </w:pPr>
      <w:r>
        <w:rPr>
          <w:rFonts w:hint="default"/>
          <w:b/>
          <w:bCs/>
        </w:rPr>
        <w:t>3.2 统计分析</w:t>
      </w:r>
    </w:p>
    <w:p w14:paraId="112CC8B2">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（1）两极分化</w:t>
      </w:r>
    </w:p>
    <w:p w14:paraId="2689111C">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woUserID w:val="1"/>
        </w:rPr>
        <w:t>σ 升 15.4%，p99−p01 由 2.098→2.414；p50 由 9.4504 降至 9.2745，与 p99 缓升并存，表现为「中心下移 + 右尾抬高」（图6–7）。p999 比 t=0 约 ×1.009，偏度变化为辅证</w:t>
      </w:r>
      <w:r>
        <w:rPr>
          <w:rFonts w:hint="default" w:ascii="Times New Roman" w:hAnsi="Times New Roman" w:eastAsia="楷体_GB2312" w:cs="Times New Roman"/>
        </w:rPr>
        <w:t>。</w:t>
      </w:r>
    </w:p>
    <w:p w14:paraId="5EADA927">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（2）void 扩张</w:t>
      </w:r>
    </w:p>
    <w:p w14:paraId="75E749AB">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采用固定 t=0 低密度分位阈值 ρ≤ρ_p10(t=0)，void 体积分数由 10.00%→24.69%，p01/p10 轨迹同步下移（图10），与赛题「空洞扩大」一致；固定 t=0 阈值便于跨步可比。表4 汇总 t=0→99 核心分位与 void 指标。</w:t>
      </w:r>
    </w:p>
    <w:p w14:paraId="10D731E4">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827905" cy="5236210"/>
            <wp:effectExtent l="0" t="0" r="10795"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5"/>
                    <a:stretch>
                      <a:fillRect/>
                    </a:stretch>
                  </pic:blipFill>
                  <pic:spPr>
                    <a:xfrm>
                      <a:off x="0" y="0"/>
                      <a:ext cx="4827905" cy="5236210"/>
                    </a:xfrm>
                    <a:prstGeom prst="rect">
                      <a:avLst/>
                    </a:prstGeom>
                  </pic:spPr>
                </pic:pic>
              </a:graphicData>
            </a:graphic>
          </wp:inline>
        </w:drawing>
      </w:r>
    </w:p>
    <w:p w14:paraId="5231B760">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lang w:eastAsia="zh"/>
        </w:rPr>
      </w:pPr>
      <w:r>
        <w:rPr>
          <w:rFonts w:hint="default" w:ascii="Times New Roman" w:hAnsi="Times New Roman" w:cs="Times New Roman"/>
          <w:lang w:val="en-US" w:eastAsia="zh-CN"/>
        </w:rPr>
        <w:t>图10 void 扩张（固定 t=0 阈值）</w:t>
      </w:r>
    </w:p>
    <w:p w14:paraId="371638F7">
      <w:pPr>
        <w:pStyle w:val="183"/>
        <w:keepNext w:val="0"/>
        <w:keepLines w:val="0"/>
        <w:pageBreakBefore w:val="0"/>
        <w:widowControl w:val="0"/>
        <w:kinsoku/>
        <w:wordWrap/>
        <w:overflowPunct/>
        <w:topLinePunct w:val="0"/>
        <w:autoSpaceDE/>
        <w:autoSpaceDN/>
        <w:bidi w:val="0"/>
        <w:adjustRightInd/>
        <w:snapToGrid/>
        <w:spacing w:before="120" w:after="12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表4 直方图演化要点</w:t>
      </w:r>
    </w:p>
    <w:tbl>
      <w:tblPr>
        <w:tblStyle w:val="4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1752"/>
        <w:gridCol w:w="1813"/>
        <w:gridCol w:w="3079"/>
      </w:tblGrid>
      <w:tr w14:paraId="7357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FA84BC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量</w:t>
            </w:r>
          </w:p>
        </w:tc>
        <w:tc>
          <w:tcPr>
            <w:tcW w:w="989" w:type="pct"/>
            <w:vAlign w:val="center"/>
          </w:tcPr>
          <w:p w14:paraId="0F7E9A3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t=0</w:t>
            </w:r>
          </w:p>
        </w:tc>
        <w:tc>
          <w:tcPr>
            <w:tcW w:w="1023" w:type="pct"/>
            <w:vAlign w:val="center"/>
          </w:tcPr>
          <w:p w14:paraId="6EE0FBA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t=99</w:t>
            </w:r>
          </w:p>
        </w:tc>
        <w:tc>
          <w:tcPr>
            <w:tcW w:w="1738" w:type="pct"/>
            <w:vAlign w:val="center"/>
          </w:tcPr>
          <w:p w14:paraId="5AF886A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含义 / 备注</w:t>
            </w:r>
          </w:p>
        </w:tc>
      </w:tr>
      <w:tr w14:paraId="1BC1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69DB2A05">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σ</w:t>
            </w:r>
          </w:p>
        </w:tc>
        <w:tc>
          <w:tcPr>
            <w:tcW w:w="989" w:type="pct"/>
            <w:vAlign w:val="center"/>
          </w:tcPr>
          <w:p w14:paraId="6CEA5B9E">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0.4318</w:t>
            </w:r>
          </w:p>
        </w:tc>
        <w:tc>
          <w:tcPr>
            <w:tcW w:w="1023" w:type="pct"/>
            <w:vAlign w:val="center"/>
          </w:tcPr>
          <w:p w14:paraId="40FC6B5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0.4983</w:t>
            </w:r>
          </w:p>
        </w:tc>
        <w:tc>
          <w:tcPr>
            <w:tcW w:w="1738" w:type="pct"/>
            <w:vAlign w:val="center"/>
          </w:tcPr>
          <w:p w14:paraId="161A0F67">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涨落扩大</w:t>
            </w:r>
          </w:p>
        </w:tc>
      </w:tr>
      <w:tr w14:paraId="541A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3483AA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p50</w:t>
            </w:r>
          </w:p>
        </w:tc>
        <w:tc>
          <w:tcPr>
            <w:tcW w:w="989" w:type="pct"/>
            <w:vAlign w:val="center"/>
          </w:tcPr>
          <w:p w14:paraId="3DC761E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9.4504</w:t>
            </w:r>
          </w:p>
        </w:tc>
        <w:tc>
          <w:tcPr>
            <w:tcW w:w="1023" w:type="pct"/>
            <w:vAlign w:val="center"/>
          </w:tcPr>
          <w:p w14:paraId="1DD887A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9.2745</w:t>
            </w:r>
          </w:p>
        </w:tc>
        <w:tc>
          <w:tcPr>
            <w:tcW w:w="1738" w:type="pct"/>
            <w:vAlign w:val="center"/>
          </w:tcPr>
          <w:p w14:paraId="6204AFE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主峰略移</w:t>
            </w:r>
          </w:p>
        </w:tc>
      </w:tr>
      <w:tr w14:paraId="290D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2A39DC0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p99−p01</w:t>
            </w:r>
          </w:p>
        </w:tc>
        <w:tc>
          <w:tcPr>
            <w:tcW w:w="989" w:type="pct"/>
            <w:vAlign w:val="center"/>
          </w:tcPr>
          <w:p w14:paraId="399EDC7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2.098</w:t>
            </w:r>
          </w:p>
        </w:tc>
        <w:tc>
          <w:tcPr>
            <w:tcW w:w="1023" w:type="pct"/>
            <w:vAlign w:val="center"/>
          </w:tcPr>
          <w:p w14:paraId="3B3FFB1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2.414</w:t>
            </w:r>
          </w:p>
        </w:tc>
        <w:tc>
          <w:tcPr>
            <w:tcW w:w="1738" w:type="pct"/>
            <w:vAlign w:val="center"/>
          </w:tcPr>
          <w:p w14:paraId="63B5A7D9">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两极分化</w:t>
            </w:r>
          </w:p>
        </w:tc>
      </w:tr>
      <w:tr w14:paraId="3768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E1DA86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p999</w:t>
            </w:r>
          </w:p>
        </w:tc>
        <w:tc>
          <w:tcPr>
            <w:tcW w:w="989" w:type="pct"/>
            <w:vAlign w:val="center"/>
          </w:tcPr>
          <w:p w14:paraId="6FDB60B9">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11.4782</w:t>
            </w:r>
          </w:p>
        </w:tc>
        <w:tc>
          <w:tcPr>
            <w:tcW w:w="1023" w:type="pct"/>
            <w:vAlign w:val="center"/>
          </w:tcPr>
          <w:p w14:paraId="3E5E3895">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11.5855</w:t>
            </w:r>
          </w:p>
        </w:tc>
        <w:tc>
          <w:tcPr>
            <w:tcW w:w="1738" w:type="pct"/>
            <w:vAlign w:val="center"/>
          </w:tcPr>
          <w:p w14:paraId="5C51A697">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×1.009 (t=99/t=0)</w:t>
            </w:r>
          </w:p>
        </w:tc>
      </w:tr>
      <w:tr w14:paraId="773B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72F75E5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void (ρ≤ρ_p10(t=0))</w:t>
            </w:r>
          </w:p>
        </w:tc>
        <w:tc>
          <w:tcPr>
            <w:tcW w:w="989" w:type="pct"/>
            <w:vAlign w:val="center"/>
          </w:tcPr>
          <w:p w14:paraId="10D47A7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10.00%</w:t>
            </w:r>
          </w:p>
        </w:tc>
        <w:tc>
          <w:tcPr>
            <w:tcW w:w="1023" w:type="pct"/>
            <w:vAlign w:val="center"/>
          </w:tcPr>
          <w:p w14:paraId="7584122C">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24.69%</w:t>
            </w:r>
          </w:p>
        </w:tc>
        <w:tc>
          <w:tcPr>
            <w:tcW w:w="1738" w:type="pct"/>
            <w:vAlign w:val="center"/>
          </w:tcPr>
          <w:p w14:paraId="41BA5F3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rPr>
            </w:pPr>
            <w:r>
              <w:rPr>
                <w:rFonts w:hint="default" w:ascii="Times New Roman" w:hAnsi="Times New Roman" w:eastAsia="楷体_GB2312" w:cs="Times New Roman"/>
              </w:rPr>
              <w:t>固定 t=0 分位阈值下扩张（非 δ-b 过密度 void）</w:t>
            </w:r>
          </w:p>
        </w:tc>
      </w:tr>
    </w:tbl>
    <w:p w14:paraId="74DA1F7B">
      <w:pPr>
        <w:pageBreakBefore w:val="0"/>
        <w:widowControl w:val="0"/>
        <w:kinsoku/>
        <w:wordWrap w:val="0"/>
        <w:overflowPunct/>
        <w:topLinePunct w:val="0"/>
        <w:autoSpaceDE/>
        <w:autoSpaceDN/>
        <w:bidi w:val="0"/>
        <w:adjustRightInd/>
        <w:snapToGrid/>
        <w:ind w:left="0" w:leftChars="0" w:firstLine="482" w:firstLineChars="200"/>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（3）与形态对照</w:t>
      </w:r>
    </w:p>
    <w:p w14:paraId="45065A12">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右尾增厚对应体渲染 filament 亮脊（任务二图9）；左尾 ≤p01 体积约 1.00%、质量约 0.9%，与 void 主体对应。</w:t>
      </w:r>
    </w:p>
    <w:p w14:paraId="7B9FE1D2">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（4）分箱敏感度</w:t>
      </w:r>
    </w:p>
    <w:p w14:paraId="24D7C9B3">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128 bins 平均每箱约 16,384 样本；log 域宽动态范围与多峰结构使曲线呈锯齿。对比 64/128/256 bins：64 更平滑、256 更细但锯齿更明显，128 为默认折中。图11 为五步 log 直方图叠加对比；图12 在嵌套 log 边界下 CDF 的 L∞ 距与 KL 散度均 ≈0，说明分箱粒度不改变「两极分化 + void 扩张」结论。</w:t>
      </w:r>
    </w:p>
    <w:p w14:paraId="58F5E44B">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3540" cy="2045335"/>
            <wp:effectExtent l="0" t="0" r="3810" b="1206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6"/>
                    <a:stretch>
                      <a:fillRect/>
                    </a:stretch>
                  </pic:blipFill>
                  <pic:spPr>
                    <a:xfrm>
                      <a:off x="0" y="0"/>
                      <a:ext cx="5463540" cy="2045335"/>
                    </a:xfrm>
                    <a:prstGeom prst="rect">
                      <a:avLst/>
                    </a:prstGeom>
                  </pic:spPr>
                </pic:pic>
              </a:graphicData>
            </a:graphic>
          </wp:inline>
        </w:drawing>
      </w:r>
    </w:p>
    <w:p w14:paraId="10CD2ED2">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图11 分箱敏感度：64/128/256 bins</w:t>
      </w:r>
    </w:p>
    <w:p w14:paraId="5B1AF8BD">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453255" cy="3261360"/>
            <wp:effectExtent l="0" t="0" r="444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4453255" cy="3261360"/>
                    </a:xfrm>
                    <a:prstGeom prst="rect">
                      <a:avLst/>
                    </a:prstGeom>
                  </pic:spPr>
                </pic:pic>
              </a:graphicData>
            </a:graphic>
          </wp:inline>
        </w:drawing>
      </w:r>
    </w:p>
    <w:p w14:paraId="13F96CE1">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图12 CDF L∞ 距（嵌套 log 边界）</w:t>
      </w:r>
    </w:p>
    <w:p w14:paraId="27D2E291">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br w:type="page"/>
      </w:r>
    </w:p>
    <w:p w14:paraId="4F31DA68">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eastAsia" w:ascii="Times New Roman" w:hAnsi="Times New Roman" w:eastAsia="黑体" w:cs="Times New Roman"/>
          <w:b/>
          <w:sz w:val="24"/>
          <w:szCs w:val="24"/>
          <w:lang w:eastAsia="zh"/>
          <w:woUserID w:val="1"/>
        </w:rPr>
      </w:pPr>
      <w:r>
        <w:rPr>
          <w:rFonts w:ascii="Times New Roman" w:hAnsi="Times New Roman" w:eastAsia="黑体" w:cs="Times New Roman"/>
          <w:b/>
          <w:sz w:val="24"/>
          <w:szCs w:val="24"/>
        </w:rPr>
        <w:t>4、相空间交互式刷选可视分析：搭建联动式交互可视分析仪表盘，实现基于相空间的筛选分析功能。支持用户在统计直方图中自定义框选特定密度区间，例如筛选占比 1% 的极高密度区间。系统可实时联动三维空间视图，快速渲染匹配该密度阈值的物理单元格数据，直观验证直方图高密度尾部数据与宇宙网节点致密结构的对应关系，实现统计特征与空间物理结构的双向关联分析</w:t>
      </w:r>
      <w:r>
        <w:rPr>
          <w:rFonts w:hint="eastAsia" w:cs="Times New Roman"/>
          <w:b/>
          <w:sz w:val="24"/>
          <w:szCs w:val="24"/>
          <w:lang w:eastAsia="zh"/>
          <w:woUserID w:val="1"/>
        </w:rPr>
        <w:t>。</w:t>
      </w:r>
    </w:p>
    <w:p w14:paraId="559F4C8D">
      <w:pPr>
        <w:pStyle w:val="4"/>
        <w:bidi w:val="0"/>
        <w:rPr>
          <w:rFonts w:hint="default"/>
        </w:rPr>
      </w:pPr>
      <w:r>
        <w:rPr>
          <w:rFonts w:hint="default"/>
          <w:b/>
          <w:bCs/>
        </w:rPr>
        <w:t>4.1 视图简介</w:t>
      </w:r>
    </w:p>
    <w:p w14:paraId="3B716CE0">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woUserID w:val="1"/>
        </w:rPr>
      </w:pPr>
      <w:r>
        <w:rPr>
          <w:rFonts w:hint="default" w:ascii="Times New Roman" w:hAnsi="Times New Roman" w:eastAsia="楷体_GB2312" w:cs="Times New Roman"/>
          <w:woUserID w:val="1"/>
        </w:rPr>
        <w:t>本题交互演示以录屏专页「任务四·相空间刷选」分镜（图13）为核心：左侧为 vtk.js 体渲染，展示 t=99 宇宙网 void—filament—node 形态，刷选区间以高亮叠加；右侧栏「相空间刷选与空间验证」集中 D3 log 直方图（128 bins，纵轴 Probability mass×100）、四档密度带 XY 最大密度投影预览（Bottom 1% / 10–90% / 90–99% / Top 1%）及预设按钮。当前时间步与刷选状态经全局 store 同步，拖拽框选或点选预设均可联动体渲染高亮与投影金斑。图14 为 Top/Bottom 1% 双行静态对比；图15–16 汇总阈值对比、P88 敏感度与精确率/召回；表5 摘录 t=99 验证指标。扩展验证见附录 5.4。</w:t>
      </w:r>
    </w:p>
    <w:p w14:paraId="68F03755">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楷体_GB2312" w:cs="Times New Roman"/>
          <w:woUserID w:val="1"/>
        </w:rPr>
      </w:pPr>
      <w:r>
        <w:rPr>
          <w:rFonts w:hint="default" w:ascii="Times New Roman" w:hAnsi="Times New Roman" w:eastAsia="楷体_GB2312" w:cs="Times New Roman"/>
          <w:woUserID w:val="1"/>
        </w:rPr>
        <w:drawing>
          <wp:inline distT="0" distB="0" distL="114300" distR="114300">
            <wp:extent cx="5487035" cy="249364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8"/>
                    <a:srcRect t="14314"/>
                    <a:stretch>
                      <a:fillRect/>
                    </a:stretch>
                  </pic:blipFill>
                  <pic:spPr>
                    <a:xfrm>
                      <a:off x="0" y="0"/>
                      <a:ext cx="5487035" cy="2493645"/>
                    </a:xfrm>
                    <a:prstGeom prst="rect">
                      <a:avLst/>
                    </a:prstGeom>
                  </pic:spPr>
                </pic:pic>
              </a:graphicData>
            </a:graphic>
          </wp:inline>
        </w:drawing>
      </w:r>
    </w:p>
    <w:p w14:paraId="7AD5108A">
      <w:pPr>
        <w:pStyle w:val="184"/>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楷体_GB2312" w:cs="Times New Roman"/>
          <w:woUserID w:val="1"/>
        </w:rPr>
      </w:pPr>
      <w:r>
        <w:rPr>
          <w:rFonts w:hint="default" w:ascii="Times New Roman" w:hAnsi="Times New Roman" w:eastAsia="楷体_GB2312" w:cs="Times New Roman"/>
          <w:woUserID w:val="1"/>
        </w:rPr>
        <w:t>图13 相空间刷选与空间验证界面</w:t>
      </w:r>
    </w:p>
    <w:p w14:paraId="3E3E846C">
      <w:pPr>
        <w:pStyle w:val="4"/>
        <w:bidi w:val="0"/>
        <w:rPr>
          <w:rFonts w:hint="default"/>
        </w:rPr>
      </w:pPr>
      <w:r>
        <w:rPr>
          <w:rFonts w:hint="default"/>
          <w:b/>
          <w:bCs/>
        </w:rPr>
        <w:t>4.2 刷选分析与验证</w:t>
      </w:r>
    </w:p>
    <w:p w14:paraId="7DFF31D3">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（1）统计→空间</w:t>
      </w:r>
    </w:p>
    <w:p w14:paraId="43BB7D4B">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Top 1%（ρ≥该步 p99；t=99 为 10.7601）刷选后，投影呈丝状/节点聚集，体渲染高亮与统计区间一致（任务二图9 a–c），完成「统计→空间」。Bottom 1% 对应稀疏 void，与 Top 1% 形成对照。</w:t>
      </w:r>
    </w:p>
    <w:p w14:paraId="2AA3E665">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woUserID w:val="1"/>
        </w:rPr>
      </w:pPr>
      <w:r>
        <w:rPr>
          <w:rFonts w:hint="default" w:ascii="Times New Roman" w:hAnsi="Times New Roman" w:cs="Times New Roman"/>
          <w:woUserID w:val="1"/>
        </w:rPr>
        <w:drawing>
          <wp:inline distT="0" distB="0" distL="114300" distR="114300">
            <wp:extent cx="5472430" cy="3089275"/>
            <wp:effectExtent l="0" t="0" r="13970" b="158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
                    <a:stretch>
                      <a:fillRect/>
                    </a:stretch>
                  </pic:blipFill>
                  <pic:spPr>
                    <a:xfrm>
                      <a:off x="0" y="0"/>
                      <a:ext cx="5472430" cy="3089275"/>
                    </a:xfrm>
                    <a:prstGeom prst="rect">
                      <a:avLst/>
                    </a:prstGeom>
                  </pic:spPr>
                </pic:pic>
              </a:graphicData>
            </a:graphic>
          </wp:inline>
        </w:drawing>
      </w:r>
    </w:p>
    <w:p w14:paraId="32C7ECD3">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cs="Times New Roman"/>
          <w:woUserID w:val="1"/>
        </w:rPr>
        <w:t>图14 Top 1% / Bottom 1% 双行对比</w:t>
      </w:r>
    </w:p>
    <w:p w14:paraId="38EA7639">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（2）空间→统计</w:t>
      </w:r>
    </w:p>
    <w:p w14:paraId="37CA00E4">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反向以 P88 亮脊反查密度带 ρ∈[11.23, 12.16]，与 Top 1% 相容（任务二图9 d）。离线验证：filament 代理对 Top 1% 召回率 100.0%，刷选内误报率 72.4%，符合「分位集合 ⊃ 形态脊线」预期（表5）。</w:t>
      </w:r>
    </w:p>
    <w:p w14:paraId="4770AC1D">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79415" cy="5551170"/>
            <wp:effectExtent l="0" t="0" r="698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5479415" cy="5551170"/>
                    </a:xfrm>
                    <a:prstGeom prst="rect">
                      <a:avLst/>
                    </a:prstGeom>
                    <a:noFill/>
                    <a:ln>
                      <a:noFill/>
                    </a:ln>
                  </pic:spPr>
                </pic:pic>
              </a:graphicData>
            </a:graphic>
          </wp:inline>
        </w:drawing>
      </w:r>
    </w:p>
    <w:p w14:paraId="2090221D">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图15 刷选验证汇总：(a) 阈值对比 · (b) 早停采样 KPI</w:t>
      </w:r>
    </w:p>
    <w:p w14:paraId="6178D4B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57589D5B">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71795" cy="3185795"/>
            <wp:effectExtent l="0" t="0" r="1905"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a:stretch>
                      <a:fillRect/>
                    </a:stretch>
                  </pic:blipFill>
                  <pic:spPr>
                    <a:xfrm>
                      <a:off x="0" y="0"/>
                      <a:ext cx="5471795" cy="3185795"/>
                    </a:xfrm>
                    <a:prstGeom prst="rect">
                      <a:avLst/>
                    </a:prstGeom>
                  </pic:spPr>
                </pic:pic>
              </a:graphicData>
            </a:graphic>
          </wp:inline>
        </w:drawing>
      </w:r>
    </w:p>
    <w:p w14:paraId="763F719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图16 刷选扩展验证</w:t>
      </w:r>
    </w:p>
    <w:p w14:paraId="4C3C4F89">
      <w:pPr>
        <w:pStyle w:val="183"/>
        <w:keepNext w:val="0"/>
        <w:keepLines w:val="0"/>
        <w:pageBreakBefore w:val="0"/>
        <w:widowControl w:val="0"/>
        <w:kinsoku/>
        <w:wordWrap/>
        <w:overflowPunct/>
        <w:topLinePunct w:val="0"/>
        <w:autoSpaceDE/>
        <w:autoSpaceDN/>
        <w:bidi w:val="0"/>
        <w:adjustRightInd/>
        <w:snapToGrid/>
        <w:spacing w:before="120" w:after="12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表5 刷选验证摘要（t=99）</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5"/>
        <w:gridCol w:w="2215"/>
      </w:tblGrid>
      <w:tr w14:paraId="62D2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576B559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方向</w:t>
            </w:r>
          </w:p>
        </w:tc>
        <w:tc>
          <w:tcPr>
            <w:tcW w:w="1250" w:type="pct"/>
            <w:vAlign w:val="center"/>
          </w:tcPr>
          <w:p w14:paraId="617C0304">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操作</w:t>
            </w:r>
          </w:p>
        </w:tc>
        <w:tc>
          <w:tcPr>
            <w:tcW w:w="1250" w:type="pct"/>
            <w:vAlign w:val="center"/>
          </w:tcPr>
          <w:p w14:paraId="0C568CB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空间表现</w:t>
            </w:r>
          </w:p>
        </w:tc>
        <w:tc>
          <w:tcPr>
            <w:tcW w:w="1250" w:type="pct"/>
            <w:vAlign w:val="center"/>
          </w:tcPr>
          <w:p w14:paraId="33AB27C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密度区间</w:t>
            </w:r>
          </w:p>
        </w:tc>
      </w:tr>
      <w:tr w14:paraId="3B69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0E171DE6">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统计→空间</w:t>
            </w:r>
          </w:p>
        </w:tc>
        <w:tc>
          <w:tcPr>
            <w:tcW w:w="1250" w:type="pct"/>
            <w:vAlign w:val="center"/>
          </w:tcPr>
          <w:p w14:paraId="19E5A2BF">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Top 1%</w:t>
            </w:r>
          </w:p>
        </w:tc>
        <w:tc>
          <w:tcPr>
            <w:tcW w:w="1250" w:type="pct"/>
            <w:vAlign w:val="center"/>
          </w:tcPr>
          <w:p w14:paraId="21B210F2">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丝状/节点聚集</w:t>
            </w:r>
          </w:p>
        </w:tc>
        <w:tc>
          <w:tcPr>
            <w:tcW w:w="1250" w:type="pct"/>
            <w:vAlign w:val="center"/>
          </w:tcPr>
          <w:p w14:paraId="391412F0">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ρ≥10.76</w:t>
            </w:r>
          </w:p>
        </w:tc>
      </w:tr>
      <w:tr w14:paraId="2AF6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1C98A753">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统计→空间</w:t>
            </w:r>
          </w:p>
        </w:tc>
        <w:tc>
          <w:tcPr>
            <w:tcW w:w="1250" w:type="pct"/>
            <w:vAlign w:val="center"/>
          </w:tcPr>
          <w:p w14:paraId="6182B9FC">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Bottom 1%</w:t>
            </w:r>
          </w:p>
        </w:tc>
        <w:tc>
          <w:tcPr>
            <w:tcW w:w="1250" w:type="pct"/>
            <w:vAlign w:val="center"/>
          </w:tcPr>
          <w:p w14:paraId="2CEDCB67">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稀疏 void 区</w:t>
            </w:r>
          </w:p>
        </w:tc>
        <w:tc>
          <w:tcPr>
            <w:tcW w:w="1250" w:type="pct"/>
            <w:vAlign w:val="center"/>
          </w:tcPr>
          <w:p w14:paraId="20670981">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ρ≤8.35</w:t>
            </w:r>
          </w:p>
        </w:tc>
      </w:tr>
      <w:tr w14:paraId="17D8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4A1FEF8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空间→统计</w:t>
            </w:r>
          </w:p>
        </w:tc>
        <w:tc>
          <w:tcPr>
            <w:tcW w:w="1250" w:type="pct"/>
            <w:vAlign w:val="center"/>
          </w:tcPr>
          <w:p w14:paraId="165D11ED">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P88 亮脊</w:t>
            </w:r>
          </w:p>
        </w:tc>
        <w:tc>
          <w:tcPr>
            <w:tcW w:w="1250" w:type="pct"/>
            <w:vAlign w:val="center"/>
          </w:tcPr>
          <w:p w14:paraId="5FAE46EA">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filament 区域</w:t>
            </w:r>
          </w:p>
        </w:tc>
        <w:tc>
          <w:tcPr>
            <w:tcW w:w="1250" w:type="pct"/>
            <w:vAlign w:val="center"/>
          </w:tcPr>
          <w:p w14:paraId="00DA55D8">
            <w:pPr>
              <w:pStyle w:val="183"/>
              <w:keepNext w:val="0"/>
              <w:keepLines w:val="0"/>
              <w:pageBreakBefore w:val="0"/>
              <w:widowControl w:val="0"/>
              <w:kinsoku/>
              <w:wordWrap/>
              <w:overflowPunct/>
              <w:topLinePunct w:val="0"/>
              <w:autoSpaceDE/>
              <w:autoSpaceDN/>
              <w:bidi w:val="0"/>
              <w:adjustRightInd/>
              <w:snapToGrid/>
              <w:spacing w:before="120" w:after="0" w:line="300" w:lineRule="auto"/>
              <w:textAlignment w:val="auto"/>
              <w:rPr>
                <w:rFonts w:hint="default" w:ascii="Times New Roman" w:hAnsi="Times New Roman" w:eastAsia="楷体_GB2312" w:cs="Times New Roman"/>
                <w:lang w:val="en-US" w:eastAsia="zh"/>
              </w:rPr>
            </w:pPr>
            <w:r>
              <w:rPr>
                <w:rFonts w:hint="default" w:ascii="Times New Roman" w:hAnsi="Times New Roman" w:eastAsia="楷体_GB2312" w:cs="Times New Roman"/>
                <w:lang w:val="en-US" w:eastAsia="zh"/>
              </w:rPr>
              <w:t>ρ∈[11.23, 12.16]</w:t>
            </w:r>
          </w:p>
        </w:tc>
      </w:tr>
    </w:tbl>
    <w:p w14:paraId="6F5B3DE3">
      <w:pPr>
        <w:pageBreakBefore w:val="0"/>
        <w:widowControl w:val="0"/>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楷体_GB2312" w:cs="Times New Roman"/>
        </w:rPr>
      </w:pPr>
    </w:p>
    <w:p w14:paraId="3CB2D316">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b/>
          <w:bCs/>
        </w:rPr>
      </w:pPr>
      <w:r>
        <w:rPr>
          <w:rFonts w:hint="default" w:ascii="Times New Roman" w:hAnsi="Times New Roman" w:eastAsia="楷体_GB2312" w:cs="Times New Roman"/>
          <w:b/>
          <w:bCs/>
        </w:rPr>
        <w:t>（3）性能与局限</w:t>
      </w:r>
    </w:p>
    <w:p w14:paraId="2B800BDE">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Worker 早停约 31 ms，全网格约 250 ms（附录 5.4）。自定义拖拽 KPI 为采样估计，宽区间显示数可低于真值；体渲染/投影高亮仍按密度阈值作用于全场 128³，不受采样列表限制。由此形成「预设刷选→空间验证→离线指标→附录敏感度」闭环。</w:t>
      </w:r>
    </w:p>
    <w:p w14:paraId="1194398C">
      <w:pPr>
        <w:rPr>
          <w:rFonts w:hint="default" w:ascii="Times New Roman" w:hAnsi="Times New Roman" w:eastAsia="楷体_GB2312" w:cs="Times New Roman"/>
        </w:rPr>
      </w:pPr>
      <w:r>
        <w:rPr>
          <w:rFonts w:hint="default" w:ascii="Times New Roman" w:hAnsi="Times New Roman" w:eastAsia="楷体_GB2312" w:cs="Times New Roman"/>
        </w:rPr>
        <w:br w:type="page"/>
      </w:r>
    </w:p>
    <w:p w14:paraId="72FA101A">
      <w:pPr>
        <w:pStyle w:val="3"/>
        <w:keepNext/>
        <w:keepLines/>
        <w:pageBreakBefore w:val="0"/>
        <w:widowControl w:val="0"/>
        <w:kinsoku/>
        <w:wordWrap w:val="0"/>
        <w:overflowPunct/>
        <w:topLinePunct w:val="0"/>
        <w:autoSpaceDE/>
        <w:autoSpaceDN/>
        <w:bidi w:val="0"/>
        <w:adjustRightInd/>
        <w:snapToGrid/>
        <w:spacing w:before="240" w:after="120" w:line="300" w:lineRule="auto"/>
        <w:ind w:firstLine="0"/>
        <w:jc w:val="left"/>
        <w:textAlignment w:val="auto"/>
        <w:rPr>
          <w:rFonts w:hint="default" w:ascii="Times New Roman" w:hAnsi="Times New Roman" w:eastAsia="黑体" w:cs="Times New Roman"/>
          <w:b/>
          <w:sz w:val="24"/>
          <w:szCs w:val="24"/>
        </w:rPr>
      </w:pPr>
      <w:r>
        <w:rPr>
          <w:rFonts w:hint="default" w:ascii="Times New Roman" w:hAnsi="Times New Roman" w:eastAsia="黑体" w:cs="Times New Roman"/>
          <w:b/>
          <w:sz w:val="24"/>
          <w:szCs w:val="24"/>
        </w:rPr>
        <w:t>5、综合叙事与科学发现</w:t>
      </w:r>
    </w:p>
    <w:p w14:paraId="3CD673C1">
      <w:pPr>
        <w:pStyle w:val="4"/>
        <w:bidi w:val="0"/>
        <w:rPr>
          <w:rFonts w:hint="default"/>
          <w:b/>
          <w:bCs/>
        </w:rPr>
      </w:pPr>
      <w:r>
        <w:rPr>
          <w:rFonts w:hint="default"/>
          <w:b/>
          <w:bCs/>
        </w:rPr>
        <w:t>5.1 宇宙网演化的共性机制</w:t>
      </w:r>
    </w:p>
    <w:p w14:paraId="7CC89722">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Nyx 128³ 子体积的 100 步演化呈现出可重复的「统计—空间」规律：（1）引力团块化——σ 上升 15.4%、分位跨度扩大15.1%；（2）分布两极化——void扩大与高密度尾增厚并存；（3）少数致密承载结构——≥p99 体素体积仅1.00%，却贡献约1.2%的质量份额；（4）统计与空间可双向验证——Top 1%刷选呈丝状，非随机散点。体渲染提供全局形态直觉，百步直方图量化分布漂移，相空间刷选将高密度尾与空间节点一一对应，形成「假设—统计—空间—结论」的完整可视分析链路。</w:t>
      </w:r>
    </w:p>
    <w:p w14:paraId="44D3217F">
      <w:pPr>
        <w:pStyle w:val="4"/>
        <w:bidi w:val="0"/>
        <w:rPr>
          <w:rFonts w:hint="default"/>
          <w:b/>
          <w:bCs/>
        </w:rPr>
      </w:pPr>
      <w:r>
        <w:rPr>
          <w:rFonts w:hint="default"/>
          <w:b/>
          <w:bCs/>
        </w:rPr>
        <w:t>5.2 关键发现与质量占比</w:t>
      </w:r>
    </w:p>
    <w:p w14:paraId="7F83467C">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发现区四卡（录屏演示页底部）将上述结论压缩为可展示的叙事单元：01 宇宙网形成（五帧体渲染）、02 密度分布两极化（metrics 曲线）、03 少数体积承载质量（≥p99 体积 1.00%、质量 1.2%）、04 统计—空间验证（Top/Bottom 1% 投影对照）。图1</w:t>
      </w:r>
      <w:r>
        <w:rPr>
          <w:rFonts w:hint="eastAsia" w:eastAsia="楷体_GB2312" w:cs="Times New Roman"/>
          <w:lang w:val="en-US" w:eastAsia="zh-CN"/>
        </w:rPr>
        <w:t>7</w:t>
      </w:r>
      <w:r>
        <w:rPr>
          <w:rFonts w:hint="default" w:ascii="Times New Roman" w:hAnsi="Times New Roman" w:eastAsia="楷体_GB2312" w:cs="Times New Roman"/>
        </w:rPr>
        <w:t>以 t=99 高密度尾与低密度尾的环形图对比体积占比、并在中心标注质量占比，进一步说明：极少数高密度体素承载可见宇宙网结构，而 ≤p01 低密度尾占体积 1.00%、质量约 0.9%，对应 IGM 空洞主体。</w:t>
      </w:r>
    </w:p>
    <w:p w14:paraId="4FE961C9">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9255" cy="1864360"/>
            <wp:effectExtent l="0" t="0" r="17145"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2"/>
                    <a:stretch>
                      <a:fillRect/>
                    </a:stretch>
                  </pic:blipFill>
                  <pic:spPr>
                    <a:xfrm>
                      <a:off x="0" y="0"/>
                      <a:ext cx="5469255" cy="1864360"/>
                    </a:xfrm>
                    <a:prstGeom prst="rect">
                      <a:avLst/>
                    </a:prstGeom>
                  </pic:spPr>
                </pic:pic>
              </a:graphicData>
            </a:graphic>
          </wp:inline>
        </w:drawing>
      </w:r>
    </w:p>
    <w:p w14:paraId="0CCFAC12">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图17 t=99 高/低密度尾：体积—质量对比</w:t>
      </w:r>
    </w:p>
    <w:p w14:paraId="4E8AE7D9">
      <w:pPr>
        <w:pStyle w:val="4"/>
        <w:bidi w:val="0"/>
        <w:rPr>
          <w:rFonts w:hint="default"/>
          <w:b/>
          <w:bCs/>
        </w:rPr>
      </w:pPr>
      <w:r>
        <w:rPr>
          <w:rFonts w:hint="default"/>
          <w:b/>
          <w:bCs/>
        </w:rPr>
        <w:t>5.3 数据范围与术语边界（AMR）</w:t>
      </w:r>
    </w:p>
    <w:p w14:paraId="27CD1FE5">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完整 Nyx 程序在上游采用 AMReX 块结构 AMR（在星系、晕与致密纤维附近自动加密网格），但与本答卷所用数据不是同一层级。本赛题数据集已预先抽取为均匀 128³重子气体子体积（100 时间步 .dat），数据包来源为赛题官方发布的Nyx/目录（非本队自行降采样）；不包含层级网格、细化级别（level）或父子块（fab）元数据，因此 NyxViz 未实现 AMR 多分辨率可视化；体渲染、投影与刷选均按单一均匀体素网格处理，分析范围限定为该子体积内的 IGM 密度演化与宇宙网形态，与 vtk.js 管线及浏览器内存预算一致。若扩展至完整 Nyx 输出，建议路径为：以yt读取 AMR 数据集做层级统计与切片导出，或以ParaView的 AMR 过滤器做全局体绘制，再将感兴趣子域降采样为均匀网格供 Web 端联动展示；亦可探索按细化级别分色叠加、局部LOD体渲染等（列为后续工作）。</w:t>
      </w:r>
    </w:p>
    <w:p w14:paraId="3A2EC1DB">
      <w:pPr>
        <w:pStyle w:val="4"/>
        <w:bidi w:val="0"/>
        <w:rPr>
          <w:rFonts w:hint="default"/>
          <w:b/>
          <w:bCs/>
        </w:rPr>
      </w:pPr>
      <w:r>
        <w:rPr>
          <w:rFonts w:hint="default"/>
          <w:b/>
          <w:bCs/>
        </w:rPr>
        <w:t>5.4 Lyα 背景与密度 PDF 代理（非观测红移）</w:t>
      </w:r>
    </w:p>
    <w:p w14:paraId="4DF3257A">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天文学背景：Nyx 类模拟常用于研究早期宇宙 IGM 及 Lyα 森林——沿类星体视线，IGM 中性氢对背景 Lyα 连续谱产生吸收线系，线深度与间距反映沿路径的密度对比度。需要与本作品明确区分的是两类「z」：（1）宇宙学红移 z——观测量，赛题 .dat 未提供，本系统未将 t=0…99 映射为 redshift；（2）盒子空间 z 轴——模拟网格坐标 z=0…127，下文 Lyα 相关实验沿该空间方向取视线。本作品未合成辐射传输 Lyα 谱线。作为在现有数据内的定性对照，采用沿空间 +z 轴的列平均密度 PDF 代理（表6、图18；表7、图19 为三向敏感性）；结果均为模拟内部、无光学深度的统计对照，不作观测森林定量拟合。</w:t>
      </w:r>
    </w:p>
    <w:p w14:paraId="44894E52">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表6 Lyα 通量代理方法</w:t>
      </w:r>
    </w:p>
    <w:tbl>
      <w:tblPr>
        <w:tblStyle w:val="4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6"/>
        <w:gridCol w:w="6531"/>
      </w:tblGrid>
      <w:tr w14:paraId="00C1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0E29502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项目</w:t>
            </w:r>
          </w:p>
        </w:tc>
        <w:tc>
          <w:tcPr>
            <w:tcW w:w="3686" w:type="pct"/>
            <w:vAlign w:val="center"/>
          </w:tcPr>
          <w:p w14:paraId="15A7E44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设定</w:t>
            </w:r>
          </w:p>
        </w:tc>
      </w:tr>
      <w:tr w14:paraId="4E64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63AD1DE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视线方向</w:t>
            </w:r>
          </w:p>
        </w:tc>
        <w:tc>
          <w:tcPr>
            <w:tcW w:w="3686" w:type="pct"/>
            <w:vAlign w:val="center"/>
          </w:tcPr>
          <w:p w14:paraId="59B4461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+z (parallel to box z-axis)</w:t>
            </w:r>
          </w:p>
        </w:tc>
      </w:tr>
      <w:tr w14:paraId="6D9A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29C7DF0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是否各向同性</w:t>
            </w:r>
          </w:p>
        </w:tc>
        <w:tc>
          <w:tcPr>
            <w:tcW w:w="3686" w:type="pct"/>
            <w:vAlign w:val="center"/>
          </w:tcPr>
          <w:p w14:paraId="1488091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否 — 仅 +z 平行于盒子 z 轴，非随机立体角</w:t>
            </w:r>
          </w:p>
        </w:tc>
      </w:tr>
      <w:tr w14:paraId="0180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054DC7F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起点采样</w:t>
            </w:r>
          </w:p>
        </w:tc>
        <w:tc>
          <w:tcPr>
            <w:tcW w:w="3686" w:type="pct"/>
            <w:vAlign w:val="center"/>
          </w:tcPr>
          <w:p w14:paraId="0D94A33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uniform random integer (x, y) on the 128×128 xy-face</w:t>
            </w:r>
          </w:p>
        </w:tc>
      </w:tr>
      <w:tr w14:paraId="21F3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2BBF0437">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积分范围</w:t>
            </w:r>
          </w:p>
        </w:tc>
        <w:tc>
          <w:tcPr>
            <w:tcW w:w="3686" w:type="pct"/>
            <w:vAlign w:val="center"/>
          </w:tcPr>
          <w:p w14:paraId="484D846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full column z=0..127, arithmetic mean of ρ (not radiative τ)</w:t>
            </w:r>
          </w:p>
        </w:tc>
      </w:tr>
      <w:tr w14:paraId="6567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136D873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是否穿过全体素域</w:t>
            </w:r>
          </w:p>
        </w:tc>
        <w:tc>
          <w:tcPr>
            <w:tcW w:w="3686" w:type="pct"/>
            <w:vAlign w:val="center"/>
          </w:tcPr>
          <w:p w14:paraId="06F696F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是 — 每条线贯穿 128 个体素层</w:t>
            </w:r>
          </w:p>
        </w:tc>
      </w:tr>
      <w:tr w14:paraId="6F64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6E4AF85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红移/时间</w:t>
            </w:r>
          </w:p>
        </w:tc>
        <w:tc>
          <w:tcPr>
            <w:tcW w:w="3686" w:type="pct"/>
            <w:vAlign w:val="center"/>
          </w:tcPr>
          <w:p w14:paraId="39EF611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none — t is simulation timestep index (0…99); 赛题未提供 cosmological redshift z or lookback time</w:t>
            </w:r>
          </w:p>
        </w:tc>
      </w:tr>
      <w:tr w14:paraId="38E3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5DA31D5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跨步对比</w:t>
            </w:r>
          </w:p>
        </w:tc>
        <w:tc>
          <w:tcPr>
            <w:tcW w:w="3686" w:type="pct"/>
            <w:vAlign w:val="center"/>
          </w:tcPr>
          <w:p w14:paraId="02C8587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same geometry at t=0 and t=99; compares contrast evolution only</w:t>
            </w:r>
          </w:p>
        </w:tc>
      </w:tr>
      <w:tr w14:paraId="7AE8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05CDFD7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bookmarkStart w:id="0" w:name="_GoBack" w:colFirst="0" w:colLast="1"/>
            <w:r>
              <w:rPr>
                <w:rFonts w:hint="default" w:ascii="Times New Roman" w:hAnsi="Times New Roman" w:cs="Times New Roman"/>
              </w:rPr>
              <w:t>随机种子</w:t>
            </w:r>
          </w:p>
        </w:tc>
        <w:tc>
          <w:tcPr>
            <w:tcW w:w="3686" w:type="pct"/>
            <w:vAlign w:val="center"/>
          </w:tcPr>
          <w:p w14:paraId="7684009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7</w:t>
            </w:r>
          </w:p>
        </w:tc>
      </w:tr>
      <w:tr w14:paraId="2255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pct"/>
            <w:vAlign w:val="center"/>
          </w:tcPr>
          <w:p w14:paraId="0A835DF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复现</w:t>
            </w:r>
          </w:p>
        </w:tc>
        <w:tc>
          <w:tcPr>
            <w:tcW w:w="3686" w:type="pct"/>
            <w:vAlign w:val="center"/>
          </w:tcPr>
          <w:p w14:paraId="732AF0B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tools/python/validation_suite.py :: lyalpha_flux_pdf_proxy</w:t>
            </w:r>
          </w:p>
        </w:tc>
      </w:tr>
      <w:bookmarkEnd w:id="0"/>
    </w:tbl>
    <w:p w14:paraId="54C9869D">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2C5EEDA3">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按表6 的 +z 空间视线设定（2000 条随机起点、沿盒子 z 轴贯穿网格 0…127 做列平均 ρ，seed=7），对 t=0 与 t=99 分别统计列密度分布，结果见图18：t=0 时 σ=0.1311、p50=9.4767；t=99 时 σ=0.1557、p50=9.3063。σ 升高、p50 略降，表现为 PDF 尾部展宽，与百步密度对比度增强（任务二 σ +15.4%）在定性上一致。需强调：此为无光学深度的密度 PDF 代理，非 Lyα 吸收谱；定量观测对比不在本答卷范围内（见 §5.4）。</w:t>
      </w:r>
    </w:p>
    <w:p w14:paraId="30DD6464">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在 t=99 对 +x、+y、+z 三向各抽取 2000 条视线（与表6 同 seed=7），比较列平均密度 PDF 的方向差异。各向 σ 采用视线级 bootstrap：对 2000 条列均值有放回重采样 40 次，95% 置信区间为 40 次 σ 的百分位数（2.5%, 97.5%），非 BCa/正态近似。L1 距定义为 32-bin 归一化 PDF（density=True，和为 1）下 Σ|p_dir−p_+z|，无量纲。复现路径：validation_extended.json→lyalphaDirectionSensitivity；图19 为三向 PDF 叠加示意。</w:t>
      </w:r>
    </w:p>
    <w:p w14:paraId="675BAEA7">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表7 Lyα 代理方向敏感性</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5"/>
        <w:gridCol w:w="2215"/>
      </w:tblGrid>
      <w:tr w14:paraId="6CE0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41170AA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视线</w:t>
            </w:r>
          </w:p>
        </w:tc>
        <w:tc>
          <w:tcPr>
            <w:tcW w:w="1250" w:type="pct"/>
            <w:vAlign w:val="center"/>
          </w:tcPr>
          <w:p w14:paraId="1B1B0FF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列密度 σ</w:t>
            </w:r>
          </w:p>
        </w:tc>
        <w:tc>
          <w:tcPr>
            <w:tcW w:w="1250" w:type="pct"/>
            <w:vAlign w:val="center"/>
          </w:tcPr>
          <w:p w14:paraId="24B323D9">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σ 95% CI</w:t>
            </w:r>
          </w:p>
        </w:tc>
        <w:tc>
          <w:tcPr>
            <w:tcW w:w="1250" w:type="pct"/>
            <w:vAlign w:val="center"/>
          </w:tcPr>
          <w:p w14:paraId="74FA46C6">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与 +z PDF L1 距（归一化，无量纲）</w:t>
            </w:r>
          </w:p>
        </w:tc>
      </w:tr>
      <w:tr w14:paraId="6463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3158E0A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+x</w:t>
            </w:r>
          </w:p>
        </w:tc>
        <w:tc>
          <w:tcPr>
            <w:tcW w:w="1250" w:type="pct"/>
            <w:vAlign w:val="center"/>
          </w:tcPr>
          <w:p w14:paraId="5F3FE89A">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0.1750</w:t>
            </w:r>
          </w:p>
        </w:tc>
        <w:tc>
          <w:tcPr>
            <w:tcW w:w="1250" w:type="pct"/>
            <w:vAlign w:val="center"/>
          </w:tcPr>
          <w:p w14:paraId="2DC0550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[0.1683, 0.1836]</w:t>
            </w:r>
          </w:p>
        </w:tc>
        <w:tc>
          <w:tcPr>
            <w:tcW w:w="1250" w:type="pct"/>
            <w:vAlign w:val="center"/>
          </w:tcPr>
          <w:p w14:paraId="17FE4D2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0.849</w:t>
            </w:r>
          </w:p>
        </w:tc>
      </w:tr>
      <w:tr w14:paraId="6272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1FD6D15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+y</w:t>
            </w:r>
          </w:p>
        </w:tc>
        <w:tc>
          <w:tcPr>
            <w:tcW w:w="1250" w:type="pct"/>
            <w:vAlign w:val="center"/>
          </w:tcPr>
          <w:p w14:paraId="6356FDB6">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0.1731</w:t>
            </w:r>
          </w:p>
        </w:tc>
        <w:tc>
          <w:tcPr>
            <w:tcW w:w="1250" w:type="pct"/>
            <w:vAlign w:val="center"/>
          </w:tcPr>
          <w:p w14:paraId="12B03E8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[0.1660, 0.1812]</w:t>
            </w:r>
          </w:p>
        </w:tc>
        <w:tc>
          <w:tcPr>
            <w:tcW w:w="1250" w:type="pct"/>
            <w:vAlign w:val="center"/>
          </w:tcPr>
          <w:p w14:paraId="00CD6A2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0.486</w:t>
            </w:r>
          </w:p>
        </w:tc>
      </w:tr>
      <w:tr w14:paraId="673D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7786B78A">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+z（基准）</w:t>
            </w:r>
          </w:p>
        </w:tc>
        <w:tc>
          <w:tcPr>
            <w:tcW w:w="1250" w:type="pct"/>
            <w:vAlign w:val="center"/>
          </w:tcPr>
          <w:p w14:paraId="7E08011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0.1557</w:t>
            </w:r>
          </w:p>
        </w:tc>
        <w:tc>
          <w:tcPr>
            <w:tcW w:w="1250" w:type="pct"/>
            <w:vAlign w:val="center"/>
          </w:tcPr>
          <w:p w14:paraId="4951D42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[0.1509, 0.1599]</w:t>
            </w:r>
          </w:p>
        </w:tc>
        <w:tc>
          <w:tcPr>
            <w:tcW w:w="1250" w:type="pct"/>
            <w:vAlign w:val="center"/>
          </w:tcPr>
          <w:p w14:paraId="68DEFD52">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w:t>
            </w:r>
          </w:p>
        </w:tc>
      </w:tr>
      <w:tr w14:paraId="7647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305412C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汇总</w:t>
            </w:r>
          </w:p>
        </w:tc>
        <w:tc>
          <w:tcPr>
            <w:tcW w:w="1250" w:type="pct"/>
            <w:vAlign w:val="center"/>
          </w:tcPr>
          <w:p w14:paraId="65D7452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σ 极差 12.43%</w:t>
            </w:r>
          </w:p>
        </w:tc>
        <w:tc>
          <w:tcPr>
            <w:tcW w:w="1250" w:type="pct"/>
            <w:vAlign w:val="center"/>
          </w:tcPr>
          <w:p w14:paraId="1BB0482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+x/+y CI 与 +z 重叠：False / False</w:t>
            </w:r>
          </w:p>
        </w:tc>
        <w:tc>
          <w:tcPr>
            <w:tcW w:w="1250" w:type="pct"/>
            <w:vAlign w:val="center"/>
          </w:tcPr>
          <w:p w14:paraId="4A9E16A9">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max L1=0.849</w:t>
            </w:r>
          </w:p>
        </w:tc>
      </w:tr>
    </w:tbl>
    <w:p w14:paraId="55D47FD0">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4982A699">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三向 σ 相对极差 12.43%。+x CI [0.1683, 0.1836] 与 +z CI [0.1509, 0.1599] 不重叠，+y 同理——说明 +x/+y 列密度 σ 显著高于 +z（盒子坐标下各向异性），而非「未超过重采样噪声」。仍非辐射传输合成谱，不作观测森林定量拟合。</w:t>
      </w:r>
    </w:p>
    <w:p w14:paraId="5A91315A">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7985" cy="2110105"/>
            <wp:effectExtent l="0" t="0" r="18415"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3"/>
                    <a:stretch>
                      <a:fillRect/>
                    </a:stretch>
                  </pic:blipFill>
                  <pic:spPr>
                    <a:xfrm>
                      <a:off x="0" y="0"/>
                      <a:ext cx="5467985" cy="2110105"/>
                    </a:xfrm>
                    <a:prstGeom prst="rect">
                      <a:avLst/>
                    </a:prstGeom>
                  </pic:spPr>
                </pic:pic>
              </a:graphicData>
            </a:graphic>
          </wp:inline>
        </w:drawing>
      </w:r>
    </w:p>
    <w:p w14:paraId="50558528">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图18 Lyα 通量 PDF 代理（t=0 vs t=99）</w:t>
      </w:r>
    </w:p>
    <w:p w14:paraId="34C79364">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67985" cy="2110105"/>
            <wp:effectExtent l="0" t="0" r="18415"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5467985" cy="2110105"/>
                    </a:xfrm>
                    <a:prstGeom prst="rect">
                      <a:avLst/>
                    </a:prstGeom>
                  </pic:spPr>
                </pic:pic>
              </a:graphicData>
            </a:graphic>
          </wp:inline>
        </w:drawing>
      </w:r>
    </w:p>
    <w:p w14:paraId="56502BF9">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图19 Lyα 方向敏感性（t=99）</w:t>
      </w:r>
    </w:p>
    <w:p w14:paraId="4C67466D">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体渲染中的 void 与 filament 可直观理解为沿视线积分时产生「浅/深吸收」的空间来源；百步 σ(t) 与分位跨度曲线则量化对比度随模拟时间步增强的趋势。本 PDF 代理仅说明「密度对比度演化与森林统计在定性上相容」；辐射传输与 cosmological redshift 映射列为后续扩展，当前系统未实现。</w:t>
      </w:r>
    </w:p>
    <w:p w14:paraId="3D7A7525">
      <w:pPr>
        <w:pStyle w:val="4"/>
        <w:bidi w:val="0"/>
        <w:rPr>
          <w:rFonts w:hint="default"/>
          <w:b/>
          <w:bCs/>
        </w:rPr>
      </w:pPr>
      <w:r>
        <w:rPr>
          <w:rFonts w:hint="default"/>
          <w:b/>
          <w:bCs/>
        </w:rPr>
        <w:t>5.5 暗物质场未纳入的原因与影响</w:t>
      </w:r>
    </w:p>
    <w:p w14:paraId="14C08348">
      <w:pPr>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rPr>
      </w:pPr>
      <w:r>
        <w:rPr>
          <w:rFonts w:hint="default" w:ascii="Times New Roman" w:hAnsi="Times New Roman" w:eastAsia="楷体_GB2312" w:cs="Times New Roman"/>
        </w:rPr>
        <w:t>赛题 II 指出 Nyx 同时演化暗物质 N 体与重子气体；引力势由暗物质主导，气体则通过流体方程响应。本赛题交付的 100 个 .dat 文件均为128³ 重子气体密度（timeline.json 中 dataScope.includedFields 仅含 baryon_gas_density），未包含暗物质粒子坐标、暗物质密度网格或二者配对元数据，因此 NyxViz无法在答卷内直接对比 「DM 团块 vs 气体 filament」的共演化差异。这一限制的影响在于：我们观察到的气体宇宙网分化，在物理上由 DM 势阱驱动，但本作品的证据链限定在重子流体可观测代理（密度场统计、气体刷选、Lyα 敏感对比度）层面。若扩展数据集，建议以yt同时加载 DM 与 gas 组件，比较二者 power spectrum / 两点相关差异，或在 ParaView 中叠加 DM 等值面与气体质心流线——可作为后续与赛题官方数据对齐的增强方向。</w:t>
      </w:r>
    </w:p>
    <w:p w14:paraId="6DEAC12E">
      <w:pPr>
        <w:pStyle w:val="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附录</w:t>
      </w:r>
    </w:p>
    <w:p w14:paraId="39BC813C">
      <w:pPr>
        <w:pStyle w:val="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 分析流程</w:t>
      </w:r>
    </w:p>
    <w:p w14:paraId="3701F9BF">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本作品聚焦 Nyx 气体密度时空演化分析，提出从粗粒度到细粒度的可视分析方案：用户先通过体渲染概览全局 void—filament—node 布局，再借助百步 log 直方图与 σ/分位跨度曲线量化分布漂移，最后以 Top/Bottom 1% 刷选将统计尾区与空间结构一一对应。七步流程图（Nyx 数据→预计算→体渲染→统计→刷选→验证→结论）如下。</w:t>
      </w:r>
    </w:p>
    <w:p w14:paraId="00C7B5B7">
      <w:pPr>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447665" cy="1177290"/>
            <wp:effectExtent l="0" t="0" r="635"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5447665" cy="1177290"/>
                    </a:xfrm>
                    <a:prstGeom prst="rect">
                      <a:avLst/>
                    </a:prstGeom>
                  </pic:spPr>
                </pic:pic>
              </a:graphicData>
            </a:graphic>
          </wp:inline>
        </w:drawing>
      </w:r>
    </w:p>
    <w:p w14:paraId="7933B10C">
      <w:pPr>
        <w:pStyle w:val="18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图20 系统分析流程</w:t>
      </w:r>
    </w:p>
    <w:p w14:paraId="491CC052">
      <w:pPr>
        <w:pStyle w:val="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2 可视设计</w:t>
      </w:r>
    </w:p>
    <w:p w14:paraId="658F031D">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2.1 体渲染视图</w:t>
      </w:r>
    </w:p>
    <w:p w14:paraId="1011288C">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（1）视图设计：基于vtk.jsFullScreenRenderWindow 嵌入 React 容器，128³ 体素光线投射；cosmic 传递函数见正文任务一图4与task1_render_params.png；交互页默认getGlobalTfDomain（百步 p01–p99 包络）+ 固定tfParams，拖动时间轴时 α(ρ) 映射不变；capture 条带另用 Evolution Profile，逐项对照见附录 5.1。presentation 采样 sampleDistance=0.65，GPU 三线性纹理插值 + Phong（Ka/Kd/Ks=0.12/0.75/0.4）。左下角OrientationMarkerWidget显示 XYZ 正方向三轴（X 红 / Y 绿 / Z 蓝）。（2）交互设计：鼠标拖拽旋转、滚轮缩放；时间轴切换时间步；刷选命中体素通过传递函数二次高亮。（3）可复现参数：docs/figures/render_spec.json 导出相机、光源与 TF 控制点。</w:t>
      </w:r>
    </w:p>
    <w:p w14:paraId="03CA5081">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2.2 log 直方图与时序指标</w:t>
      </w:r>
    </w:p>
    <w:p w14:paraId="5182FA21">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（1）视图设计：D3.js SVG 直方图，128 bin 与离线预计算一致；迷你趋势图展示σ(t)、p99−p01(t)、Top 1%尾区变化。（2）交互设计：拖拽 brush 框选密度区间；点击预设按钮（Top 1%/纤维/Bottom 1%）；框选结果同步至体渲染与投影视图。</w:t>
      </w:r>
    </w:p>
    <w:p w14:paraId="05ACB259">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2.3 刷选与密度投影</w:t>
      </w:r>
    </w:p>
    <w:p w14:paraId="1690EBCB">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（1）视图设计：Web Worker 扫描刷选体素索引；Canvas 2D 最大密度投影与体渲染同色标；金色 overlay 标记刷选或filament亮脊。（2）交互设计：刷选区间实时更新高亮；清除按钮恢复默认传递函数；读数栏显示ρ区间与选中体积占比。</w:t>
      </w:r>
    </w:p>
    <w:p w14:paraId="5CA45D67">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2.4 录屏页布局</w:t>
      </w:r>
    </w:p>
    <w:p w14:paraId="43834E06">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（1）视图设计：1920×1080 三栏布局——左：直方图 + KPI + 迷你趋势；中：体渲染画布（vd-vtk-canvas-wrap）+ 底栏全宽 log 密度色标；右：刷选直方图 + 四格空间投影预览 + 预设按钮；底部发现区四卡 + 页脚叙事。体渲染区左下角显示 XYZ 方向 gizmo（位于色条上方），cameraZoom≈1.1略放大主结构。（2）交互设计：与/app.html共用 store；?record=1隐藏导航链并弱化背景星尘，便于 OBS 录屏。</w:t>
      </w:r>
    </w:p>
    <w:p w14:paraId="5A9C705B">
      <w:pPr>
        <w:pStyle w:val="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3 数据预计算与配图</w:t>
      </w:r>
    </w:p>
    <w:p w14:paraId="27FD158E">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3.1 timeline.json 字段</w:t>
      </w:r>
    </w:p>
    <w:p w14:paraId="23E77FA8">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eastAsia="楷体_GB2312" w:cs="Times New Roman"/>
          <w:lang w:val="en-US" w:eastAsia="zh-CN"/>
        </w:rPr>
      </w:pPr>
      <w:r>
        <w:rPr>
          <w:rFonts w:hint="default" w:ascii="Times New Roman" w:hAnsi="Times New Roman" w:cs="Times New Roman"/>
        </w:rPr>
        <w:t>表8 timeline.json 字段</w:t>
      </w:r>
      <w:r>
        <w:rPr>
          <w:rFonts w:hint="default" w:ascii="Times New Roman" w:hAnsi="Times New Roman" w:cs="Times New Roman"/>
          <w:lang w:val="en-US" w:eastAsia="zh-CN"/>
        </w:rPr>
        <w:t>说明</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8"/>
        <w:gridCol w:w="5524"/>
      </w:tblGrid>
      <w:tr w14:paraId="5825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1CA2E3D2">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字段</w:t>
            </w:r>
          </w:p>
        </w:tc>
        <w:tc>
          <w:tcPr>
            <w:tcW w:w="3116" w:type="pct"/>
            <w:vAlign w:val="center"/>
          </w:tcPr>
          <w:p w14:paraId="0E9DE2B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含义</w:t>
            </w:r>
          </w:p>
        </w:tc>
      </w:tr>
      <w:tr w14:paraId="54BC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087A325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mean / std</w:t>
            </w:r>
          </w:p>
        </w:tc>
        <w:tc>
          <w:tcPr>
            <w:tcW w:w="3116" w:type="pct"/>
            <w:vAlign w:val="center"/>
          </w:tcPr>
          <w:p w14:paraId="7237AC5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全域均值与标准差</w:t>
            </w:r>
          </w:p>
        </w:tc>
      </w:tr>
      <w:tr w14:paraId="2272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1A4E1DC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p01 / p50 / p99</w:t>
            </w:r>
          </w:p>
        </w:tc>
        <w:tc>
          <w:tcPr>
            <w:tcW w:w="3116" w:type="pct"/>
            <w:vAlign w:val="center"/>
          </w:tcPr>
          <w:p w14:paraId="356371F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分位数</w:t>
            </w:r>
          </w:p>
        </w:tc>
      </w:tr>
      <w:tr w14:paraId="0216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139847D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skewness</w:t>
            </w:r>
          </w:p>
        </w:tc>
        <w:tc>
          <w:tcPr>
            <w:tcW w:w="3116" w:type="pct"/>
            <w:vAlign w:val="center"/>
          </w:tcPr>
          <w:p w14:paraId="22373A0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偏度（三阶矩）</w:t>
            </w:r>
          </w:p>
        </w:tc>
      </w:tr>
      <w:tr w14:paraId="1C30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59094D7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excessKurtosis</w:t>
            </w:r>
          </w:p>
        </w:tc>
        <w:tc>
          <w:tcPr>
            <w:tcW w:w="3116" w:type="pct"/>
            <w:vAlign w:val="center"/>
          </w:tcPr>
          <w:p w14:paraId="6D7887D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超额峰度 κ−3</w:t>
            </w:r>
          </w:p>
        </w:tc>
      </w:tr>
      <w:tr w14:paraId="51AA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36450FB9">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moransI</w:t>
            </w:r>
          </w:p>
        </w:tc>
        <w:tc>
          <w:tcPr>
            <w:tcW w:w="3116" w:type="pct"/>
            <w:vAlign w:val="center"/>
          </w:tcPr>
          <w:p w14:paraId="229E3D4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Moran's I 空间自相关（6 邻域 3D）</w:t>
            </w:r>
          </w:p>
        </w:tc>
      </w:tr>
      <w:tr w14:paraId="444A9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5414478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xiR1 / xiR10</w:t>
            </w:r>
          </w:p>
        </w:tc>
        <w:tc>
          <w:tcPr>
            <w:tcW w:w="3116" w:type="pct"/>
            <w:vAlign w:val="center"/>
          </w:tcPr>
          <w:p w14:paraId="0459631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两点相关 ξ 在 r=1、10 像素（XY 投影）</w:t>
            </w:r>
          </w:p>
        </w:tc>
      </w:tr>
      <w:tr w14:paraId="61B9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0E249D4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xiHalfLength</w:t>
            </w:r>
          </w:p>
        </w:tc>
        <w:tc>
          <w:tcPr>
            <w:tcW w:w="3116" w:type="pct"/>
            <w:vAlign w:val="center"/>
          </w:tcPr>
          <w:p w14:paraId="6F9DA97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ξ(r)&lt;0.5 半长（本数据集中两时刻均≈4px）</w:t>
            </w:r>
          </w:p>
        </w:tc>
      </w:tr>
      <w:tr w14:paraId="2367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422671F2">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fractalDimP90</w:t>
            </w:r>
          </w:p>
        </w:tc>
        <w:tc>
          <w:tcPr>
            <w:tcW w:w="3116" w:type="pct"/>
            <w:vAlign w:val="center"/>
          </w:tcPr>
          <w:p w14:paraId="374358D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P90 亮脊盒计数分形维数</w:t>
            </w:r>
          </w:p>
        </w:tc>
      </w:tr>
      <w:tr w14:paraId="16F8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67A559B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multiscaleEntropy8</w:t>
            </w:r>
          </w:p>
        </w:tc>
        <w:tc>
          <w:tcPr>
            <w:tcW w:w="3116" w:type="pct"/>
            <w:vAlign w:val="center"/>
          </w:tcPr>
          <w:p w14:paraId="3DB6C8E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8×8 粗粒化 Shannon 熵</w:t>
            </w:r>
          </w:p>
        </w:tc>
      </w:tr>
      <w:tr w14:paraId="490D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089C812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tailMassAboveP99</w:t>
            </w:r>
          </w:p>
        </w:tc>
        <w:tc>
          <w:tcPr>
            <w:tcW w:w="3116" w:type="pct"/>
            <w:vAlign w:val="center"/>
          </w:tcPr>
          <w:p w14:paraId="17140DBB">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≥p99 体素体积占比</w:t>
            </w:r>
          </w:p>
        </w:tc>
      </w:tr>
      <w:tr w14:paraId="0881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26088966">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massFractionAboveP99</w:t>
            </w:r>
          </w:p>
        </w:tc>
        <w:tc>
          <w:tcPr>
            <w:tcW w:w="3116" w:type="pct"/>
            <w:vAlign w:val="center"/>
          </w:tcPr>
          <w:p w14:paraId="4DF09DA0">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≥p99 体素质量占比</w:t>
            </w:r>
          </w:p>
        </w:tc>
      </w:tr>
      <w:tr w14:paraId="596B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6EA4530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histogram</w:t>
            </w:r>
          </w:p>
        </w:tc>
        <w:tc>
          <w:tcPr>
            <w:tcW w:w="3116" w:type="pct"/>
            <w:vAlign w:val="center"/>
          </w:tcPr>
          <w:p w14:paraId="7F8A18C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128-bin 概率质量 hist[b]=count_b/Σcount（单步 N=2,097,152）</w:t>
            </w:r>
          </w:p>
        </w:tc>
      </w:tr>
      <w:tr w14:paraId="2D4B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14B5015A">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voidFractionBelowT0P10</w:t>
            </w:r>
          </w:p>
        </w:tc>
        <w:tc>
          <w:tcPr>
            <w:tcW w:w="3116" w:type="pct"/>
            <w:vAlign w:val="center"/>
          </w:tcPr>
          <w:p w14:paraId="08B2E230">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ρ≤ρ_p10(t=0) 的体素体积分数</w:t>
            </w:r>
          </w:p>
        </w:tc>
      </w:tr>
      <w:tr w14:paraId="2AF5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4AC5A4D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voidFractionBelowT0P01</w:t>
            </w:r>
          </w:p>
        </w:tc>
        <w:tc>
          <w:tcPr>
            <w:tcW w:w="3116" w:type="pct"/>
            <w:vAlign w:val="center"/>
          </w:tcPr>
          <w:p w14:paraId="6E24430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ρ≤ρ_p01(t=0) 的体素体积分数</w:t>
            </w:r>
          </w:p>
        </w:tc>
      </w:tr>
      <w:tr w14:paraId="33C9E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1AEA38C0">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p25 / p75</w:t>
            </w:r>
          </w:p>
        </w:tc>
        <w:tc>
          <w:tcPr>
            <w:tcW w:w="3116" w:type="pct"/>
            <w:vAlign w:val="center"/>
          </w:tcPr>
          <w:p w14:paraId="4C008345">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四分位带（peak_drift 图）</w:t>
            </w:r>
          </w:p>
        </w:tc>
      </w:tr>
      <w:tr w14:paraId="705E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pct"/>
            <w:vAlign w:val="center"/>
          </w:tcPr>
          <w:p w14:paraId="2A3ECC20">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histogramMeta</w:t>
            </w:r>
          </w:p>
        </w:tc>
        <w:tc>
          <w:tcPr>
            <w:tcW w:w="3116" w:type="pct"/>
            <w:vAlign w:val="center"/>
          </w:tcPr>
          <w:p w14:paraId="0A23586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归一化公式、void 参考阈值、分箱说明</w:t>
            </w:r>
          </w:p>
        </w:tc>
      </w:tr>
    </w:tbl>
    <w:p w14:paraId="5FD34183">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3AD1ED78">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3.2 拼接图清单</w:t>
      </w:r>
    </w:p>
    <w:p w14:paraId="4AF43622">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generate_figures.py 生成的主要拼接图：task1_render_params（渲染参数汇总）、task1_vol_strip（五帧横排）、task2_evolution_story（2×2 四联）、task2_spatial_summary（空间统计汇总）、task3_hist_overlay（五步直方图叠加）、task3_void_evolution（void 扩张）、task4_discovery_summary（可视化驱动发现四联）、task4_brush_rows（Top/Bottom 双行）、task4_brush_validation_summary、task4_performance_summary（正文拼接）及子图原件、task6_story_poster（/app.html Playwright 长卷代表图）、task0_story_flow（七步流程）。体渲染单帧由 tools/node/capture_volumes.mjs（Playwright）截取；长卷代表图由 tools/node/capture_app_poster.mjs 截取 /app.html。一键再生：npm run submission-pack。</w:t>
      </w:r>
    </w:p>
    <w:p w14:paraId="68014A7D">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3.3 空间统计 bootstrap 复现</w:t>
      </w:r>
    </w:p>
    <w:p w14:paraId="060DD284">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validation_suite.py :: bootstrap_spatial_ci 在 t=0、t=99 各执行n=40次子窗口抽样（seed=42）。每步从 128³ 域内均匀随机选取64³子体积（空间块 bootstrap：各 replicate 独立随机平移原点；非像素级有放回重采样），在子体积上计算 Moran's I 与 XY 投影 ξ(r) 剖面。输出写入 public/stats/validation_extended.json 的 bootstrapSpatial.method、xiProfileBootstrap、moransIGlobal、xiR1Global。配图 task2_bootstrap_ci.png、task2_two_point_xi.png 由 generate_figures.py 读取同一 JSON。未做 Bonferroni/FDR——因全文不对 Moran's I / ξ 作显著性主张，仅作与 Δ 的对照参考。</w:t>
      </w:r>
    </w:p>
    <w:p w14:paraId="48D6C784">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3.4 原始数据格式与轴向重排</w:t>
      </w:r>
    </w:p>
    <w:p w14:paraId="0661B479">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赛题每步文件 NNNN.dat 为2,097,152字节（128³×4），无文件头。单精度浮点采用IEEE-754 小端字节序；Python 以 np.fromfile(path, dtype='&lt;f4') 读取，TypeScript 以 fetch + Float32Array 直接映射同一字节序（Windows/x86 与赛题一致）。存储为z 最快变维（常记作 z→y→x）：相邻内存地址首先遍历 z，再 y，再 x。逻辑体素 (x,y,z) 与扁平下标关系为i = z + N·y + N²·x（N=128）。该顺序等价于将三维数组视为 volume[x,y,z] 并按 C 风格（行优先）展平，其中最内维为 z——与部分文献所称「列优先」在 z 维上的遍历一致。</w:t>
      </w:r>
    </w:p>
    <w:p w14:paraId="2EB357EA">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表9 数据读取与轴向约定</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3741"/>
        <w:gridCol w:w="2750"/>
      </w:tblGrid>
      <w:tr w14:paraId="7DE6C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216D7AD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环节</w:t>
            </w:r>
          </w:p>
        </w:tc>
        <w:tc>
          <w:tcPr>
            <w:tcW w:w="2110" w:type="pct"/>
            <w:vAlign w:val="center"/>
          </w:tcPr>
          <w:p w14:paraId="2626763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实现</w:t>
            </w:r>
          </w:p>
        </w:tc>
        <w:tc>
          <w:tcPr>
            <w:tcW w:w="1551" w:type="pct"/>
            <w:vAlign w:val="center"/>
          </w:tcPr>
          <w:p w14:paraId="64A5C48D">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轴向约定</w:t>
            </w:r>
          </w:p>
        </w:tc>
      </w:tr>
      <w:tr w14:paraId="289B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5625223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磁盘 → 内存</w:t>
            </w:r>
          </w:p>
        </w:tc>
        <w:tc>
          <w:tcPr>
            <w:tcW w:w="2110" w:type="pct"/>
            <w:vAlign w:val="center"/>
          </w:tcPr>
          <w:p w14:paraId="1DA4FE1F">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fromfile / Float32Array</w:t>
            </w:r>
          </w:p>
        </w:tc>
        <w:tc>
          <w:tcPr>
            <w:tcW w:w="1551" w:type="pct"/>
            <w:vAlign w:val="center"/>
          </w:tcPr>
          <w:p w14:paraId="27EFA50C">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z-fast 一维缓冲，长度 128³</w:t>
            </w:r>
          </w:p>
        </w:tc>
      </w:tr>
      <w:tr w14:paraId="78FF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32A2C182">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Python 分析</w:t>
            </w:r>
          </w:p>
        </w:tc>
        <w:tc>
          <w:tcPr>
            <w:tcW w:w="2110" w:type="pct"/>
            <w:vAlign w:val="center"/>
          </w:tcPr>
          <w:p w14:paraId="2EFF8EF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reshape((128,128,128), order='C')</w:t>
            </w:r>
          </w:p>
        </w:tc>
        <w:tc>
          <w:tcPr>
            <w:tcW w:w="1551" w:type="pct"/>
            <w:vAlign w:val="center"/>
          </w:tcPr>
          <w:p w14:paraId="4B98B91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`volume[x,y,z]`，与 flat_index 一致</w:t>
            </w:r>
          </w:p>
        </w:tc>
      </w:tr>
      <w:tr w14:paraId="33F4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4FC49273">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TS 体素访问</w:t>
            </w:r>
          </w:p>
        </w:tc>
        <w:tc>
          <w:tcPr>
            <w:tcW w:w="2110" w:type="pct"/>
            <w:vAlign w:val="center"/>
          </w:tcPr>
          <w:p w14:paraId="6AE3A9E0">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nyxLoader.flatIndex(x,y,z)</w:t>
            </w:r>
          </w:p>
        </w:tc>
        <w:tc>
          <w:tcPr>
            <w:tcW w:w="1551" w:type="pct"/>
            <w:vAlign w:val="center"/>
          </w:tcPr>
          <w:p w14:paraId="0D2D1357">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同上，用于刷选扫描与投影</w:t>
            </w:r>
          </w:p>
        </w:tc>
      </w:tr>
      <w:tr w14:paraId="5903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5E05AAA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vtk.js 体渲染</w:t>
            </w:r>
          </w:p>
        </w:tc>
        <w:tc>
          <w:tcPr>
            <w:tcW w:w="2110" w:type="pct"/>
            <w:vAlign w:val="center"/>
          </w:tcPr>
          <w:p w14:paraId="0453CBA1">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vtkConvert.worker Z_TO_VTK 查表重排</w:t>
            </w:r>
          </w:p>
        </w:tc>
        <w:tc>
          <w:tcPr>
            <w:tcW w:w="1551" w:type="pct"/>
            <w:vAlign w:val="center"/>
          </w:tcPr>
          <w:p w14:paraId="134D775E">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输出 x-fast：`vtkIdx = x + N·(y + N·z)`</w:t>
            </w:r>
          </w:p>
        </w:tc>
      </w:tr>
      <w:tr w14:paraId="47849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pct"/>
            <w:vAlign w:val="center"/>
          </w:tcPr>
          <w:p w14:paraId="5489EA58">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一致性校验</w:t>
            </w:r>
          </w:p>
        </w:tc>
        <w:tc>
          <w:tcPr>
            <w:tcW w:w="2110" w:type="pct"/>
            <w:vAlign w:val="center"/>
          </w:tcPr>
          <w:p w14:paraId="5AB85FC4">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tools/python/verify_loader.py</w:t>
            </w:r>
          </w:p>
        </w:tc>
        <w:tc>
          <w:tcPr>
            <w:tcW w:w="1551" w:type="pct"/>
            <w:vAlign w:val="center"/>
          </w:tcPr>
          <w:p w14:paraId="42EA9B49">
            <w:pPr>
              <w:pStyle w:val="149"/>
              <w:pageBreakBefore w:val="0"/>
              <w:widowControl w:val="0"/>
              <w:kinsoku/>
              <w:wordWrap w:val="0"/>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rPr>
              <w:t>reshape 与 flat_index 逐点比对</w:t>
            </w:r>
          </w:p>
        </w:tc>
      </w:tr>
    </w:tbl>
    <w:p w14:paraId="623ABE39">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0A1854E4">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为何体渲染需 x-fast 而统计/刷选保留 z-fast？vtkImageData 点标量按x 最快线性存储；误用 z-fast 缓冲会导致体渲染伪影。投影、刷选 Worker 与 Python 预计算均在z-fast（flatIndex / reshape(C)）上访问，与磁盘 .dat 顺序一致，保证「统计—刷选—配图」体素级对齐。体渲染路径：vtkConvert.worker 在独立 Worker中执行 z-fast→x-fast 重映射：启动时预计算128³ 查表 Z_TO_VTK（一次性），每时间步对N=2,097,152标量做 O(N) 索引写入（约 8 MB 读写，典型5–20 ms，不阻塞主线程 UI）；结果缓存供时间轴复用。与主线程 numpy.transpose(...).copy() 相比，Worker 方案避免播放时 UI 卡顿，且刷选/统计模块无需跟随 vtk 轴向——两套布局各司其职、经 verify_loader.py 校验一致。</w:t>
      </w:r>
    </w:p>
    <w:p w14:paraId="0E31F6AF">
      <w:pPr>
        <w:pStyle w:val="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4 工具与环境</w:t>
      </w:r>
    </w:p>
    <w:p w14:paraId="1BDA9630">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前端：Vite、React、TypeScript、vtk.js、D3.js；预计算与静态图：Python（precompute.py、generate_figures.py、viz_style.py、projection_render.py、verify_loader.py）；体渲染截图：Playwright；自研 NyxViz 交互仪表盘（/app.html、/video.html、/）。天文领域常用 yt、ParaView 处理完整 Nyx AMR 输出与 HPC 体视；本仓库基于赛题均匀 128³ 子集实现 Web 联动与可复现配图。全部统计数字可由 public/stats/timeline.json 复现，配图脚本与在线页面共用同一数据源。</w:t>
      </w:r>
    </w:p>
    <w:p w14:paraId="50BE1781">
      <w:pPr>
        <w:pStyle w:val="4"/>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附录 5 补充材料（方法、验证与敏感度）</w:t>
      </w:r>
    </w:p>
    <w:p w14:paraId="69825350">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本附录收纳任务一至四正文中「详见附录 5.x」的方法细节、验证与敏感度分析；与正文第 5 章「综合叙事」区分——第 5 章归纳科学发现，附录 5 提供可复现参数与补充图表（图20 等）。</w:t>
      </w:r>
    </w:p>
    <w:p w14:paraId="10B0687B">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5.1 任务一：渲染参数与验证</w:t>
      </w:r>
    </w:p>
    <w:p w14:paraId="37C09CC3">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传递函数：cosmic 预设，log10 域映射 p01–p99；交互页全局域[8.346, 10.760]，opacityScale=1.15、densityGain=0.12；capture 条带另用 Evolution Profile（opacityScale 0.72→1.10，t&lt;45 时 densityGain 为负以压低 IGM 雾感）。光照：Phong Ka/Kd/Ks=0.12/0.75/0.4；sampleDistance=0.65。相机：focalPoint (7.1225,7.1225,7.1225)，effectiveZoom≈0.6600。完整 JSON：docs/figures/render_spec.json。正文图4已图示 TF/光照/capture 增益；下表仅作交互页与 capture 条带逐项对照。</w:t>
      </w:r>
    </w:p>
    <w:p w14:paraId="7596BD3D">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表10 传递函数：交互页 vs capture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3FF3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C8B03FA">
            <w:pPr>
              <w:pStyle w:val="149"/>
              <w:bidi w:val="0"/>
              <w:rPr>
                <w:rFonts w:hint="default"/>
              </w:rPr>
            </w:pPr>
            <w:r>
              <w:rPr>
                <w:rFonts w:hint="default"/>
              </w:rPr>
              <w:t>项</w:t>
            </w:r>
          </w:p>
        </w:tc>
        <w:tc>
          <w:tcPr>
            <w:tcW w:w="2882" w:type="dxa"/>
            <w:vAlign w:val="center"/>
          </w:tcPr>
          <w:p w14:paraId="4871B3DD">
            <w:pPr>
              <w:pStyle w:val="149"/>
              <w:bidi w:val="0"/>
              <w:rPr>
                <w:rFonts w:hint="default"/>
              </w:rPr>
            </w:pPr>
            <w:r>
              <w:rPr>
                <w:rFonts w:hint="default"/>
              </w:rPr>
              <w:t>交互页</w:t>
            </w:r>
          </w:p>
        </w:tc>
        <w:tc>
          <w:tcPr>
            <w:tcW w:w="2882" w:type="dxa"/>
            <w:vAlign w:val="center"/>
          </w:tcPr>
          <w:p w14:paraId="1018FA19">
            <w:pPr>
              <w:pStyle w:val="149"/>
              <w:bidi w:val="0"/>
              <w:rPr>
                <w:rFonts w:hint="default"/>
              </w:rPr>
            </w:pPr>
            <w:r>
              <w:rPr>
                <w:rFonts w:hint="default"/>
              </w:rPr>
              <w:t>capture 条带</w:t>
            </w:r>
          </w:p>
        </w:tc>
      </w:tr>
      <w:tr w14:paraId="5037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06F72E76">
            <w:pPr>
              <w:pStyle w:val="149"/>
              <w:bidi w:val="0"/>
              <w:rPr>
                <w:rFonts w:hint="default"/>
              </w:rPr>
            </w:pPr>
            <w:r>
              <w:rPr>
                <w:rFonts w:hint="default"/>
              </w:rPr>
              <w:t>标量域</w:t>
            </w:r>
          </w:p>
        </w:tc>
        <w:tc>
          <w:tcPr>
            <w:tcW w:w="2882" w:type="dxa"/>
            <w:vAlign w:val="center"/>
          </w:tcPr>
          <w:p w14:paraId="07153A55">
            <w:pPr>
              <w:pStyle w:val="149"/>
              <w:bidi w:val="0"/>
              <w:rPr>
                <w:rFonts w:hint="default"/>
              </w:rPr>
            </w:pPr>
            <w:r>
              <w:rPr>
                <w:rFonts w:hint="default"/>
              </w:rPr>
              <w:t>全局 [8.346, 10.760]</w:t>
            </w:r>
          </w:p>
        </w:tc>
        <w:tc>
          <w:tcPr>
            <w:tcW w:w="2882" w:type="dxa"/>
            <w:vAlign w:val="center"/>
          </w:tcPr>
          <w:p w14:paraId="478440E3">
            <w:pPr>
              <w:pStyle w:val="149"/>
              <w:bidi w:val="0"/>
              <w:rPr>
                <w:rFonts w:hint="default"/>
              </w:rPr>
            </w:pPr>
            <w:r>
              <w:rPr>
                <w:rFonts w:hint="default"/>
              </w:rPr>
              <w:t>各帧本步 p01–p99</w:t>
            </w:r>
          </w:p>
        </w:tc>
      </w:tr>
      <w:tr w14:paraId="3FD3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82" w:type="dxa"/>
            <w:vAlign w:val="center"/>
          </w:tcPr>
          <w:p w14:paraId="172E7D1F">
            <w:pPr>
              <w:pStyle w:val="149"/>
              <w:bidi w:val="0"/>
              <w:rPr>
                <w:rFonts w:hint="default"/>
              </w:rPr>
            </w:pPr>
            <w:r>
              <w:rPr>
                <w:rFonts w:hint="default"/>
              </w:rPr>
              <w:t>opacityScale</w:t>
            </w:r>
          </w:p>
        </w:tc>
        <w:tc>
          <w:tcPr>
            <w:tcW w:w="2882" w:type="dxa"/>
            <w:vAlign w:val="center"/>
          </w:tcPr>
          <w:p w14:paraId="7F666F53">
            <w:pPr>
              <w:pStyle w:val="149"/>
              <w:bidi w:val="0"/>
              <w:rPr>
                <w:rFonts w:hint="default"/>
              </w:rPr>
            </w:pPr>
            <w:r>
              <w:rPr>
                <w:rFonts w:hint="default"/>
              </w:rPr>
              <w:t>1.15（固定）</w:t>
            </w:r>
          </w:p>
        </w:tc>
        <w:tc>
          <w:tcPr>
            <w:tcW w:w="2882" w:type="dxa"/>
            <w:vAlign w:val="center"/>
          </w:tcPr>
          <w:p w14:paraId="6F595D42">
            <w:pPr>
              <w:pStyle w:val="149"/>
              <w:bidi w:val="0"/>
              <w:rPr>
                <w:rFonts w:hint="default"/>
              </w:rPr>
            </w:pPr>
            <w:r>
              <w:rPr>
                <w:rFonts w:hint="default"/>
              </w:rPr>
              <w:t>0.72→1.10</w:t>
            </w:r>
          </w:p>
        </w:tc>
      </w:tr>
      <w:tr w14:paraId="6EB3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1C0EEAE5">
            <w:pPr>
              <w:pStyle w:val="149"/>
              <w:bidi w:val="0"/>
              <w:rPr>
                <w:rFonts w:hint="default"/>
              </w:rPr>
            </w:pPr>
            <w:r>
              <w:rPr>
                <w:rFonts w:hint="default"/>
              </w:rPr>
              <w:t>densityGain</w:t>
            </w:r>
          </w:p>
        </w:tc>
        <w:tc>
          <w:tcPr>
            <w:tcW w:w="2882" w:type="dxa"/>
            <w:vAlign w:val="center"/>
          </w:tcPr>
          <w:p w14:paraId="5E9AB88F">
            <w:pPr>
              <w:pStyle w:val="149"/>
              <w:bidi w:val="0"/>
              <w:rPr>
                <w:rFonts w:hint="default"/>
              </w:rPr>
            </w:pPr>
            <w:r>
              <w:rPr>
                <w:rFonts w:hint="default"/>
              </w:rPr>
              <w:t>+0.12</w:t>
            </w:r>
          </w:p>
        </w:tc>
        <w:tc>
          <w:tcPr>
            <w:tcW w:w="2882" w:type="dxa"/>
            <w:vAlign w:val="center"/>
          </w:tcPr>
          <w:p w14:paraId="5CFCF04D">
            <w:pPr>
              <w:pStyle w:val="149"/>
              <w:bidi w:val="0"/>
              <w:rPr>
                <w:rFonts w:hint="default"/>
              </w:rPr>
            </w:pPr>
            <w:r>
              <w:rPr>
                <w:rFonts w:hint="default"/>
              </w:rPr>
              <w:t>t=0 -0.32，t=25 -0.14</w:t>
            </w:r>
          </w:p>
        </w:tc>
      </w:tr>
      <w:tr w14:paraId="7FC7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vAlign w:val="center"/>
          </w:tcPr>
          <w:p w14:paraId="6C7FFB3F">
            <w:pPr>
              <w:pStyle w:val="149"/>
              <w:bidi w:val="0"/>
              <w:rPr>
                <w:rFonts w:hint="default"/>
              </w:rPr>
            </w:pPr>
            <w:r>
              <w:rPr>
                <w:rFonts w:hint="default"/>
              </w:rPr>
              <w:t>跨步 α(ρ)</w:t>
            </w:r>
          </w:p>
        </w:tc>
        <w:tc>
          <w:tcPr>
            <w:tcW w:w="2882" w:type="dxa"/>
            <w:vAlign w:val="center"/>
          </w:tcPr>
          <w:p w14:paraId="188C08B9">
            <w:pPr>
              <w:pStyle w:val="149"/>
              <w:bidi w:val="0"/>
              <w:rPr>
                <w:rFonts w:hint="default"/>
              </w:rPr>
            </w:pPr>
            <w:r>
              <w:rPr>
                <w:rFonts w:hint="default"/>
              </w:rPr>
              <w:t>一致</w:t>
            </w:r>
          </w:p>
        </w:tc>
        <w:tc>
          <w:tcPr>
            <w:tcW w:w="2882" w:type="dxa"/>
            <w:vAlign w:val="center"/>
          </w:tcPr>
          <w:p w14:paraId="5D67ED81">
            <w:pPr>
              <w:pStyle w:val="149"/>
              <w:bidi w:val="0"/>
              <w:rPr>
                <w:rFonts w:hint="default"/>
              </w:rPr>
            </w:pPr>
            <w:r>
              <w:rPr>
                <w:rFonts w:hint="default"/>
              </w:rPr>
              <w:t>每帧独立</w:t>
            </w:r>
          </w:p>
        </w:tc>
      </w:tr>
    </w:tbl>
    <w:p w14:paraId="1C0A8AA5">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20C44A94">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128³ 分辨率说明：64³块平均粗化（确定性对齐）脊线 Jaccard≈0.65。另对factor=2 全部 8 组lattice 偏移逐一粗化：Jaccard0.544±0.076（样本 SD，ddof=1；图5 菱形=原点、圆点=8 偏移均值±样本SD）——仍为均匀网格上的低通滤波敏感度实验，与 §5.3 所述 AMR 无关。</w:t>
      </w:r>
    </w:p>
    <w:p w14:paraId="70095B5A">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表11 64³ Jaccard 粗化方法</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5856"/>
      </w:tblGrid>
      <w:tr w14:paraId="1CE1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226D39B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项</w:t>
            </w:r>
          </w:p>
        </w:tc>
        <w:tc>
          <w:tcPr>
            <w:tcW w:w="3303" w:type="pct"/>
            <w:vAlign w:val="center"/>
          </w:tcPr>
          <w:p w14:paraId="3BF85BD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设定</w:t>
            </w:r>
          </w:p>
        </w:tc>
      </w:tr>
      <w:tr w14:paraId="0F97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7B65EC8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块尺寸</w:t>
            </w:r>
          </w:p>
        </w:tc>
        <w:tc>
          <w:tcPr>
            <w:tcW w:w="3303" w:type="pct"/>
            <w:vAlign w:val="center"/>
          </w:tcPr>
          <w:p w14:paraId="633D3EA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2³ voxels per coarse cell</w:t>
            </w:r>
          </w:p>
        </w:tc>
      </w:tr>
      <w:tr w14:paraId="60DD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664125E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粗网格</w:t>
            </w:r>
          </w:p>
        </w:tc>
        <w:tc>
          <w:tcPr>
            <w:tcW w:w="3303" w:type="pct"/>
            <w:vAlign w:val="center"/>
          </w:tcPr>
          <w:p w14:paraId="594EAF9F">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64×64×64</w:t>
            </w:r>
          </w:p>
        </w:tc>
      </w:tr>
      <w:tr w14:paraId="1140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31498D1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偏移范围</w:t>
            </w:r>
          </w:p>
        </w:tc>
        <w:tc>
          <w:tcPr>
            <w:tcW w:w="3303" w:type="pct"/>
            <w:vAlign w:val="center"/>
          </w:tcPr>
          <w:p w14:paraId="03270CC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ox, oy, oz ∈ {0, …, 1} (integer lattice shift)</w:t>
            </w:r>
          </w:p>
        </w:tc>
      </w:tr>
      <w:tr w14:paraId="1B45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4E4AAF42">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采样</w:t>
            </w:r>
          </w:p>
        </w:tc>
        <w:tc>
          <w:tcPr>
            <w:tcW w:w="3303" w:type="pct"/>
            <w:vAlign w:val="center"/>
          </w:tcPr>
          <w:p w14:paraId="0AA0708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exhaustive — all 8 lattice shifts (factor=2)</w:t>
            </w:r>
          </w:p>
        </w:tc>
      </w:tr>
      <w:tr w14:paraId="04BE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043AE87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误差棒</w:t>
            </w:r>
          </w:p>
        </w:tc>
        <w:tc>
          <w:tcPr>
            <w:tcW w:w="3303" w:type="pct"/>
            <w:vAlign w:val="center"/>
          </w:tcPr>
          <w:p w14:paraId="06D628C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sample SD (ddof=1) across lattice shifts; error bars are not SEM</w:t>
            </w:r>
          </w:p>
        </w:tc>
      </w:tr>
      <w:tr w14:paraId="6BB6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0795BB9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边界</w:t>
            </w:r>
          </w:p>
        </w:tc>
        <w:tc>
          <w:tcPr>
            <w:tcW w:w="3303" w:type="pct"/>
            <w:vAlign w:val="center"/>
          </w:tcPr>
          <w:p w14:paraId="289C875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each coarse cell averages vol[i×2+ox : i×2+ox+2, …]; max index 1+(64-1)×2+1=128 ≤ 127</w:t>
            </w:r>
          </w:p>
        </w:tc>
      </w:tr>
      <w:tr w14:paraId="7910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pct"/>
            <w:vAlign w:val="center"/>
          </w:tcPr>
          <w:p w14:paraId="29F7EEB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 组偏移</w:t>
            </w:r>
          </w:p>
        </w:tc>
        <w:tc>
          <w:tcPr>
            <w:tcW w:w="3303" w:type="pct"/>
            <w:vAlign w:val="center"/>
          </w:tcPr>
          <w:p w14:paraId="730A5FF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(0,0,0), (0,0,1), (0,1,0), (0,1,1), (1,0,0), (1,0,1), (1,1,0), (1,1,1)</w:t>
            </w:r>
          </w:p>
        </w:tc>
      </w:tr>
    </w:tbl>
    <w:p w14:paraId="1D320E3F">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035070F8">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5.2 任务二：空间统计与可视化应用</w:t>
      </w:r>
    </w:p>
    <w:p w14:paraId="68B785AD">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表12 空间统计 bootstrap</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1"/>
        <w:gridCol w:w="4431"/>
      </w:tblGrid>
      <w:tr w14:paraId="035F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7AFACE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项目</w:t>
            </w:r>
          </w:p>
        </w:tc>
        <w:tc>
          <w:tcPr>
            <w:tcW w:w="2500" w:type="pct"/>
            <w:vAlign w:val="center"/>
          </w:tcPr>
          <w:p w14:paraId="33038AD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设定</w:t>
            </w:r>
          </w:p>
        </w:tc>
      </w:tr>
      <w:tr w14:paraId="0EC8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CE1D5E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子窗口</w:t>
            </w:r>
          </w:p>
        </w:tc>
        <w:tc>
          <w:tcPr>
            <w:tcW w:w="2500" w:type="pct"/>
            <w:vAlign w:val="center"/>
          </w:tcPr>
          <w:p w14:paraId="3A6D9F0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64³，n=40，seed=42</w:t>
            </w:r>
          </w:p>
        </w:tc>
      </w:tr>
      <w:tr w14:paraId="6AD8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DA6BC1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采样</w:t>
            </w:r>
          </w:p>
        </w:tc>
        <w:tc>
          <w:tcPr>
            <w:tcW w:w="2500" w:type="pct"/>
            <w:vAlign w:val="center"/>
          </w:tcPr>
          <w:p w14:paraId="0E72BAC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各 replicate **独立随机平移** 64³ 原点（允许重叠）</w:t>
            </w:r>
          </w:p>
        </w:tc>
      </w:tr>
      <w:tr w14:paraId="0294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772C18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重叠 vs 不重叠</w:t>
            </w:r>
          </w:p>
        </w:tc>
        <w:tc>
          <w:tcPr>
            <w:tcW w:w="2500" w:type="pct"/>
            <w:vAlign w:val="center"/>
          </w:tcPr>
          <w:p w14:paraId="34A9C82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随机原点 σ_Moran≈0.0142 （t=0/t=99 各 40 replicate 的样本 SD，合并 √(σ₀²+σ₉₉²)）；8 块**不重叠** tile 重采样 σ≈0.0191 （Moran's I 样本 SD，无量纲）；点估计 random/grid≈**0.742**</w:t>
            </w:r>
          </w:p>
        </w:tc>
      </w:tr>
      <w:tr w14:paraId="1922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A7295B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比值 bootstrap 结果</w:t>
            </w:r>
          </w:p>
        </w:tc>
        <w:tc>
          <w:tcPr>
            <w:tcW w:w="2500" w:type="pct"/>
            <w:vAlign w:val="center"/>
          </w:tcPr>
          <w:p w14:paraId="49C0081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400 次 replicate 的比值分布：均值 **0.764**，标准差 **0.068**；95% CI **[0.655, 0.913]** （**百分位数法**，CI 不对称，**≠ mean±SD**）</w:t>
            </w:r>
          </w:p>
        </w:tc>
      </w:tr>
      <w:tr w14:paraId="67FF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1A42F57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比值 bootstrap 方法</w:t>
            </w:r>
          </w:p>
        </w:tc>
        <w:tc>
          <w:tcPr>
            <w:tcW w:w="2500" w:type="pct"/>
            <w:vAlign w:val="center"/>
          </w:tcPr>
          <w:p w14:paraId="6C0BE09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128³ → 2×2×2 共 **8 块 tile**，每块 1 个 Moran's I。400 次：从 8 tile 中有放回抽 40 个 → σ_grid（n=40 与随机原点 replicate 数对齐，便于同一合并公式；**非**同一批子窗口）。比值=σ_random/σ_grid；CI 为 400 比值的百分位数。</w:t>
            </w:r>
          </w:p>
        </w:tc>
      </w:tr>
      <w:tr w14:paraId="3EE0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AD82F2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Moran's I</w:t>
            </w:r>
          </w:p>
        </w:tc>
        <w:tc>
          <w:tcPr>
            <w:tcW w:w="2500" w:type="pct"/>
            <w:vAlign w:val="center"/>
          </w:tcPr>
          <w:p w14:paraId="5FCE5B58">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6 邻域 3D，在子体积内计算</w:t>
            </w:r>
          </w:p>
        </w:tc>
      </w:tr>
      <w:tr w14:paraId="7D26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6CB73A4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ξ(r)</w:t>
            </w:r>
          </w:p>
        </w:tc>
        <w:tc>
          <w:tcPr>
            <w:tcW w:w="2500" w:type="pct"/>
            <w:vAlign w:val="center"/>
          </w:tcPr>
          <w:p w14:paraId="0623195A">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XY 投影 Wiener–Khinchin</w:t>
            </w:r>
          </w:p>
        </w:tc>
      </w:tr>
      <w:tr w14:paraId="0D20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9E72B8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解读</w:t>
            </w:r>
          </w:p>
        </w:tc>
        <w:tc>
          <w:tcPr>
            <w:tcW w:w="2500" w:type="pct"/>
            <w:vAlign w:val="center"/>
          </w:tcPr>
          <w:p w14:paraId="3E2F55E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描述性对照，不作显著性主张</w:t>
            </w:r>
          </w:p>
        </w:tc>
      </w:tr>
    </w:tbl>
    <w:p w14:paraId="05083407">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7E878108">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重叠保守性机理：随机平移的 64³ 子窗口可共享体素→replicate 间 Moran's I 呈正相关 ρ&gt;0→bootstrap replicate 分布的样本标准差低于从 8 块互不重叠 tile 有放回重采样（后者覆盖独立空间异质性）。本数据点估计 random/grid≈0.742（重叠方案 σ 约为不重叠的74%），用于 2σ 判据时更保守（更难宣称显著），非正式假设检验。 tile 重采样 bootstrap 95% CI[0.655, 0.913]跨度大（上限 0.913 接近 1）——说明仅 8 块 tile 时 conservative 程度不稳定，点估计 0.742 应结合 CI 解读，而非仅记「≈74%」。</w:t>
      </w:r>
    </w:p>
    <w:p w14:paraId="14386379">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表13 可视化驱动发现案例</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1"/>
        <w:gridCol w:w="4431"/>
      </w:tblGrid>
      <w:tr w14:paraId="7C6D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5A292EA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设计</w:t>
            </w:r>
          </w:p>
        </w:tc>
        <w:tc>
          <w:tcPr>
            <w:tcW w:w="2500" w:type="pct"/>
            <w:vAlign w:val="center"/>
          </w:tcPr>
          <w:p w14:paraId="1FE054B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发现</w:t>
            </w:r>
          </w:p>
        </w:tc>
      </w:tr>
      <w:tr w14:paraId="7074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1C5C5A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σ/p99−p01 时序</w:t>
            </w:r>
          </w:p>
        </w:tc>
        <w:tc>
          <w:tcPr>
            <w:tcW w:w="2500" w:type="pct"/>
            <w:vAlign w:val="center"/>
          </w:tcPr>
          <w:p w14:paraId="2CC03E3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全时域 +15.4% / +15.1%</w:t>
            </w:r>
          </w:p>
        </w:tc>
      </w:tr>
      <w:tr w14:paraId="629B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4F8954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Top 1% 刷选</w:t>
            </w:r>
          </w:p>
        </w:tc>
        <w:tc>
          <w:tcPr>
            <w:tcW w:w="2500" w:type="pct"/>
            <w:vAlign w:val="center"/>
          </w:tcPr>
          <w:p w14:paraId="1669CDAA">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20,972 体素呈 filament 聚集</w:t>
            </w:r>
          </w:p>
        </w:tc>
      </w:tr>
      <w:tr w14:paraId="6790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4E6F301F">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纤维带 90–99%</w:t>
            </w:r>
          </w:p>
        </w:tc>
        <w:tc>
          <w:tcPr>
            <w:tcW w:w="2500" w:type="pct"/>
            <w:vAlign w:val="center"/>
          </w:tcPr>
          <w:p w14:paraId="6722A87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ρ∈[9.96,10.76]，9.0% 体积</w:t>
            </w:r>
          </w:p>
        </w:tc>
      </w:tr>
      <w:tr w14:paraId="4E86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A16B54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P88 反查</w:t>
            </w:r>
          </w:p>
        </w:tc>
        <w:tc>
          <w:tcPr>
            <w:tcW w:w="2500" w:type="pct"/>
            <w:vAlign w:val="center"/>
          </w:tcPr>
          <w:p w14:paraId="0701AC1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误报率 72.4%</w:t>
            </w:r>
          </w:p>
        </w:tc>
      </w:tr>
    </w:tbl>
    <w:p w14:paraId="582DC4F7">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1CD74792">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进阶指标：Moran's I、ξ(r)、盒计数分形维 D、超额峰度、多尺度熵——见 timeline.json 与 spatial_stats.py。</w:t>
      </w:r>
    </w:p>
    <w:p w14:paraId="7B6684DE">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任务三：分箱敏感度</w:t>
      </w:r>
    </w:p>
    <w:p w14:paraId="45BE4CA0">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正文见问题三 3.2（4）及图11–12。128 bins 为默认；复现见 generate_figures.py task3 与 timeline.json。void 阈值定义同正文（2）。</w:t>
      </w:r>
    </w:p>
    <w:p w14:paraId="0E9C0988">
      <w:pPr>
        <w:pStyle w:val="5"/>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任务四：刷选验证与性能</w:t>
      </w:r>
    </w:p>
    <w:p w14:paraId="6C321F10">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表14 Worker 刷选扫描耗时</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1771"/>
        <w:gridCol w:w="1772"/>
        <w:gridCol w:w="1772"/>
        <w:gridCol w:w="1772"/>
      </w:tblGrid>
      <w:tr w14:paraId="7559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238736B2">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模式</w:t>
            </w:r>
          </w:p>
        </w:tc>
        <w:tc>
          <w:tcPr>
            <w:tcW w:w="1000" w:type="pct"/>
            <w:vAlign w:val="center"/>
          </w:tcPr>
          <w:p w14:paraId="44E4B12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耗时 (ms)</w:t>
            </w:r>
          </w:p>
        </w:tc>
        <w:tc>
          <w:tcPr>
            <w:tcW w:w="1000" w:type="pct"/>
            <w:vAlign w:val="center"/>
          </w:tcPr>
          <w:p w14:paraId="408609C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stride</w:t>
            </w:r>
          </w:p>
        </w:tc>
        <w:tc>
          <w:tcPr>
            <w:tcW w:w="1000" w:type="pct"/>
            <w:vAlign w:val="center"/>
          </w:tcPr>
          <w:p w14:paraId="2BF8AC72">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maxPoints</w:t>
            </w:r>
          </w:p>
        </w:tc>
        <w:tc>
          <w:tcPr>
            <w:tcW w:w="1000" w:type="pct"/>
            <w:vAlign w:val="center"/>
          </w:tcPr>
          <w:p w14:paraId="08F6CC3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体素数</w:t>
            </w:r>
          </w:p>
        </w:tc>
      </w:tr>
      <w:tr w14:paraId="27BC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083A6EE0">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Top 1% 早停</w:t>
            </w:r>
          </w:p>
        </w:tc>
        <w:tc>
          <w:tcPr>
            <w:tcW w:w="1000" w:type="pct"/>
            <w:vAlign w:val="center"/>
          </w:tcPr>
          <w:p w14:paraId="74DC570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45.4</w:t>
            </w:r>
          </w:p>
        </w:tc>
        <w:tc>
          <w:tcPr>
            <w:tcW w:w="1000" w:type="pct"/>
            <w:vAlign w:val="center"/>
          </w:tcPr>
          <w:p w14:paraId="79FBFC80">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w:t>
            </w:r>
          </w:p>
        </w:tc>
        <w:tc>
          <w:tcPr>
            <w:tcW w:w="1000" w:type="pct"/>
            <w:vAlign w:val="center"/>
          </w:tcPr>
          <w:p w14:paraId="5520F74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000" w:type="pct"/>
            <w:vAlign w:val="center"/>
          </w:tcPr>
          <w:p w14:paraId="1AD6042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2,669</w:t>
            </w:r>
          </w:p>
        </w:tc>
      </w:tr>
      <w:tr w14:paraId="7952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Align w:val="center"/>
          </w:tcPr>
          <w:p w14:paraId="4D43565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Top 1% 全网格</w:t>
            </w:r>
          </w:p>
        </w:tc>
        <w:tc>
          <w:tcPr>
            <w:tcW w:w="1000" w:type="pct"/>
            <w:vAlign w:val="center"/>
          </w:tcPr>
          <w:p w14:paraId="68640BC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351.8</w:t>
            </w:r>
          </w:p>
        </w:tc>
        <w:tc>
          <w:tcPr>
            <w:tcW w:w="1000" w:type="pct"/>
            <w:vAlign w:val="center"/>
          </w:tcPr>
          <w:p w14:paraId="1B9064C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w:t>
            </w:r>
          </w:p>
        </w:tc>
        <w:tc>
          <w:tcPr>
            <w:tcW w:w="1000" w:type="pct"/>
            <w:vAlign w:val="center"/>
          </w:tcPr>
          <w:p w14:paraId="1AC0873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2,097,152</w:t>
            </w:r>
          </w:p>
        </w:tc>
        <w:tc>
          <w:tcPr>
            <w:tcW w:w="1000" w:type="pct"/>
            <w:vAlign w:val="center"/>
          </w:tcPr>
          <w:p w14:paraId="1F32307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20,972</w:t>
            </w:r>
          </w:p>
        </w:tc>
      </w:tr>
    </w:tbl>
    <w:p w14:paraId="52DB850D">
      <w:pPr>
        <w:pStyle w:val="149"/>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1D38F7CE">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表15 阈值对比（t=99）</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4"/>
        <w:gridCol w:w="2954"/>
        <w:gridCol w:w="2954"/>
      </w:tblGrid>
      <w:tr w14:paraId="2B0E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41493F52">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阈值</w:t>
            </w:r>
          </w:p>
        </w:tc>
        <w:tc>
          <w:tcPr>
            <w:tcW w:w="1666" w:type="pct"/>
            <w:vAlign w:val="center"/>
          </w:tcPr>
          <w:p w14:paraId="7D326C90">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体积%</w:t>
            </w:r>
          </w:p>
        </w:tc>
        <w:tc>
          <w:tcPr>
            <w:tcW w:w="1666" w:type="pct"/>
            <w:vAlign w:val="center"/>
          </w:tcPr>
          <w:p w14:paraId="09492A5A">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质量%</w:t>
            </w:r>
          </w:p>
        </w:tc>
      </w:tr>
      <w:tr w14:paraId="53F2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4E0DA85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p95 (Top 5%)</w:t>
            </w:r>
          </w:p>
        </w:tc>
        <w:tc>
          <w:tcPr>
            <w:tcW w:w="1666" w:type="pct"/>
            <w:vAlign w:val="center"/>
          </w:tcPr>
          <w:p w14:paraId="700323DF">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5.00</w:t>
            </w:r>
          </w:p>
        </w:tc>
        <w:tc>
          <w:tcPr>
            <w:tcW w:w="1666" w:type="pct"/>
            <w:vAlign w:val="center"/>
          </w:tcPr>
          <w:p w14:paraId="48C3829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5.66</w:t>
            </w:r>
          </w:p>
        </w:tc>
      </w:tr>
      <w:tr w14:paraId="6E69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0BF1417">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90–99% 纤维带</w:t>
            </w:r>
          </w:p>
        </w:tc>
        <w:tc>
          <w:tcPr>
            <w:tcW w:w="1666" w:type="pct"/>
            <w:vAlign w:val="center"/>
          </w:tcPr>
          <w:p w14:paraId="0444901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9.00</w:t>
            </w:r>
          </w:p>
        </w:tc>
        <w:tc>
          <w:tcPr>
            <w:tcW w:w="1666" w:type="pct"/>
            <w:vAlign w:val="center"/>
          </w:tcPr>
          <w:p w14:paraId="13C14BE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9.86</w:t>
            </w:r>
          </w:p>
        </w:tc>
      </w:tr>
      <w:tr w14:paraId="76BF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8A6AC2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p99 (Top 1%)</w:t>
            </w:r>
          </w:p>
        </w:tc>
        <w:tc>
          <w:tcPr>
            <w:tcW w:w="1666" w:type="pct"/>
            <w:vAlign w:val="center"/>
          </w:tcPr>
          <w:p w14:paraId="50F1FDB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1.00</w:t>
            </w:r>
          </w:p>
        </w:tc>
        <w:tc>
          <w:tcPr>
            <w:tcW w:w="1666" w:type="pct"/>
            <w:vAlign w:val="center"/>
          </w:tcPr>
          <w:p w14:paraId="1412BE2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1.19</w:t>
            </w:r>
          </w:p>
        </w:tc>
      </w:tr>
      <w:tr w14:paraId="7EEF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1F2B2A0">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p99.9 (Top 0.1%)</w:t>
            </w:r>
          </w:p>
        </w:tc>
        <w:tc>
          <w:tcPr>
            <w:tcW w:w="1666" w:type="pct"/>
            <w:vAlign w:val="center"/>
          </w:tcPr>
          <w:p w14:paraId="4E21911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0.10</w:t>
            </w:r>
          </w:p>
        </w:tc>
        <w:tc>
          <w:tcPr>
            <w:tcW w:w="1666" w:type="pct"/>
            <w:vAlign w:val="center"/>
          </w:tcPr>
          <w:p w14:paraId="175A40F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0.13</w:t>
            </w:r>
          </w:p>
        </w:tc>
      </w:tr>
    </w:tbl>
    <w:p w14:paraId="44C649D7">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3008494B">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表16 刷选 vs filament 代理</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1"/>
        <w:gridCol w:w="4431"/>
      </w:tblGrid>
      <w:tr w14:paraId="3043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0AC4DB5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指标</w:t>
            </w:r>
          </w:p>
        </w:tc>
        <w:tc>
          <w:tcPr>
            <w:tcW w:w="2500" w:type="pct"/>
            <w:vAlign w:val="center"/>
          </w:tcPr>
          <w:p w14:paraId="6A49C9E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数值</w:t>
            </w:r>
          </w:p>
        </w:tc>
      </w:tr>
      <w:tr w14:paraId="3EDC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FAA81B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召回率</w:t>
            </w:r>
          </w:p>
        </w:tc>
        <w:tc>
          <w:tcPr>
            <w:tcW w:w="2500" w:type="pct"/>
            <w:vAlign w:val="center"/>
          </w:tcPr>
          <w:p w14:paraId="1A24E27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100.0%</w:t>
            </w:r>
          </w:p>
        </w:tc>
      </w:tr>
      <w:tr w14:paraId="2287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17B93F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精确率</w:t>
            </w:r>
          </w:p>
        </w:tc>
        <w:tc>
          <w:tcPr>
            <w:tcW w:w="2500" w:type="pct"/>
            <w:vAlign w:val="center"/>
          </w:tcPr>
          <w:p w14:paraId="6313D26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27.6%</w:t>
            </w:r>
          </w:p>
        </w:tc>
      </w:tr>
      <w:tr w14:paraId="0EC5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5810D9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误报率</w:t>
            </w:r>
          </w:p>
        </w:tc>
        <w:tc>
          <w:tcPr>
            <w:tcW w:w="2500" w:type="pct"/>
            <w:vAlign w:val="center"/>
          </w:tcPr>
          <w:p w14:paraId="24D469E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72.4%</w:t>
            </w:r>
          </w:p>
        </w:tc>
      </w:tr>
    </w:tbl>
    <w:p w14:paraId="2578FD59">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211F7010">
      <w:pPr>
        <w:pStyle w:val="183"/>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表17 自定义</w:t>
      </w:r>
      <w:r>
        <w:rPr>
          <w:rFonts w:hint="default" w:ascii="Times New Roman" w:hAnsi="Times New Roman" w:cs="Times New Roman"/>
          <w:lang w:val="en-US" w:eastAsia="zh-CN"/>
        </w:rPr>
        <w:t>刷选</w:t>
      </w:r>
      <w:r>
        <w:rPr>
          <w:rFonts w:hint="default" w:ascii="Times New Roman" w:hAnsi="Times New Roman" w:cs="Times New Roman"/>
        </w:rPr>
        <w:t xml:space="preserve"> KPI 低估</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5"/>
        <w:gridCol w:w="2215"/>
      </w:tblGrid>
      <w:tr w14:paraId="01C96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60220F5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刷选区间</w:t>
            </w:r>
          </w:p>
        </w:tc>
        <w:tc>
          <w:tcPr>
            <w:tcW w:w="1250" w:type="pct"/>
            <w:vAlign w:val="center"/>
          </w:tcPr>
          <w:p w14:paraId="7A0EC38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真值体素</w:t>
            </w:r>
          </w:p>
        </w:tc>
        <w:tc>
          <w:tcPr>
            <w:tcW w:w="1250" w:type="pct"/>
            <w:vAlign w:val="center"/>
          </w:tcPr>
          <w:p w14:paraId="6F5D013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显示体素</w:t>
            </w:r>
          </w:p>
        </w:tc>
        <w:tc>
          <w:tcPr>
            <w:tcW w:w="1250" w:type="pct"/>
            <w:vAlign w:val="center"/>
          </w:tcPr>
          <w:p w14:paraId="1185AE7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显示/真值×100%</w:t>
            </w:r>
          </w:p>
        </w:tc>
      </w:tr>
      <w:tr w14:paraId="04C3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4AE4BEC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Top 1% 区间（对照）</w:t>
            </w:r>
          </w:p>
        </w:tc>
        <w:tc>
          <w:tcPr>
            <w:tcW w:w="1250" w:type="pct"/>
            <w:vAlign w:val="center"/>
          </w:tcPr>
          <w:p w14:paraId="204B630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20,972</w:t>
            </w:r>
          </w:p>
        </w:tc>
        <w:tc>
          <w:tcPr>
            <w:tcW w:w="1250" w:type="pct"/>
            <w:vAlign w:val="center"/>
          </w:tcPr>
          <w:p w14:paraId="17CDF568">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2,669</w:t>
            </w:r>
          </w:p>
        </w:tc>
        <w:tc>
          <w:tcPr>
            <w:tcW w:w="1250" w:type="pct"/>
            <w:vAlign w:val="center"/>
          </w:tcPr>
          <w:p w14:paraId="43B3757F">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12.73%</w:t>
            </w:r>
          </w:p>
        </w:tc>
      </w:tr>
      <w:tr w14:paraId="654A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17A1681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纤维 90–99% 区间（对照）</w:t>
            </w:r>
          </w:p>
        </w:tc>
        <w:tc>
          <w:tcPr>
            <w:tcW w:w="1250" w:type="pct"/>
            <w:vAlign w:val="center"/>
          </w:tcPr>
          <w:p w14:paraId="2C5269C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188,744</w:t>
            </w:r>
          </w:p>
        </w:tc>
        <w:tc>
          <w:tcPr>
            <w:tcW w:w="1250" w:type="pct"/>
            <w:vAlign w:val="center"/>
          </w:tcPr>
          <w:p w14:paraId="2148AF9F">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250" w:type="pct"/>
            <w:vAlign w:val="center"/>
          </w:tcPr>
          <w:p w14:paraId="40B9196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4.24%</w:t>
            </w:r>
          </w:p>
        </w:tc>
      </w:tr>
      <w:tr w14:paraId="2E10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5299FE6C">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p50–p99</w:t>
            </w:r>
          </w:p>
        </w:tc>
        <w:tc>
          <w:tcPr>
            <w:tcW w:w="1250" w:type="pct"/>
            <w:vAlign w:val="center"/>
          </w:tcPr>
          <w:p w14:paraId="2650479D">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1,027,604</w:t>
            </w:r>
          </w:p>
        </w:tc>
        <w:tc>
          <w:tcPr>
            <w:tcW w:w="1250" w:type="pct"/>
            <w:vAlign w:val="center"/>
          </w:tcPr>
          <w:p w14:paraId="66ED7CD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250" w:type="pct"/>
            <w:vAlign w:val="center"/>
          </w:tcPr>
          <w:p w14:paraId="5451C12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0.78%</w:t>
            </w:r>
          </w:p>
        </w:tc>
      </w:tr>
      <w:tr w14:paraId="4F0D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4C587594">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p75–max</w:t>
            </w:r>
          </w:p>
        </w:tc>
        <w:tc>
          <w:tcPr>
            <w:tcW w:w="1250" w:type="pct"/>
            <w:vAlign w:val="center"/>
          </w:tcPr>
          <w:p w14:paraId="0763AE19">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524,288</w:t>
            </w:r>
          </w:p>
        </w:tc>
        <w:tc>
          <w:tcPr>
            <w:tcW w:w="1250" w:type="pct"/>
            <w:vAlign w:val="center"/>
          </w:tcPr>
          <w:p w14:paraId="26052F22">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250" w:type="pct"/>
            <w:vAlign w:val="center"/>
          </w:tcPr>
          <w:p w14:paraId="6941D736">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1.53%</w:t>
            </w:r>
          </w:p>
        </w:tc>
      </w:tr>
      <w:tr w14:paraId="104F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022B2E0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p01–p90</w:t>
            </w:r>
          </w:p>
        </w:tc>
        <w:tc>
          <w:tcPr>
            <w:tcW w:w="1250" w:type="pct"/>
            <w:vAlign w:val="center"/>
          </w:tcPr>
          <w:p w14:paraId="7DF1E5B1">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1,866,467</w:t>
            </w:r>
          </w:p>
        </w:tc>
        <w:tc>
          <w:tcPr>
            <w:tcW w:w="1250" w:type="pct"/>
            <w:vAlign w:val="center"/>
          </w:tcPr>
          <w:p w14:paraId="5604EB6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250" w:type="pct"/>
            <w:vAlign w:val="center"/>
          </w:tcPr>
          <w:p w14:paraId="57D298A3">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0.43%</w:t>
            </w:r>
          </w:p>
        </w:tc>
      </w:tr>
      <w:tr w14:paraId="5631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7F09FC7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p25–p75</w:t>
            </w:r>
          </w:p>
        </w:tc>
        <w:tc>
          <w:tcPr>
            <w:tcW w:w="1250" w:type="pct"/>
            <w:vAlign w:val="center"/>
          </w:tcPr>
          <w:p w14:paraId="089FB93B">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1,048,576</w:t>
            </w:r>
          </w:p>
        </w:tc>
        <w:tc>
          <w:tcPr>
            <w:tcW w:w="1250" w:type="pct"/>
            <w:vAlign w:val="center"/>
          </w:tcPr>
          <w:p w14:paraId="53166015">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8,000</w:t>
            </w:r>
          </w:p>
        </w:tc>
        <w:tc>
          <w:tcPr>
            <w:tcW w:w="1250" w:type="pct"/>
            <w:vAlign w:val="center"/>
          </w:tcPr>
          <w:p w14:paraId="7BFF4BCE">
            <w:pPr>
              <w:pStyle w:val="149"/>
              <w:pageBreakBefore w:val="0"/>
              <w:widowControl w:val="0"/>
              <w:kinsoku/>
              <w:wordWrap w:val="0"/>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0.76%</w:t>
            </w:r>
          </w:p>
        </w:tc>
      </w:tr>
    </w:tbl>
    <w:p w14:paraId="5CB83FF1">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p>
    <w:p w14:paraId="26D5905C">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子图原件：task4_threshold_comparison、task4_custom_brush_error、task4_brush_sample_recall、task4_projection_axes、task4_p88_sensitivity、task4_brush_precision、task4_ridge_methods。上表与正文任务四 KPI 数值一致；体渲染/投影高亮仍按密度阈值作用于全场，不受采样列表限制。</w:t>
      </w:r>
    </w:p>
    <w:p w14:paraId="24C632EA">
      <w:pPr>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可用性：未开展正式用户实验；作者走查 void/filament 可辨、预设刷选联动、时间步切换后 Top 1% 对应该步 p99。正式 SUS 实验列为后续工作。</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Time">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28B78"/>
    <w:multiLevelType w:val="singleLevel"/>
    <w:tmpl w:val="95328B78"/>
    <w:lvl w:ilvl="0" w:tentative="0">
      <w:start w:val="1"/>
      <w:numFmt w:val="decimal"/>
      <w:pStyle w:val="14"/>
      <w:lvlText w:val="%1."/>
      <w:lvlJc w:val="left"/>
      <w:pPr>
        <w:tabs>
          <w:tab w:val="left" w:pos="360"/>
        </w:tabs>
        <w:ind w:left="360" w:hanging="360"/>
      </w:pPr>
    </w:lvl>
  </w:abstractNum>
  <w:abstractNum w:abstractNumId="1">
    <w:nsid w:val="DC0E5513"/>
    <w:multiLevelType w:val="singleLevel"/>
    <w:tmpl w:val="DC0E5513"/>
    <w:lvl w:ilvl="0" w:tentative="0">
      <w:start w:val="1"/>
      <w:numFmt w:val="bullet"/>
      <w:pStyle w:val="24"/>
      <w:lvlText w:val=""/>
      <w:lvlJc w:val="left"/>
      <w:pPr>
        <w:tabs>
          <w:tab w:val="left" w:pos="780"/>
        </w:tabs>
        <w:ind w:left="780" w:hanging="360"/>
      </w:pPr>
      <w:rPr>
        <w:rFonts w:hint="default" w:ascii="Wingdings" w:hAnsi="Wingdings"/>
      </w:rPr>
    </w:lvl>
  </w:abstractNum>
  <w:abstractNum w:abstractNumId="2">
    <w:nsid w:val="03197E49"/>
    <w:multiLevelType w:val="singleLevel"/>
    <w:tmpl w:val="03197E49"/>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3">
    <w:nsid w:val="551E684F"/>
    <w:multiLevelType w:val="singleLevel"/>
    <w:tmpl w:val="551E684F"/>
    <w:lvl w:ilvl="0" w:tentative="0">
      <w:start w:val="1"/>
      <w:numFmt w:val="bullet"/>
      <w:pStyle w:val="19"/>
      <w:lvlText w:val=""/>
      <w:lvlJc w:val="left"/>
      <w:pPr>
        <w:tabs>
          <w:tab w:val="left" w:pos="1200"/>
        </w:tabs>
        <w:ind w:left="1200" w:hanging="360"/>
      </w:pPr>
      <w:rPr>
        <w:rFonts w:hint="default" w:ascii="Wingdings" w:hAnsi="Wingdings"/>
      </w:rPr>
    </w:lvl>
  </w:abstractNum>
  <w:abstractNum w:abstractNumId="4">
    <w:nsid w:val="69F923C7"/>
    <w:multiLevelType w:val="singleLevel"/>
    <w:tmpl w:val="69F923C7"/>
    <w:lvl w:ilvl="0" w:tentative="0">
      <w:start w:val="1"/>
      <w:numFmt w:val="decimal"/>
      <w:pStyle w:val="13"/>
      <w:lvlText w:val="%1."/>
      <w:lvlJc w:val="left"/>
      <w:pPr>
        <w:tabs>
          <w:tab w:val="left" w:pos="780"/>
        </w:tabs>
        <w:ind w:left="780" w:hanging="360"/>
      </w:pPr>
    </w:lvl>
  </w:abstractNum>
  <w:abstractNum w:abstractNumId="5">
    <w:nsid w:val="6AFEA695"/>
    <w:multiLevelType w:val="singleLevel"/>
    <w:tmpl w:val="6AFEA695"/>
    <w:lvl w:ilvl="0" w:tentative="0">
      <w:start w:val="1"/>
      <w:numFmt w:val="decimal"/>
      <w:pStyle w:val="21"/>
      <w:lvlText w:val="%1."/>
      <w:lvlJc w:val="left"/>
      <w:pPr>
        <w:tabs>
          <w:tab w:val="left" w:pos="1200"/>
        </w:tabs>
        <w:ind w:left="1200" w:hanging="360"/>
      </w:pPr>
    </w:lvl>
  </w:abstractNum>
  <w:num w:numId="1">
    <w:abstractNumId w:val="4"/>
  </w:num>
  <w:num w:numId="2">
    <w:abstractNumId w:val="0"/>
  </w:num>
  <w:num w:numId="3">
    <w:abstractNumId w:val="2"/>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52690"/>
    <w:rsid w:val="00CB0664"/>
    <w:rsid w:val="00FC693F"/>
    <w:rsid w:val="029167E5"/>
    <w:rsid w:val="02A62291"/>
    <w:rsid w:val="02EF1E8A"/>
    <w:rsid w:val="032A2EC2"/>
    <w:rsid w:val="033D7B24"/>
    <w:rsid w:val="038F71C9"/>
    <w:rsid w:val="03F61D12"/>
    <w:rsid w:val="043438CC"/>
    <w:rsid w:val="062067FE"/>
    <w:rsid w:val="0621158E"/>
    <w:rsid w:val="083B1F0A"/>
    <w:rsid w:val="0A00497C"/>
    <w:rsid w:val="0B865355"/>
    <w:rsid w:val="0BD31CB7"/>
    <w:rsid w:val="0E4A266A"/>
    <w:rsid w:val="0E8D07A9"/>
    <w:rsid w:val="0EF37343"/>
    <w:rsid w:val="0F865924"/>
    <w:rsid w:val="0FC23844"/>
    <w:rsid w:val="0FC87CEA"/>
    <w:rsid w:val="10702130"/>
    <w:rsid w:val="10D0497D"/>
    <w:rsid w:val="11851C0B"/>
    <w:rsid w:val="11D54941"/>
    <w:rsid w:val="1232769D"/>
    <w:rsid w:val="13AC7923"/>
    <w:rsid w:val="155D0ED5"/>
    <w:rsid w:val="16FC296F"/>
    <w:rsid w:val="18B103D4"/>
    <w:rsid w:val="18C4126B"/>
    <w:rsid w:val="18F02060"/>
    <w:rsid w:val="1AAE0BB0"/>
    <w:rsid w:val="1AD339E7"/>
    <w:rsid w:val="1B5A7C65"/>
    <w:rsid w:val="1B9238A2"/>
    <w:rsid w:val="1E6257AE"/>
    <w:rsid w:val="1E9DD9FB"/>
    <w:rsid w:val="1FA15E62"/>
    <w:rsid w:val="1FAB4645"/>
    <w:rsid w:val="21FA5CFD"/>
    <w:rsid w:val="24084702"/>
    <w:rsid w:val="24885842"/>
    <w:rsid w:val="27201D62"/>
    <w:rsid w:val="275A34C6"/>
    <w:rsid w:val="278F0C96"/>
    <w:rsid w:val="285C14C0"/>
    <w:rsid w:val="28D81D16"/>
    <w:rsid w:val="2987431B"/>
    <w:rsid w:val="2A3C5105"/>
    <w:rsid w:val="2A8E16D9"/>
    <w:rsid w:val="2C60493C"/>
    <w:rsid w:val="2CBC077F"/>
    <w:rsid w:val="2E67471B"/>
    <w:rsid w:val="2EB15996"/>
    <w:rsid w:val="31A31F0E"/>
    <w:rsid w:val="321E3342"/>
    <w:rsid w:val="327FEEC1"/>
    <w:rsid w:val="32E91BA2"/>
    <w:rsid w:val="33D7D3FD"/>
    <w:rsid w:val="34871673"/>
    <w:rsid w:val="360F7B72"/>
    <w:rsid w:val="36C26364"/>
    <w:rsid w:val="36FF18F5"/>
    <w:rsid w:val="37378B3A"/>
    <w:rsid w:val="388445AC"/>
    <w:rsid w:val="3DDC47DD"/>
    <w:rsid w:val="3F2F3033"/>
    <w:rsid w:val="41354204"/>
    <w:rsid w:val="41CC4968"/>
    <w:rsid w:val="425D1C65"/>
    <w:rsid w:val="44E328F5"/>
    <w:rsid w:val="47EC1AC1"/>
    <w:rsid w:val="48236291"/>
    <w:rsid w:val="489B5295"/>
    <w:rsid w:val="49D51614"/>
    <w:rsid w:val="49DC5B65"/>
    <w:rsid w:val="4B045373"/>
    <w:rsid w:val="4B3D2633"/>
    <w:rsid w:val="4BD411EA"/>
    <w:rsid w:val="4E265601"/>
    <w:rsid w:val="4EBB9C56"/>
    <w:rsid w:val="4EFB6A8D"/>
    <w:rsid w:val="4FBF5D0D"/>
    <w:rsid w:val="4FCF8923"/>
    <w:rsid w:val="50680152"/>
    <w:rsid w:val="51791EEB"/>
    <w:rsid w:val="51BF3DA2"/>
    <w:rsid w:val="527C6137"/>
    <w:rsid w:val="528C45CC"/>
    <w:rsid w:val="53931F26"/>
    <w:rsid w:val="579B2BBB"/>
    <w:rsid w:val="57FFF889"/>
    <w:rsid w:val="58CA327F"/>
    <w:rsid w:val="591B0458"/>
    <w:rsid w:val="5A3B68D8"/>
    <w:rsid w:val="5A5A6D5E"/>
    <w:rsid w:val="5A8E79A5"/>
    <w:rsid w:val="5AED588E"/>
    <w:rsid w:val="5B4F43E9"/>
    <w:rsid w:val="5CCB5CF1"/>
    <w:rsid w:val="5F0E6369"/>
    <w:rsid w:val="5F4DFCFB"/>
    <w:rsid w:val="5F5024DD"/>
    <w:rsid w:val="5F7F5E37"/>
    <w:rsid w:val="5FD70E51"/>
    <w:rsid w:val="5FF765D1"/>
    <w:rsid w:val="601554C3"/>
    <w:rsid w:val="61DB4C28"/>
    <w:rsid w:val="622A5268"/>
    <w:rsid w:val="62595B4D"/>
    <w:rsid w:val="628E6AEB"/>
    <w:rsid w:val="63FFA075"/>
    <w:rsid w:val="64FB1F76"/>
    <w:rsid w:val="65ED6CD8"/>
    <w:rsid w:val="67020A40"/>
    <w:rsid w:val="67AC4971"/>
    <w:rsid w:val="685E210F"/>
    <w:rsid w:val="692110C2"/>
    <w:rsid w:val="6B2D2B8E"/>
    <w:rsid w:val="6BD83F86"/>
    <w:rsid w:val="6F1F3C7A"/>
    <w:rsid w:val="6F629ADF"/>
    <w:rsid w:val="6FEF9FF5"/>
    <w:rsid w:val="703A6FBE"/>
    <w:rsid w:val="71091719"/>
    <w:rsid w:val="71946BA2"/>
    <w:rsid w:val="727D5888"/>
    <w:rsid w:val="72BD7A32"/>
    <w:rsid w:val="72FD5ED2"/>
    <w:rsid w:val="732B6ACD"/>
    <w:rsid w:val="735E3E41"/>
    <w:rsid w:val="7407365B"/>
    <w:rsid w:val="757E794D"/>
    <w:rsid w:val="75954782"/>
    <w:rsid w:val="76373F9F"/>
    <w:rsid w:val="76DD4B47"/>
    <w:rsid w:val="77562203"/>
    <w:rsid w:val="776E39F1"/>
    <w:rsid w:val="78727511"/>
    <w:rsid w:val="79537342"/>
    <w:rsid w:val="7956298E"/>
    <w:rsid w:val="796E7CD8"/>
    <w:rsid w:val="79FDACF9"/>
    <w:rsid w:val="7AFE32DE"/>
    <w:rsid w:val="7B046B46"/>
    <w:rsid w:val="7BC736D0"/>
    <w:rsid w:val="7BF54BED"/>
    <w:rsid w:val="7C779512"/>
    <w:rsid w:val="7CFB1883"/>
    <w:rsid w:val="7D9D5E0B"/>
    <w:rsid w:val="7DFF1BFA"/>
    <w:rsid w:val="7E687BA1"/>
    <w:rsid w:val="7FB78DFE"/>
    <w:rsid w:val="7FEE06FA"/>
    <w:rsid w:val="7FEFB48E"/>
    <w:rsid w:val="7FFBCCB6"/>
    <w:rsid w:val="7FFFA103"/>
    <w:rsid w:val="7FFFEFD3"/>
    <w:rsid w:val="83419930"/>
    <w:rsid w:val="AEFDBFF4"/>
    <w:rsid w:val="B5FD221F"/>
    <w:rsid w:val="BBD390A2"/>
    <w:rsid w:val="BEFB15C1"/>
    <w:rsid w:val="BFDD9831"/>
    <w:rsid w:val="C3F221B0"/>
    <w:rsid w:val="DDF31E7B"/>
    <w:rsid w:val="DF8BE443"/>
    <w:rsid w:val="E57E3F58"/>
    <w:rsid w:val="EAFA71C0"/>
    <w:rsid w:val="EEDDE445"/>
    <w:rsid w:val="EEFE9AA4"/>
    <w:rsid w:val="F9949338"/>
    <w:rsid w:val="FE7F3DBF"/>
    <w:rsid w:val="FF8C3114"/>
    <w:rsid w:val="FFFF4B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nhideWhenUsed="0" w:uiPriority="0" w:semiHidden="0"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semiHidden="0" w:name="Body Text"/>
    <w:lsdException w:uiPriority="99"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00" w:lineRule="auto"/>
      <w:ind w:firstLine="560" w:firstLineChars="200"/>
      <w:jc w:val="both"/>
    </w:pPr>
    <w:rPr>
      <w:rFonts w:ascii="Times New Roman" w:hAnsi="Times New Roman" w:eastAsia="宋体" w:cs="Times New Roman"/>
      <w:color w:val="000000"/>
      <w:kern w:val="2"/>
      <w:sz w:val="24"/>
      <w:szCs w:val="24"/>
      <w:lang w:val="en-US" w:eastAsia="zh-CN" w:bidi="ar-SA"/>
    </w:rPr>
  </w:style>
  <w:style w:type="paragraph" w:styleId="3">
    <w:name w:val="heading 1"/>
    <w:basedOn w:val="1"/>
    <w:next w:val="1"/>
    <w:link w:val="181"/>
    <w:qFormat/>
    <w:uiPriority w:val="0"/>
    <w:pPr>
      <w:keepNext/>
      <w:keepLines/>
      <w:spacing w:before="120" w:beforeLines="0" w:beforeAutospacing="0" w:after="120" w:afterLines="0" w:afterAutospacing="0" w:line="240" w:lineRule="auto"/>
      <w:ind w:firstLine="0" w:firstLineChars="0"/>
      <w:jc w:val="center"/>
      <w:outlineLvl w:val="0"/>
    </w:pPr>
    <w:rPr>
      <w:rFonts w:eastAsia="黑体"/>
      <w:kern w:val="44"/>
      <w:sz w:val="28"/>
    </w:rPr>
  </w:style>
  <w:style w:type="paragraph" w:styleId="4">
    <w:name w:val="heading 2"/>
    <w:basedOn w:val="5"/>
    <w:next w:val="1"/>
    <w:link w:val="182"/>
    <w:unhideWhenUsed/>
    <w:qFormat/>
    <w:uiPriority w:val="0"/>
    <w:pPr>
      <w:spacing w:before="120" w:after="120" w:line="240" w:lineRule="auto"/>
      <w:outlineLvl w:val="1"/>
    </w:pPr>
  </w:style>
  <w:style w:type="paragraph" w:styleId="5">
    <w:name w:val="heading 3"/>
    <w:basedOn w:val="1"/>
    <w:next w:val="1"/>
    <w:link w:val="178"/>
    <w:unhideWhenUsed/>
    <w:qFormat/>
    <w:uiPriority w:val="0"/>
    <w:pPr>
      <w:keepNext/>
      <w:keepLines/>
      <w:spacing w:before="120" w:beforeLines="0" w:beforeAutospacing="0" w:after="120" w:afterLines="0" w:afterAutospacing="0" w:line="240" w:lineRule="auto"/>
      <w:ind w:firstLine="0" w:firstLineChars="0"/>
      <w:jc w:val="left"/>
      <w:outlineLvl w:val="2"/>
    </w:pPr>
    <w:rPr>
      <w:rFonts w:eastAsia="黑体"/>
    </w:rPr>
  </w:style>
  <w:style w:type="paragraph" w:styleId="6">
    <w:name w:val="heading 4"/>
    <w:basedOn w:val="1"/>
    <w:next w:val="1"/>
    <w:link w:val="16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link w:val="166"/>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link w:val="167"/>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link w:val="168"/>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link w:val="169"/>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link w:val="170"/>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41">
    <w:name w:val="Default Paragraph Font"/>
    <w:semiHidden/>
    <w:qFormat/>
    <w:uiPriority w:val="0"/>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6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r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1"/>
      </w:numPr>
    </w:pPr>
  </w:style>
  <w:style w:type="paragraph" w:styleId="14">
    <w:name w:val="List Number"/>
    <w:basedOn w:val="1"/>
    <w:qFormat/>
    <w:uiPriority w:val="0"/>
    <w:pPr>
      <w:numPr>
        <w:ilvl w:val="0"/>
        <w:numId w:val="2"/>
      </w:numPr>
    </w:pPr>
  </w:style>
  <w:style w:type="paragraph" w:styleId="15">
    <w:name w:val="caption"/>
    <w:basedOn w:val="1"/>
    <w:next w:val="1"/>
    <w:semiHidden/>
    <w:unhideWhenUsed/>
    <w:qFormat/>
    <w:uiPriority w:val="0"/>
    <w:rPr>
      <w:rFonts w:ascii="Arial" w:hAnsi="Arial" w:eastAsia="黑体"/>
      <w:sz w:val="20"/>
    </w:rPr>
  </w:style>
  <w:style w:type="paragraph" w:styleId="16">
    <w:name w:val="List Bullet"/>
    <w:basedOn w:val="1"/>
    <w:qFormat/>
    <w:uiPriority w:val="0"/>
    <w:pPr>
      <w:numPr>
        <w:ilvl w:val="0"/>
        <w:numId w:val="3"/>
      </w:numPr>
    </w:pPr>
  </w:style>
  <w:style w:type="paragraph" w:styleId="17">
    <w:name w:val="annotation text"/>
    <w:basedOn w:val="1"/>
    <w:qFormat/>
    <w:uiPriority w:val="0"/>
    <w:pPr>
      <w:jc w:val="left"/>
    </w:pPr>
  </w:style>
  <w:style w:type="paragraph" w:styleId="18">
    <w:name w:val="Body Text 3"/>
    <w:basedOn w:val="1"/>
    <w:link w:val="161"/>
    <w:qFormat/>
    <w:uiPriority w:val="0"/>
    <w:pPr>
      <w:spacing w:after="120" w:afterLines="0" w:afterAutospacing="0"/>
    </w:pPr>
    <w:rPr>
      <w:sz w:val="16"/>
    </w:rPr>
  </w:style>
  <w:style w:type="paragraph" w:styleId="19">
    <w:name w:val="List Bullet 3"/>
    <w:basedOn w:val="1"/>
    <w:qFormat/>
    <w:uiPriority w:val="0"/>
    <w:pPr>
      <w:numPr>
        <w:ilvl w:val="0"/>
        <w:numId w:val="4"/>
      </w:numPr>
    </w:pPr>
  </w:style>
  <w:style w:type="paragraph" w:styleId="20">
    <w:name w:val="Body Text"/>
    <w:basedOn w:val="1"/>
    <w:link w:val="159"/>
    <w:qFormat/>
    <w:uiPriority w:val="0"/>
    <w:rPr>
      <w:rFonts w:ascii="Times New Roman" w:hAnsi="Times New Roman" w:eastAsia="Time" w:cs="宋体"/>
      <w:szCs w:val="21"/>
      <w:lang w:eastAsia="en-US"/>
    </w:rPr>
  </w:style>
  <w:style w:type="paragraph" w:styleId="21">
    <w:name w:val="List Number 3"/>
    <w:basedOn w:val="1"/>
    <w:qFormat/>
    <w:uiPriority w:val="0"/>
    <w:pPr>
      <w:numPr>
        <w:ilvl w:val="0"/>
        <w:numId w:val="5"/>
      </w:numPr>
    </w:pPr>
  </w:style>
  <w:style w:type="paragraph" w:styleId="22">
    <w:name w:val="List 2"/>
    <w:basedOn w:val="1"/>
    <w:qFormat/>
    <w:uiPriority w:val="0"/>
    <w:pPr>
      <w:ind w:left="100" w:leftChars="200" w:hanging="200" w:hangingChars="200"/>
    </w:pPr>
  </w:style>
  <w:style w:type="paragraph" w:styleId="23">
    <w:name w:val="List Continue"/>
    <w:basedOn w:val="1"/>
    <w:qFormat/>
    <w:uiPriority w:val="0"/>
    <w:pPr>
      <w:spacing w:after="120" w:afterLines="0" w:afterAutospacing="0"/>
      <w:ind w:left="420" w:leftChars="200"/>
    </w:pPr>
  </w:style>
  <w:style w:type="paragraph" w:styleId="24">
    <w:name w:val="List Bullet 2"/>
    <w:basedOn w:val="1"/>
    <w:qFormat/>
    <w:uiPriority w:val="0"/>
    <w:pPr>
      <w:numPr>
        <w:ilvl w:val="0"/>
        <w:numId w:val="6"/>
      </w:numPr>
    </w:pPr>
  </w:style>
  <w:style w:type="paragraph" w:styleId="25">
    <w:name w:val="toc 3"/>
    <w:basedOn w:val="1"/>
    <w:next w:val="1"/>
    <w:qFormat/>
    <w:uiPriority w:val="0"/>
    <w:pPr>
      <w:ind w:left="840" w:leftChars="400"/>
    </w:pPr>
  </w:style>
  <w:style w:type="paragraph" w:styleId="26">
    <w:name w:val="Plain Text"/>
    <w:basedOn w:val="1"/>
    <w:qFormat/>
    <w:uiPriority w:val="0"/>
    <w:rPr>
      <w:rFonts w:ascii="宋体" w:hAnsi="Courier New"/>
    </w:rPr>
  </w:style>
  <w:style w:type="paragraph" w:styleId="27">
    <w:name w:val="Balloon Text"/>
    <w:basedOn w:val="1"/>
    <w:qFormat/>
    <w:uiPriority w:val="0"/>
    <w:rPr>
      <w:sz w:val="18"/>
    </w:rPr>
  </w:style>
  <w:style w:type="paragraph" w:styleId="28">
    <w:name w:val="footer"/>
    <w:basedOn w:val="1"/>
    <w:link w:val="180"/>
    <w:qFormat/>
    <w:uiPriority w:val="0"/>
    <w:pPr>
      <w:tabs>
        <w:tab w:val="center" w:pos="4153"/>
        <w:tab w:val="right" w:pos="8306"/>
      </w:tabs>
      <w:snapToGrid w:val="0"/>
      <w:jc w:val="left"/>
    </w:pPr>
    <w:rPr>
      <w:sz w:val="18"/>
    </w:rPr>
  </w:style>
  <w:style w:type="paragraph" w:styleId="29">
    <w:name w:val="header"/>
    <w:basedOn w:val="1"/>
    <w:link w:val="15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0">
    <w:name w:val="toc 1"/>
    <w:basedOn w:val="1"/>
    <w:next w:val="1"/>
    <w:qFormat/>
    <w:uiPriority w:val="0"/>
    <w:pPr>
      <w:ind w:firstLine="0" w:firstLineChars="0"/>
    </w:pPr>
  </w:style>
  <w:style w:type="paragraph" w:styleId="31">
    <w:name w:val="Subtitle"/>
    <w:basedOn w:val="1"/>
    <w:link w:val="157"/>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32">
    <w:name w:val="List"/>
    <w:basedOn w:val="1"/>
    <w:qFormat/>
    <w:uiPriority w:val="0"/>
    <w:pPr>
      <w:ind w:left="200" w:hanging="200" w:hangingChars="200"/>
    </w:pPr>
  </w:style>
  <w:style w:type="paragraph" w:styleId="33">
    <w:name w:val="toc 2"/>
    <w:basedOn w:val="1"/>
    <w:next w:val="1"/>
    <w:qFormat/>
    <w:uiPriority w:val="0"/>
    <w:pPr>
      <w:ind w:left="420" w:leftChars="200" w:firstLine="0" w:firstLineChars="0"/>
    </w:pPr>
  </w:style>
  <w:style w:type="paragraph" w:styleId="34">
    <w:name w:val="Body Text 2"/>
    <w:basedOn w:val="1"/>
    <w:link w:val="160"/>
    <w:qFormat/>
    <w:uiPriority w:val="0"/>
    <w:pPr>
      <w:spacing w:after="120" w:afterLines="0" w:afterAutospacing="0" w:line="480" w:lineRule="auto"/>
    </w:pPr>
  </w:style>
  <w:style w:type="paragraph" w:styleId="35">
    <w:name w:val="List Continue 2"/>
    <w:basedOn w:val="1"/>
    <w:qFormat/>
    <w:uiPriority w:val="0"/>
    <w:pPr>
      <w:spacing w:after="120" w:afterLines="0" w:afterAutospacing="0"/>
      <w:ind w:left="840" w:leftChars="400"/>
    </w:pPr>
  </w:style>
  <w:style w:type="paragraph" w:styleId="36">
    <w:name w:val="HTML Preformatted"/>
    <w:basedOn w:val="1"/>
    <w:qFormat/>
    <w:uiPriority w:val="0"/>
    <w:rPr>
      <w:rFonts w:ascii="Courier New" w:hAnsi="Courier New"/>
      <w:sz w:val="20"/>
    </w:rPr>
  </w:style>
  <w:style w:type="paragraph" w:styleId="37">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38">
    <w:name w:val="List Continue 3"/>
    <w:basedOn w:val="1"/>
    <w:qFormat/>
    <w:uiPriority w:val="0"/>
    <w:pPr>
      <w:spacing w:after="120" w:afterLines="0" w:afterAutospacing="0"/>
      <w:ind w:left="1260" w:leftChars="600"/>
    </w:pPr>
  </w:style>
  <w:style w:type="paragraph" w:styleId="39">
    <w:name w:val="Title"/>
    <w:basedOn w:val="1"/>
    <w:link w:val="156"/>
    <w:qFormat/>
    <w:uiPriority w:val="0"/>
    <w:pPr>
      <w:spacing w:before="240" w:beforeLines="0" w:beforeAutospacing="0" w:after="60" w:afterLines="0" w:afterAutospacing="0"/>
      <w:jc w:val="center"/>
      <w:outlineLvl w:val="0"/>
    </w:pPr>
    <w:rPr>
      <w:rFonts w:ascii="Arial" w:hAnsi="Arial"/>
      <w:b/>
      <w:sz w:val="32"/>
    </w:rPr>
  </w:style>
  <w:style w:type="paragraph" w:styleId="40">
    <w:name w:val="annotation subject"/>
    <w:basedOn w:val="17"/>
    <w:next w:val="17"/>
    <w:qFormat/>
    <w:uiPriority w:val="0"/>
    <w:rPr>
      <w:b/>
    </w:rPr>
  </w:style>
  <w:style w:type="table" w:styleId="42">
    <w:name w:val="Table Grid"/>
    <w:basedOn w:val="4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3">
    <w:name w:val="Light Shading"/>
    <w:basedOn w:val="41"/>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0"/>
    <w:rPr>
      <w:b/>
    </w:rPr>
  </w:style>
  <w:style w:type="character" w:styleId="143">
    <w:name w:val="page number"/>
    <w:basedOn w:val="141"/>
    <w:qFormat/>
    <w:uiPriority w:val="0"/>
  </w:style>
  <w:style w:type="character" w:styleId="144">
    <w:name w:val="FollowedHyperlink"/>
    <w:basedOn w:val="141"/>
    <w:qFormat/>
    <w:uiPriority w:val="0"/>
    <w:rPr>
      <w:color w:val="800080"/>
      <w:u w:val="single"/>
    </w:rPr>
  </w:style>
  <w:style w:type="character" w:styleId="145">
    <w:name w:val="Emphasis"/>
    <w:basedOn w:val="141"/>
    <w:qFormat/>
    <w:uiPriority w:val="0"/>
    <w:rPr>
      <w:i/>
    </w:rPr>
  </w:style>
  <w:style w:type="character" w:styleId="146">
    <w:name w:val="Hyperlink"/>
    <w:basedOn w:val="141"/>
    <w:qFormat/>
    <w:uiPriority w:val="0"/>
    <w:rPr>
      <w:color w:val="0000FF"/>
      <w:u w:val="single"/>
    </w:rPr>
  </w:style>
  <w:style w:type="character" w:styleId="147">
    <w:name w:val="HTML Code"/>
    <w:basedOn w:val="141"/>
    <w:qFormat/>
    <w:uiPriority w:val="0"/>
    <w:rPr>
      <w:rFonts w:ascii="Courier New" w:hAnsi="Courier New"/>
      <w:sz w:val="20"/>
    </w:rPr>
  </w:style>
  <w:style w:type="character" w:styleId="148">
    <w:name w:val="annotation reference"/>
    <w:basedOn w:val="141"/>
    <w:qFormat/>
    <w:uiPriority w:val="0"/>
    <w:rPr>
      <w:sz w:val="21"/>
    </w:rPr>
  </w:style>
  <w:style w:type="paragraph" w:customStyle="1" w:styleId="149">
    <w:name w:val="表格"/>
    <w:basedOn w:val="1"/>
    <w:qFormat/>
    <w:uiPriority w:val="0"/>
    <w:pPr>
      <w:ind w:firstLine="0" w:firstLineChars="0"/>
      <w:jc w:val="center"/>
    </w:pPr>
    <w:rPr>
      <w:rFonts w:hint="eastAsia"/>
    </w:rPr>
  </w:style>
  <w:style w:type="character" w:customStyle="1" w:styleId="150">
    <w:name w:val="Header Char"/>
    <w:link w:val="29"/>
    <w:qFormat/>
    <w:uiPriority w:val="99"/>
    <w:rPr>
      <w:sz w:val="18"/>
    </w:rPr>
  </w:style>
  <w:style w:type="character" w:customStyle="1" w:styleId="151">
    <w:name w:val="Footer Char"/>
    <w:link w:val="28"/>
    <w:qFormat/>
    <w:uiPriority w:val="99"/>
    <w:rPr>
      <w:sz w:val="18"/>
    </w:rPr>
  </w:style>
  <w:style w:type="paragraph" w:styleId="15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3">
    <w:name w:val="Heading 1 Char"/>
    <w:link w:val="3"/>
    <w:qFormat/>
    <w:uiPriority w:val="9"/>
    <w:rPr>
      <w:rFonts w:eastAsia="黑体"/>
      <w:kern w:val="44"/>
      <w:sz w:val="28"/>
    </w:rPr>
  </w:style>
  <w:style w:type="character" w:customStyle="1" w:styleId="154">
    <w:name w:val="Heading 2 Char"/>
    <w:link w:val="4"/>
    <w:qFormat/>
    <w:uiPriority w:val="9"/>
  </w:style>
  <w:style w:type="character" w:customStyle="1" w:styleId="155">
    <w:name w:val="Heading 3 Char"/>
    <w:link w:val="5"/>
    <w:qFormat/>
    <w:uiPriority w:val="9"/>
    <w:rPr>
      <w:rFonts w:eastAsia="黑体"/>
    </w:rPr>
  </w:style>
  <w:style w:type="character" w:customStyle="1" w:styleId="156">
    <w:name w:val="Title Char"/>
    <w:link w:val="39"/>
    <w:qFormat/>
    <w:uiPriority w:val="10"/>
    <w:rPr>
      <w:rFonts w:ascii="Arial" w:hAnsi="Arial"/>
      <w:b/>
      <w:sz w:val="32"/>
    </w:rPr>
  </w:style>
  <w:style w:type="character" w:customStyle="1" w:styleId="157">
    <w:name w:val="Subtitle Char"/>
    <w:link w:val="31"/>
    <w:qFormat/>
    <w:uiPriority w:val="11"/>
    <w:rPr>
      <w:rFonts w:ascii="Arial" w:hAnsi="Arial"/>
      <w:b/>
      <w:kern w:val="28"/>
      <w:sz w:val="32"/>
    </w:rPr>
  </w:style>
  <w:style w:type="paragraph" w:styleId="158">
    <w:name w:val="List Paragraph"/>
    <w:basedOn w:val="1"/>
    <w:qFormat/>
    <w:uiPriority w:val="34"/>
    <w:pPr>
      <w:ind w:left="720"/>
      <w:contextualSpacing/>
    </w:pPr>
  </w:style>
  <w:style w:type="character" w:customStyle="1" w:styleId="159">
    <w:name w:val="Body Text Char"/>
    <w:link w:val="20"/>
    <w:qFormat/>
    <w:uiPriority w:val="99"/>
    <w:rPr>
      <w:rFonts w:ascii="Times New Roman" w:hAnsi="Times New Roman" w:eastAsia="Time" w:cs="宋体"/>
      <w:szCs w:val="21"/>
      <w:lang w:eastAsia="en-US"/>
    </w:rPr>
  </w:style>
  <w:style w:type="character" w:customStyle="1" w:styleId="160">
    <w:name w:val="Body Text 2 Char"/>
    <w:link w:val="34"/>
    <w:qFormat/>
    <w:uiPriority w:val="99"/>
  </w:style>
  <w:style w:type="character" w:customStyle="1" w:styleId="161">
    <w:name w:val="Body Text 3 Char"/>
    <w:link w:val="18"/>
    <w:qFormat/>
    <w:uiPriority w:val="99"/>
    <w:rPr>
      <w:sz w:val="16"/>
    </w:rPr>
  </w:style>
  <w:style w:type="character" w:customStyle="1" w:styleId="162">
    <w:name w:val="Macro Text Char"/>
    <w:link w:val="2"/>
    <w:qFormat/>
    <w:uiPriority w:val="99"/>
    <w:rPr>
      <w:rFonts w:ascii="Courier New" w:hAnsi="Courier New"/>
      <w:kern w:val="2"/>
      <w:sz w:val="24"/>
      <w:lang w:val="en-US" w:eastAsia="zh-CN"/>
    </w:rPr>
  </w:style>
  <w:style w:type="paragraph" w:styleId="163">
    <w:name w:val="Quote"/>
    <w:basedOn w:val="1"/>
    <w:next w:val="1"/>
    <w:link w:val="164"/>
    <w:qFormat/>
    <w:uiPriority w:val="29"/>
    <w:rPr>
      <w:i/>
      <w:iCs/>
      <w:color w:val="000000" w:themeColor="text1"/>
      <w14:textFill>
        <w14:solidFill>
          <w14:schemeClr w14:val="tx1"/>
        </w14:solidFill>
      </w14:textFill>
    </w:rPr>
  </w:style>
  <w:style w:type="character" w:customStyle="1" w:styleId="164">
    <w:name w:val="Quote Char"/>
    <w:basedOn w:val="141"/>
    <w:link w:val="163"/>
    <w:qFormat/>
    <w:uiPriority w:val="29"/>
    <w:rPr>
      <w:i/>
      <w:iCs/>
      <w:color w:val="000000" w:themeColor="text1"/>
      <w14:textFill>
        <w14:solidFill>
          <w14:schemeClr w14:val="tx1"/>
        </w14:solidFill>
      </w14:textFill>
    </w:rPr>
  </w:style>
  <w:style w:type="character" w:customStyle="1" w:styleId="165">
    <w:name w:val="Heading 4 Char"/>
    <w:link w:val="6"/>
    <w:semiHidden/>
    <w:qFormat/>
    <w:uiPriority w:val="9"/>
    <w:rPr>
      <w:rFonts w:ascii="Arial" w:hAnsi="Arial" w:eastAsia="黑体"/>
      <w:b/>
      <w:sz w:val="28"/>
    </w:rPr>
  </w:style>
  <w:style w:type="character" w:customStyle="1" w:styleId="166">
    <w:name w:val="Heading 5 Char"/>
    <w:link w:val="7"/>
    <w:semiHidden/>
    <w:qFormat/>
    <w:uiPriority w:val="9"/>
    <w:rPr>
      <w:b/>
      <w:sz w:val="28"/>
    </w:rPr>
  </w:style>
  <w:style w:type="character" w:customStyle="1" w:styleId="167">
    <w:name w:val="Heading 6 Char"/>
    <w:link w:val="8"/>
    <w:semiHidden/>
    <w:qFormat/>
    <w:uiPriority w:val="9"/>
    <w:rPr>
      <w:rFonts w:ascii="Arial" w:hAnsi="Arial" w:eastAsia="黑体"/>
      <w:b/>
      <w:sz w:val="24"/>
    </w:rPr>
  </w:style>
  <w:style w:type="character" w:customStyle="1" w:styleId="168">
    <w:name w:val="Heading 7 Char"/>
    <w:link w:val="9"/>
    <w:semiHidden/>
    <w:qFormat/>
    <w:uiPriority w:val="9"/>
    <w:rPr>
      <w:b/>
      <w:sz w:val="24"/>
    </w:rPr>
  </w:style>
  <w:style w:type="character" w:customStyle="1" w:styleId="169">
    <w:name w:val="Heading 8 Char"/>
    <w:link w:val="10"/>
    <w:semiHidden/>
    <w:qFormat/>
    <w:uiPriority w:val="9"/>
    <w:rPr>
      <w:rFonts w:ascii="Arial" w:hAnsi="Arial" w:eastAsia="黑体"/>
      <w:sz w:val="24"/>
    </w:rPr>
  </w:style>
  <w:style w:type="character" w:customStyle="1" w:styleId="170">
    <w:name w:val="Heading 9 Char"/>
    <w:link w:val="11"/>
    <w:semiHidden/>
    <w:qFormat/>
    <w:uiPriority w:val="9"/>
    <w:rPr>
      <w:rFonts w:ascii="Arial" w:hAnsi="Arial" w:eastAsia="黑体"/>
      <w:sz w:val="21"/>
    </w:rPr>
  </w:style>
  <w:style w:type="paragraph" w:styleId="171">
    <w:name w:val="Intense Quote"/>
    <w:basedOn w:val="1"/>
    <w:next w:val="1"/>
    <w:link w:val="17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2">
    <w:name w:val="Intense Quote Char"/>
    <w:basedOn w:val="141"/>
    <w:link w:val="171"/>
    <w:qFormat/>
    <w:uiPriority w:val="30"/>
    <w:rPr>
      <w:b/>
      <w:bCs/>
      <w:i/>
      <w:iCs/>
      <w:color w:val="4F81BD" w:themeColor="accent1"/>
      <w14:textFill>
        <w14:solidFill>
          <w14:schemeClr w14:val="accent1"/>
        </w14:solidFill>
      </w14:textFill>
    </w:rPr>
  </w:style>
  <w:style w:type="character" w:customStyle="1" w:styleId="173">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74">
    <w:name w:val="Intense Emphasis"/>
    <w:basedOn w:val="141"/>
    <w:qFormat/>
    <w:uiPriority w:val="21"/>
    <w:rPr>
      <w:b/>
      <w:bCs/>
      <w:i/>
      <w:iCs/>
      <w:color w:val="4F81BD" w:themeColor="accent1"/>
      <w14:textFill>
        <w14:solidFill>
          <w14:schemeClr w14:val="accent1"/>
        </w14:solidFill>
      </w14:textFill>
    </w:rPr>
  </w:style>
  <w:style w:type="character" w:customStyle="1" w:styleId="175">
    <w:name w:val="Subtle Reference"/>
    <w:basedOn w:val="141"/>
    <w:qFormat/>
    <w:uiPriority w:val="31"/>
    <w:rPr>
      <w:smallCaps/>
      <w:color w:val="C0504D" w:themeColor="accent2"/>
      <w:u w:val="single"/>
      <w14:textFill>
        <w14:solidFill>
          <w14:schemeClr w14:val="accent2"/>
        </w14:solidFill>
      </w14:textFill>
    </w:rPr>
  </w:style>
  <w:style w:type="character" w:customStyle="1" w:styleId="176">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7">
    <w:name w:val="标题 1 Char"/>
    <w:link w:val="3"/>
    <w:qFormat/>
    <w:uiPriority w:val="0"/>
    <w:rPr>
      <w:rFonts w:eastAsia="黑体"/>
      <w:kern w:val="44"/>
      <w:sz w:val="28"/>
    </w:rPr>
  </w:style>
  <w:style w:type="character" w:customStyle="1" w:styleId="178">
    <w:name w:val="标题 3 字符"/>
    <w:link w:val="5"/>
    <w:semiHidden/>
    <w:qFormat/>
    <w:uiPriority w:val="0"/>
    <w:rPr>
      <w:rFonts w:eastAsia="黑体"/>
    </w:rPr>
  </w:style>
  <w:style w:type="character" w:customStyle="1" w:styleId="179">
    <w:name w:val="标题 2 Char"/>
    <w:link w:val="4"/>
    <w:qFormat/>
    <w:uiPriority w:val="0"/>
  </w:style>
  <w:style w:type="character" w:customStyle="1" w:styleId="180">
    <w:name w:val="页脚 字符"/>
    <w:link w:val="28"/>
    <w:qFormat/>
    <w:uiPriority w:val="99"/>
    <w:rPr>
      <w:sz w:val="18"/>
    </w:rPr>
  </w:style>
  <w:style w:type="character" w:customStyle="1" w:styleId="181">
    <w:name w:val="标题 1 字符"/>
    <w:link w:val="3"/>
    <w:qFormat/>
    <w:uiPriority w:val="0"/>
    <w:rPr>
      <w:rFonts w:eastAsia="黑体"/>
      <w:kern w:val="44"/>
      <w:sz w:val="28"/>
    </w:rPr>
  </w:style>
  <w:style w:type="character" w:customStyle="1" w:styleId="182">
    <w:name w:val="标题 2 字符"/>
    <w:link w:val="4"/>
    <w:semiHidden/>
    <w:qFormat/>
    <w:uiPriority w:val="0"/>
  </w:style>
  <w:style w:type="paragraph" w:customStyle="1" w:styleId="183">
    <w:name w:val="表标题"/>
    <w:basedOn w:val="1"/>
    <w:next w:val="1"/>
    <w:qFormat/>
    <w:uiPriority w:val="0"/>
    <w:pPr>
      <w:ind w:firstLine="0" w:firstLineChars="0"/>
      <w:jc w:val="center"/>
    </w:pPr>
    <w:rPr>
      <w:rFonts w:eastAsia="楷体_GB2312"/>
      <w:szCs w:val="21"/>
    </w:rPr>
  </w:style>
  <w:style w:type="paragraph" w:customStyle="1" w:styleId="184">
    <w:name w:val="图标题"/>
    <w:basedOn w:val="1"/>
    <w:qFormat/>
    <w:uiPriority w:val="0"/>
    <w:pPr>
      <w:ind w:firstLine="0" w:firstLineChars="0"/>
      <w:jc w:val="center"/>
    </w:pPr>
    <w:rPr>
      <w:rFonts w:eastAsia="楷体_GB2312"/>
      <w:szCs w:val="21"/>
    </w:rPr>
  </w:style>
  <w:style w:type="table" w:customStyle="1" w:styleId="185">
    <w:name w:val="Table Normal"/>
    <w:unhideWhenUsed/>
    <w:qFormat/>
    <w:uiPriority w:val="0"/>
    <w:tblPr>
      <w:tblCellMar>
        <w:top w:w="0" w:type="dxa"/>
        <w:left w:w="0" w:type="dxa"/>
        <w:bottom w:w="0" w:type="dxa"/>
        <w:right w:w="0" w:type="dxa"/>
      </w:tblCellMar>
    </w:tblPr>
  </w:style>
  <w:style w:type="paragraph" w:customStyle="1" w:styleId="186">
    <w:name w:val="代码"/>
    <w:basedOn w:val="1"/>
    <w:qFormat/>
    <w:uiPriority w:val="0"/>
    <w:pPr>
      <w:wordWrap w:val="0"/>
      <w:ind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31</Pages>
  <Words>4188</Words>
  <Characters>5949</Characters>
  <Lines>1</Lines>
  <Paragraphs>1</Paragraphs>
  <TotalTime>58</TotalTime>
  <ScaleCrop>false</ScaleCrop>
  <LinksUpToDate>false</LinksUpToDate>
  <CharactersWithSpaces>6496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python-docx</dc:creator>
  <dc:description>generated by python-docx</dc:description>
  <cp:lastModifiedBy>zhk</cp:lastModifiedBy>
  <dcterms:modified xsi:type="dcterms:W3CDTF">2026-06-16T00:09:45Z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eyJoZGlkIjoiMjRmYjc5YzRhZTBkMzc2Y2I0MWRkMjBjZTllYzliZWIiLCJ1c2VySWQiOiI1NDM0MTIyMTQifQ==</vt:lpwstr>
  </property>
  <property fmtid="{D5CDD505-2E9C-101B-9397-08002B2CF9AE}" pid="3" name="KSOProductBuildVer">
    <vt:lpwstr>2052-12.1.0.26895</vt:lpwstr>
  </property>
  <property fmtid="{D5CDD505-2E9C-101B-9397-08002B2CF9AE}" pid="4" name="ICV">
    <vt:lpwstr>47A793FB48DE4F428A672AAEC22B76BF_13</vt:lpwstr>
  </property>
</Properties>
</file>