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Nyx 赛题 II 科学可视化提交材料</w:t>
      </w:r>
    </w:p>
    <w:p>
      <w:r>
        <w:t>基于 Nyx 128³ 气体密度场（100 时间步）的体渲染、时序统计与刷选联动分析。</w:t>
      </w:r>
    </w:p>
    <w:p>
      <w:r>
        <w:t># 任务一：体数据渲染与密度演化</w:t>
      </w:r>
    </w:p>
    <w:p>
      <w:pPr>
        <w:pStyle w:val="Heading1"/>
      </w:pPr>
      <w:r>
        <w:t>方法</w:t>
      </w:r>
    </w:p>
    <w:p>
      <w:pPr>
        <w:pStyle w:val="ListBullet"/>
      </w:pPr>
      <w:r>
        <w:t>**数据**：Nyx 官方 128³ 气体密度，100 时间步，小端 float32，存储顺序 z→y→x（`index = z + 128y + 128²x`）。</w:t>
      </w:r>
    </w:p>
    <w:p>
      <w:pPr>
        <w:pStyle w:val="ListBullet"/>
      </w:pPr>
      <w:r>
        <w:t>**渲染**：基于 vtk.js 的 GPU 光线投射体渲染；传递函数采用宇宙学预设 `cosmic`（log 域、全局 p01–p99）；展板质量采样 + Phong 着色；五帧由 Playwright 截取。</w:t>
      </w:r>
    </w:p>
    <w:p>
      <w:pPr>
        <w:pStyle w:val="ListBullet"/>
      </w:pPr>
      <w:r>
        <w:t>**展示**：选取 t=0/25/50/75/99 五帧，统一色标与相机，便于对比演化。</w:t>
      </w:r>
    </w:p>
    <w:p>
      <w:pPr>
        <w:pStyle w:val="Heading1"/>
      </w:pPr>
      <w:r>
        <w:t>观察</w:t>
      </w:r>
    </w:p>
    <w:p>
      <w:pPr>
        <w:pStyle w:val="ListBullet"/>
      </w:pPr>
      <w:r>
        <w:t>**t=0**：整体呈均匀雾状，filament 对比度弱，尚处于涨落初生的“平滑”阶段。</w:t>
      </w:r>
    </w:p>
    <w:p>
      <w:pPr>
        <w:pStyle w:val="ListBullet"/>
      </w:pPr>
      <w:r>
        <w:t>**t=25–50**：丝状结构逐渐连通，低密度 void 区域扩大。</w:t>
      </w:r>
    </w:p>
    <w:p>
      <w:pPr>
        <w:pStyle w:val="ListBullet"/>
      </w:pPr>
      <w:r>
        <w:t>**t=99**：宇宙网状拓扑清晰，高密度脊线与节点在体渲染中形成亮带，与统计上的右尾增厚一致。</w:t>
      </w:r>
    </w:p>
    <w:p>
      <w:pPr>
        <w:pStyle w:val="Heading1"/>
      </w:pPr>
      <w:r>
        <w:t>数据佐证</w:t>
      </w:r>
    </w:p>
    <w:p>
      <w:pPr>
        <w:pStyle w:val="ListBullet"/>
      </w:pPr>
      <w:r>
        <w:t>t=0: mean=9.4854, σ=0.4318, p99=10.7255, max=13.8433</w:t>
      </w:r>
    </w:p>
    <w:p>
      <w:pPr>
        <w:pStyle w:val="ListBullet"/>
      </w:pPr>
      <w:r>
        <w:t>t=25: mean=9.4369, σ=0.4525, p99=10.7402, max=14.0505</w:t>
      </w:r>
    </w:p>
    <w:p>
      <w:pPr>
        <w:pStyle w:val="ListBullet"/>
      </w:pPr>
      <w:r>
        <w:t>t=50: mean=9.3954, σ=0.4693, p99=10.7507, max=14.3269</w:t>
      </w:r>
    </w:p>
    <w:p>
      <w:pPr>
        <w:pStyle w:val="ListBullet"/>
      </w:pPr>
      <w:r>
        <w:t>t=75: mean=9.3556, σ=0.4847, p99=10.7547, max=14.3541</w:t>
      </w:r>
    </w:p>
    <w:p>
      <w:pPr>
        <w:pStyle w:val="ListBullet"/>
      </w:pPr>
      <w:r>
        <w:t>t=99: mean=9.3187, σ=0.4983, p99=10.7601, max=14.4494</w:t>
      </w:r>
    </w:p>
    <w:p>
      <w:pPr>
        <w:pStyle w:val="Heading1"/>
      </w:pPr>
      <w:r>
        <w:t>工具与环境</w:t>
      </w:r>
    </w:p>
    <w:p>
      <w:pPr>
        <w:pStyle w:val="ListBullet"/>
      </w:pPr>
      <w:r>
        <w:t>**本任务**：vtk.js 体渲染 + cosmic 传递函数；静态条带与单帧图由 `generate_figures.py` 排版，体渲染帧由 Playwright 生成。</w:t>
      </w:r>
    </w:p>
    <w:p>
      <w:pPr>
        <w:pStyle w:val="ListBullet"/>
      </w:pPr>
      <w:r>
        <w:t>**通用栈**：Vite + React + TypeScript；**vtk.js** 体渲染；**D3.js** 统计图表；Python（`tools/python/precompute.py`、`generate_figures.py`、`viz_style.py`）预计算与 matplotlib 配图；**Playwright**（`tools/node/capture_volumes.mjs`）1920×1080 体渲染截图；`export_report.py` / `export_docx.py` 报告导出；`npm run submission-pack` 一键交付。</w:t>
      </w:r>
    </w:p>
    <w:p>
      <w:pPr>
        <w:pStyle w:val="Heading1"/>
      </w:pPr>
      <w:r>
        <w:t>配图（≤5）</w:t>
      </w:r>
    </w:p>
    <w:p>
      <w:r>
        <w:t>task1_vol_strip</w:t>
      </w:r>
    </w:p>
    <w:p>
      <w:r>
        <w:drawing>
          <wp:inline xmlns:a="http://schemas.openxmlformats.org/drawingml/2006/main" xmlns:pic="http://schemas.openxmlformats.org/drawingml/2006/picture">
            <wp:extent cx="5400000" cy="1852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str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task1_vol_t0000</w:t>
      </w:r>
    </w:p>
    <w:p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task1_vol_t0050</w:t>
      </w:r>
    </w:p>
    <w:p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task1_vol_t0099</w:t>
      </w:r>
    </w:p>
    <w:p>
      <w:r>
        <w:drawing>
          <wp:inline xmlns:a="http://schemas.openxmlformats.org/drawingml/2006/main" xmlns:pic="http://schemas.openxmlformats.org/drawingml/2006/picture">
            <wp:extent cx="540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任务二：宇宙密度演化规律归纳</w:t>
      </w:r>
    </w:p>
    <w:p>
      <w:pPr>
        <w:pStyle w:val="Heading1"/>
      </w:pPr>
      <w:r>
        <w:t>数据与物理背景</w:t>
      </w:r>
    </w:p>
    <w:p>
      <w:pPr>
        <w:pStyle w:val="ListBullet"/>
      </w:pPr>
      <w:r>
        <w:t>本数据集来自 **Nyx** 宇宙学模拟：基于 **AMReX** 自适应网格框架的引力流体计算，追踪高红移宇宙中**星系际介质（IGM）**气体密度随时间的演化。</w:t>
      </w:r>
    </w:p>
    <w:p>
      <w:pPr>
        <w:pStyle w:val="ListBullet"/>
      </w:pPr>
      <w:r>
        <w:t>128³ 子体积记录的是**重子气体密度**（非暗物质）；100 个时间步对应引力不稳定下，由近乎均匀微涨落向 **void—filament—node** 宇宙网拓扑分化的典型过程。</w:t>
      </w:r>
    </w:p>
    <w:p>
      <w:pPr>
        <w:pStyle w:val="ListBullet"/>
      </w:pPr>
      <w:r>
        <w:t>IGM 密度动态范围大、分布强右偏，故本报告在 log 域统计与可视化；绝大部分体积仍为稀疏 IGM，肉眼可见的亮脊/节点对应极少数高密度尾。</w:t>
      </w:r>
    </w:p>
    <w:p>
      <w:pPr>
        <w:pStyle w:val="Heading1"/>
      </w:pPr>
      <w:r>
        <w:t>结构形成（团块化）</w:t>
      </w:r>
    </w:p>
    <w:p>
      <w:pPr>
        <w:pStyle w:val="ListBullet"/>
      </w:pPr>
      <w:r>
        <w:t>在 100 步引力团块化过程中，**密度分位跨度 p99−p01** 由 2.098 增至 2.414（+15.1%），说明高低密度区域分化加剧。</w:t>
      </w:r>
    </w:p>
    <w:p>
      <w:pPr>
        <w:pStyle w:val="ListBullet"/>
      </w:pPr>
      <w:r>
        <w:t>**标准差 σ** 由 0.4318 升至 0.4983，全域涨落幅度持续扩大，符合“均匀 IGM → 纤维/节点”结构形成图像。</w:t>
      </w:r>
    </w:p>
    <w:p>
      <w:pPr>
        <w:pStyle w:val="Heading1"/>
      </w:pPr>
      <w:r>
        <w:t>星系际介质（IGM）</w:t>
      </w:r>
    </w:p>
    <w:p>
      <w:pPr>
        <w:pStyle w:val="ListBullet"/>
      </w:pPr>
      <w:r>
        <w:t>密度直方图主峰始终位于中低密区，**≥p99 的体素体积占比**约 1.00%（t=99），即绝大部分体积仍为稀疏 IGM，仅少量重子汇入致密通道构成宇宙网可见结构。</w:t>
      </w:r>
    </w:p>
    <w:p>
      <w:pPr>
        <w:pStyle w:val="Heading1"/>
      </w:pPr>
      <w:r>
        <w:t>可视化应用价值</w:t>
      </w:r>
    </w:p>
    <w:p>
      <w:pPr>
        <w:pStyle w:val="ListBullet"/>
      </w:pPr>
      <w:r>
        <w:t>**体渲染**提供全局形态直觉，识别 filaments 与 void 的空间布局；</w:t>
      </w:r>
    </w:p>
    <w:p>
      <w:pPr>
        <w:pStyle w:val="ListBullet"/>
      </w:pPr>
      <w:r>
        <w:t>**100 步 log 直方图**量化分布漂移，避免“只看漂亮图”的主观判断；</w:t>
      </w:r>
    </w:p>
    <w:p>
      <w:pPr>
        <w:pStyle w:val="ListBullet"/>
      </w:pPr>
      <w:r>
        <w:t>**相空间刷选**将高密度尾与空间节点一一对应，形成“假设—统计—空间”闭环，支撑宇宙学数据探索。</w:t>
      </w:r>
    </w:p>
    <w:p>
      <w:pPr>
        <w:pStyle w:val="Heading1"/>
      </w:pPr>
      <w:r>
        <w:t>可检验结论（三条）</w:t>
      </w:r>
    </w:p>
    <w:p>
      <w:r>
        <w:t>1. 涨落增强：σ(t) 单调上升趋势（见图 task2_evolution_story）。</w:t>
      </w:r>
    </w:p>
    <w:p>
      <w:r>
        <w:t>2. 两极分化：偏度维持右偏且尾翼抬升，低密度空洞与高密度节点共存。</w:t>
      </w:r>
    </w:p>
    <w:p>
      <w:r>
        <w:t>3. 宇宙网对应：Top 1% 空间投影呈丝状聚集，与体渲染亮脊位置一致（任务四验证）。</w:t>
      </w:r>
    </w:p>
    <w:p>
      <w:pPr>
        <w:pStyle w:val="Heading1"/>
      </w:pPr>
      <w:r>
        <w:t>工具与环境</w:t>
      </w:r>
    </w:p>
    <w:p>
      <w:pPr>
        <w:pStyle w:val="ListBullet"/>
      </w:pPr>
      <w:r>
        <w:t>**本任务**：`precompute.py` 百步全域统计；`generate_figures.py` 绘制 task2 四联演化曲线（matplotlib + cosmic 主题）。</w:t>
      </w:r>
    </w:p>
    <w:p>
      <w:pPr>
        <w:pStyle w:val="ListBullet"/>
      </w:pPr>
      <w:r>
        <w:t>**通用栈**：Vite + React + TypeScript；**vtk.js** 体渲染；**D3.js** 统计图表；Python（`tools/python/precompute.py`、`generate_figures.py`、`viz_style.py`）预计算与 matplotlib 配图；**Playwright**（`tools/node/capture_volumes.mjs`）1920×1080 体渲染截图；`export_report.py` / `export_docx.py` 报告导出；`npm run submission-pack` 一键交付。</w:t>
      </w:r>
    </w:p>
    <w:p>
      <w:pPr>
        <w:pStyle w:val="Heading1"/>
      </w:pPr>
      <w:r>
        <w:t>配图</w:t>
      </w:r>
    </w:p>
    <w:p>
      <w:r>
        <w:t>task2_evolution_story</w:t>
      </w:r>
    </w:p>
    <w:p>
      <w:r>
        <w:drawing>
          <wp:inline xmlns:a="http://schemas.openxmlformats.org/drawingml/2006/main" xmlns:pic="http://schemas.openxmlformats.org/drawingml/2006/picture">
            <wp:extent cx="540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volution_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task3_hist_overlay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hist_over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task1_vol_t0000</w:t>
      </w:r>
    </w:p>
    <w:p>
      <w:r>
        <w:drawing>
          <wp:inline xmlns:a="http://schemas.openxmlformats.org/drawingml/2006/main" xmlns:pic="http://schemas.openxmlformats.org/drawingml/2006/picture">
            <wp:extent cx="5400000" cy="303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task1_vol_t0099</w:t>
      </w:r>
    </w:p>
    <w:p>
      <w:r>
        <w:drawing>
          <wp:inline xmlns:a="http://schemas.openxmlformats.org/drawingml/2006/main" xmlns:pic="http://schemas.openxmlformats.org/drawingml/2006/picture">
            <wp:extent cx="5400000" cy="303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任务三：时序密度对数直方图统计</w:t>
      </w:r>
    </w:p>
    <w:p>
      <w:pPr>
        <w:pStyle w:val="Heading1"/>
      </w:pPr>
      <w:r>
        <w:t>方法</w:t>
      </w:r>
    </w:p>
    <w:p>
      <w:pPr>
        <w:pStyle w:val="ListBullet"/>
      </w:pPr>
      <w:r>
        <w:t>对 **全部 100 个时间步** 的气体密度做 **log 等距分箱**（128 bins），边界 `[7.7533, 14.5231]`（全域 min/max）。</w:t>
      </w:r>
    </w:p>
    <w:p>
      <w:pPr>
        <w:pStyle w:val="ListBullet"/>
      </w:pPr>
      <w:r>
        <w:t>分箱中心 ρᵢ = √(edgeᵢ · edgeᵢ₊₁)，直方图为归一化频数 Σcount/N。</w:t>
      </w:r>
    </w:p>
    <w:p>
      <w:pPr>
        <w:pStyle w:val="ListBullet"/>
      </w:pPr>
      <w:r>
        <w:t>同步预计算每步 mean、σ、p01/p50/p99、偏度 skew，用于时序曲线（`tools/python/precompute.py` → `timeline.json`）。</w:t>
      </w:r>
    </w:p>
    <w:p>
      <w:pPr>
        <w:pStyle w:val="Heading1"/>
      </w:pPr>
      <w:r>
        <w:t>演化规律</w:t>
      </w:r>
    </w:p>
    <w:p>
      <w:pPr>
        <w:pStyle w:val="ListBullet"/>
      </w:pPr>
      <w:r>
        <w:t>**团块化**：σ 由 0.4318 → 0.4983，物质分布由相对均匀转向强烈聚敛。</w:t>
      </w:r>
    </w:p>
    <w:p>
      <w:pPr>
        <w:pStyle w:val="ListBullet"/>
      </w:pPr>
      <w:r>
        <w:t>**两极分化**：偏度 0.7162 → 0.7183，右尾持续增厚；代表步直方图叠加显示主峰略移、尾部抬升，对应“void + 致密节点”。</w:t>
      </w:r>
    </w:p>
    <w:p>
      <w:pPr>
        <w:pStyle w:val="ListBullet"/>
      </w:pPr>
      <w:r>
        <w:t>**分位跨度**：p99−p01 扩大，高密度尾体积占比稳定在 ~1% 量级，但空间上对应可见宇宙网。</w:t>
      </w:r>
    </w:p>
    <w:p>
      <w:pPr>
        <w:pStyle w:val="Heading1"/>
      </w:pPr>
      <w:r>
        <w:t>与赛题描述的对照</w:t>
      </w:r>
    </w:p>
    <w:p>
      <w:r>
        <w:t>赛题指出早期密度集中于均值附近、后期出现空洞与峰值两极分化——本工作用 **100 步完整直方图序列** 而非单帧切片证明该趋势，并给出可复现的数值曲线。</w:t>
      </w:r>
    </w:p>
    <w:p>
      <w:pPr>
        <w:pStyle w:val="Heading1"/>
      </w:pPr>
      <w:r>
        <w:t>工具与环境</w:t>
      </w:r>
    </w:p>
    <w:p>
      <w:pPr>
        <w:pStyle w:val="ListBullet"/>
      </w:pPr>
      <w:r>
        <w:t>**本任务**：`precompute.py` 生成 128-bin log 直方图与 `timeline.json`；静态曲线/叠加图由 `generate_figures.py` 输出；交互页 **D3.js** 直方图与时序图与成果页一致。</w:t>
      </w:r>
    </w:p>
    <w:p>
      <w:pPr>
        <w:pStyle w:val="ListBullet"/>
      </w:pPr>
      <w:r>
        <w:t>**通用栈**：Vite + React + TypeScript；**vtk.js** 体渲染；**D3.js** 统计图表；Python（`tools/python/precompute.py`、`generate_figures.py`、`viz_style.py`）预计算与 matplotlib 配图；**Playwright**（`tools/node/capture_volumes.mjs`）1920×1080 体渲染截图；`export_report.py` / `export_docx.py` 报告导出；`npm run submission-pack` 一键交付。</w:t>
      </w:r>
    </w:p>
    <w:p>
      <w:pPr>
        <w:pStyle w:val="Heading1"/>
      </w:pPr>
      <w:r>
        <w:t>配图</w:t>
      </w:r>
    </w:p>
    <w:p>
      <w:r>
        <w:t>task3_hist_overlay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hist_over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task3_metrics_timeline</w:t>
      </w:r>
    </w:p>
    <w:p>
      <w:r>
        <w:drawing>
          <wp:inline xmlns:a="http://schemas.openxmlformats.org/drawingml/2006/main" xmlns:pic="http://schemas.openxmlformats.org/drawingml/2006/picture">
            <wp:extent cx="5400000" cy="2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metrics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task3_evolution_metrics</w:t>
      </w:r>
    </w:p>
    <w:p>
      <w:r>
        <w:drawing>
          <wp:inline xmlns:a="http://schemas.openxmlformats.org/drawingml/2006/main" xmlns:pic="http://schemas.openxmlformats.org/drawingml/2006/picture">
            <wp:extent cx="5400000" cy="17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evolution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task3_peak_drift</w:t>
      </w:r>
    </w:p>
    <w:p>
      <w:r>
        <w:drawing>
          <wp:inline xmlns:a="http://schemas.openxmlformats.org/drawingml/2006/main" xmlns:pic="http://schemas.openxmlformats.org/drawingml/2006/picture">
            <wp:extent cx="5400000" cy="236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peak_dri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任务四：相空间交互刷选可视分析</w:t>
      </w:r>
    </w:p>
    <w:p>
      <w:pPr>
        <w:pStyle w:val="Heading1"/>
      </w:pPr>
      <w:r>
        <w:t>系统功能</w:t>
      </w:r>
    </w:p>
    <w:p>
      <w:pPr>
        <w:pStyle w:val="ListBullet"/>
      </w:pPr>
      <w:r>
        <w:t>**统计视图**：log 密度直方图，支持拖拽框选密度区间；快捷 **Top 1%**（ρ≥p99=10.7601）与 **Bottom 1%**（ρ≤p01=8.3458）。</w:t>
      </w:r>
    </w:p>
    <w:p>
      <w:pPr>
        <w:pStyle w:val="ListBullet"/>
      </w:pPr>
      <w:r>
        <w:t>**空间视图**：vtk.js 体渲染对刷选区间体素做传递函数高亮；Canvas 2D **最大密度投影** 以金色标出刷选体素；可选 3D 点云（≤12000 点，Web Worker 后台扫描）。</w:t>
      </w:r>
    </w:p>
    <w:p>
      <w:pPr>
        <w:pStyle w:val="ListBullet"/>
      </w:pPr>
      <w:r>
        <w:t>**性能**：刷选扫描在 Worker 线程；VTK 按需加载；相邻时间步 idle 预取。</w:t>
      </w:r>
    </w:p>
    <w:p>
      <w:pPr>
        <w:pStyle w:val="Heading1"/>
      </w:pPr>
      <w:r>
        <w:t>验证：统计 → 空间</w:t>
      </w:r>
    </w:p>
    <w:p>
      <w:pPr>
        <w:pStyle w:val="ListBullet"/>
      </w:pPr>
      <w:r>
        <w:t>**Top 1%**：直方图右尾刷选后，XY 投影显示丝状/节点状聚集（非随机散点），与 t=99 体渲染中的亮脊一致 → **高密度尾对应宇宙网致密结构**。</w:t>
      </w:r>
    </w:p>
    <w:p>
      <w:pPr>
        <w:pStyle w:val="ListBullet"/>
      </w:pPr>
      <w:r>
        <w:t>**Bottom 1%**：刷选低密度左尾，投影显示广袤稀疏区域，对应 IGM 主体。</w:t>
      </w:r>
    </w:p>
    <w:p>
      <w:pPr>
        <w:pStyle w:val="Heading1"/>
      </w:pPr>
      <w:r>
        <w:t>验证：空间 → 统计</w:t>
      </w:r>
    </w:p>
    <w:p>
      <w:pPr>
        <w:pStyle w:val="ListBullet"/>
      </w:pPr>
      <w:r>
        <w:t>在 t=99 **XY 最大密度投影**上识别 **filament 亮脊**（投影值 ≥ P88 的像素，金色叠加）。</w:t>
      </w:r>
    </w:p>
    <w:p>
      <w:pPr>
        <w:pStyle w:val="ListBullet"/>
      </w:pPr>
      <w:r>
        <w:t>汇总这些亮脊像素的密度，得到对应区间 **ρ∈[11.23, 12.16]**（位于 p75–p99 右尾，与 Top 1% 刷选区间一致）。</w:t>
      </w:r>
    </w:p>
    <w:p>
      <w:pPr>
        <w:pStyle w:val="ListBullet"/>
      </w:pPr>
      <w:r>
        <w:t>在 log 直方图上以金色标注该密度带 → **空间结构可反查统计位置**，与 `/app.html` 中「先在投影/体渲染定位 filament，再在直方图标密度带」的交互路径一致。</w:t>
      </w:r>
    </w:p>
    <w:p>
      <w:pPr>
        <w:pStyle w:val="Heading1"/>
      </w:pPr>
      <w:r>
        <w:t>双向关联</w:t>
      </w:r>
    </w:p>
    <w:p>
      <w:pPr>
        <w:pStyle w:val="ListBullet"/>
      </w:pPr>
      <w:r>
        <w:t>**统计→空间**：框选 [ρ_min, ρ_max] 定位满足条件的体素集合（见 Top/Bottom 1% 三联图）。</w:t>
      </w:r>
    </w:p>
    <w:p>
      <w:pPr>
        <w:pStyle w:val="ListBullet"/>
      </w:pPr>
      <w:r>
        <w:t>**空间→统计**：在投影中识别 filament 亮脊后，反推密度带 ρ∈[11.23, 12.16] 并在直方图高亮（见 `task4_spatial_to_stats.png`，由 `spatial_to_stats.py` 与 `generate_figures.py` 可复现）。</w:t>
      </w:r>
    </w:p>
    <w:p>
      <w:pPr>
        <w:pStyle w:val="Heading1"/>
      </w:pPr>
      <w:r>
        <w:t>工具与环境</w:t>
      </w:r>
    </w:p>
    <w:p>
      <w:pPr>
        <w:pStyle w:val="ListBullet"/>
      </w:pPr>
      <w:r>
        <w:t>**本任务**：**D3.js** 直方图框选 + **vtk.js** 刷选高亮 + Canvas 2D 最大密度投影（与体渲染同色标）；刷选体素扫描在 **Web Worker**；静态三联图与空间→统计配图由 `generate_figures.py` / `projection_render.py` / `spatial_to_stats.py` 生成。</w:t>
      </w:r>
    </w:p>
    <w:p>
      <w:pPr>
        <w:pStyle w:val="ListBullet"/>
      </w:pPr>
      <w:r>
        <w:t>**通用栈**：Vite + React + TypeScript；**vtk.js** 体渲染；**D3.js** 统计图表；Python（`tools/python/precompute.py`、`generate_figures.py`、`viz_style.py`）预计算与 matplotlib 配图；**Playwright**（`tools/node/capture_volumes.mjs`）1920×1080 体渲染截图；`export_report.py` / `export_docx.py` 报告导出；`npm run submission-pack` 一键交付。</w:t>
      </w:r>
    </w:p>
    <w:p>
      <w:pPr>
        <w:pStyle w:val="Heading1"/>
      </w:pPr>
      <w:r>
        <w:t>配图</w:t>
      </w:r>
    </w:p>
    <w:p>
      <w:r>
        <w:t>task4_spatial_to_stats</w:t>
      </w:r>
    </w:p>
    <w:p>
      <w:r>
        <w:drawing>
          <wp:inline xmlns:a="http://schemas.openxmlformats.org/drawingml/2006/main" xmlns:pic="http://schemas.openxmlformats.org/drawingml/2006/picture">
            <wp:extent cx="5400000" cy="2067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spatial_to_sta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task4_brush_triptych</w:t>
      </w:r>
    </w:p>
    <w:p>
      <w:r>
        <w:drawing>
          <wp:inline xmlns:a="http://schemas.openxmlformats.org/drawingml/2006/main" xmlns:pic="http://schemas.openxmlformats.org/drawingml/2006/picture">
            <wp:extent cx="5400000" cy="17634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brush_tripty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3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task4_hist_brush_top1</w:t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hist_brush_top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task4_brush_top1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brush_to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