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674B8A" w14:textId="4B8806E2" w:rsidR="00940392" w:rsidRDefault="001B3BDA">
      <w:pPr>
        <w:spacing w:after="0" w:line="240" w:lineRule="auto"/>
        <w:jc w:val="center"/>
        <w:rPr>
          <w:rFonts w:ascii="黑体" w:eastAsia="黑体" w:hAnsi="黑体"/>
          <w:b/>
          <w:sz w:val="32"/>
        </w:rPr>
      </w:pPr>
      <w:r>
        <w:rPr>
          <w:rFonts w:ascii="黑体" w:eastAsia="黑体" w:hAnsi="黑体" w:hint="eastAsia"/>
          <w:b/>
          <w:sz w:val="32"/>
        </w:rPr>
        <w:t>20</w:t>
      </w:r>
      <w:r>
        <w:rPr>
          <w:rFonts w:ascii="黑体" w:eastAsia="黑体" w:hAnsi="黑体"/>
          <w:b/>
          <w:sz w:val="32"/>
        </w:rPr>
        <w:t>2</w:t>
      </w:r>
      <w:r w:rsidR="000A51D6">
        <w:rPr>
          <w:rFonts w:ascii="黑体" w:eastAsia="黑体" w:hAnsi="黑体"/>
          <w:b/>
          <w:sz w:val="32"/>
        </w:rPr>
        <w:t>6</w:t>
      </w:r>
      <w:r>
        <w:rPr>
          <w:rFonts w:ascii="黑体" w:eastAsia="黑体" w:hAnsi="黑体" w:hint="eastAsia"/>
          <w:b/>
          <w:sz w:val="32"/>
        </w:rPr>
        <w:t>年第十</w:t>
      </w:r>
      <w:r w:rsidR="000A51D6">
        <w:rPr>
          <w:rFonts w:ascii="黑体" w:eastAsia="黑体" w:hAnsi="黑体" w:hint="eastAsia"/>
          <w:b/>
          <w:sz w:val="32"/>
        </w:rPr>
        <w:t>三</w:t>
      </w:r>
      <w:r>
        <w:rPr>
          <w:rFonts w:ascii="黑体" w:eastAsia="黑体" w:hAnsi="黑体" w:hint="eastAsia"/>
          <w:b/>
          <w:sz w:val="32"/>
        </w:rPr>
        <w:t>届</w:t>
      </w:r>
      <w:r>
        <w:rPr>
          <w:rFonts w:ascii="黑体" w:eastAsia="黑体" w:hAnsi="黑体"/>
          <w:b/>
          <w:sz w:val="32"/>
        </w:rPr>
        <w:t>中国可视化与可视分析大会</w:t>
      </w:r>
    </w:p>
    <w:p w14:paraId="4DC9B2F7" w14:textId="6C3018E8" w:rsidR="00940392" w:rsidRDefault="001B3BDA">
      <w:pPr>
        <w:spacing w:after="0" w:line="240" w:lineRule="auto"/>
        <w:jc w:val="center"/>
        <w:rPr>
          <w:rFonts w:ascii="黑体" w:eastAsia="黑体" w:hAnsi="黑体"/>
          <w:b/>
          <w:sz w:val="32"/>
        </w:rPr>
      </w:pPr>
      <w:r>
        <w:rPr>
          <w:rFonts w:ascii="黑体" w:eastAsia="黑体" w:hAnsi="黑体"/>
          <w:b/>
          <w:sz w:val="32"/>
        </w:rPr>
        <w:t>数据可视</w:t>
      </w:r>
      <w:r>
        <w:rPr>
          <w:rFonts w:ascii="黑体" w:eastAsia="黑体" w:hAnsi="黑体" w:hint="eastAsia"/>
          <w:b/>
          <w:sz w:val="32"/>
        </w:rPr>
        <w:t>化竞赛 赛道1</w:t>
      </w:r>
      <w:r w:rsidR="005F3163">
        <w:rPr>
          <w:rFonts w:ascii="黑体" w:eastAsia="黑体" w:hAnsi="黑体"/>
          <w:b/>
          <w:sz w:val="32"/>
        </w:rPr>
        <w:t>-</w:t>
      </w:r>
      <w:r w:rsidR="005F3163">
        <w:rPr>
          <w:rFonts w:ascii="黑体" w:eastAsia="黑体" w:hAnsi="黑体" w:hint="eastAsia"/>
          <w:b/>
          <w:sz w:val="32"/>
        </w:rPr>
        <w:t>I</w:t>
      </w:r>
      <w:r w:rsidR="00E40CB4">
        <w:rPr>
          <w:rFonts w:ascii="黑体" w:eastAsia="黑体" w:hAnsi="黑体" w:hint="eastAsia"/>
          <w:b/>
          <w:sz w:val="32"/>
        </w:rPr>
        <w:t>I</w:t>
      </w:r>
    </w:p>
    <w:p w14:paraId="4DE392A9" w14:textId="60E7FBBC" w:rsidR="00940392" w:rsidRDefault="001B3BDA">
      <w:pPr>
        <w:spacing w:after="0" w:line="240" w:lineRule="auto"/>
        <w:jc w:val="center"/>
        <w:rPr>
          <w:rFonts w:ascii="黑体" w:eastAsia="黑体" w:hAnsi="黑体"/>
          <w:b/>
          <w:sz w:val="28"/>
        </w:rPr>
      </w:pPr>
      <w:r>
        <w:rPr>
          <w:rFonts w:ascii="黑体" w:eastAsia="黑体" w:hAnsi="黑体"/>
          <w:b/>
          <w:sz w:val="28"/>
        </w:rPr>
        <w:t>（</w:t>
      </w:r>
      <w:proofErr w:type="spellStart"/>
      <w:r>
        <w:rPr>
          <w:rFonts w:ascii="黑体" w:eastAsia="黑体" w:hAnsi="黑体"/>
          <w:b/>
          <w:sz w:val="28"/>
        </w:rPr>
        <w:t>ChinaVis</w:t>
      </w:r>
      <w:proofErr w:type="spellEnd"/>
      <w:r>
        <w:rPr>
          <w:rFonts w:ascii="黑体" w:eastAsia="黑体" w:hAnsi="黑体"/>
          <w:b/>
          <w:sz w:val="28"/>
        </w:rPr>
        <w:t xml:space="preserve"> Data Challenge 202</w:t>
      </w:r>
      <w:r w:rsidR="000A51D6">
        <w:rPr>
          <w:rFonts w:ascii="黑体" w:eastAsia="黑体" w:hAnsi="黑体"/>
          <w:b/>
          <w:sz w:val="28"/>
        </w:rPr>
        <w:t>6</w:t>
      </w:r>
      <w:r>
        <w:rPr>
          <w:rFonts w:ascii="黑体" w:eastAsia="黑体" w:hAnsi="黑体"/>
          <w:b/>
          <w:sz w:val="28"/>
        </w:rPr>
        <w:t xml:space="preserve"> -</w:t>
      </w:r>
      <w:r>
        <w:rPr>
          <w:rFonts w:ascii="黑体" w:eastAsia="黑体" w:hAnsi="黑体" w:hint="eastAsia"/>
          <w:b/>
          <w:sz w:val="32"/>
        </w:rPr>
        <w:t xml:space="preserve"> mini</w:t>
      </w:r>
      <w:r>
        <w:rPr>
          <w:rFonts w:ascii="黑体" w:eastAsia="黑体" w:hAnsi="黑体"/>
          <w:b/>
          <w:sz w:val="32"/>
        </w:rPr>
        <w:t xml:space="preserve"> challenge </w:t>
      </w:r>
      <w:r>
        <w:rPr>
          <w:rFonts w:ascii="黑体" w:eastAsia="黑体" w:hAnsi="黑体" w:hint="eastAsia"/>
          <w:b/>
          <w:sz w:val="32"/>
        </w:rPr>
        <w:t>1</w:t>
      </w:r>
      <w:r w:rsidR="00754207">
        <w:rPr>
          <w:rFonts w:ascii="黑体" w:eastAsia="黑体" w:hAnsi="黑体"/>
          <w:b/>
          <w:sz w:val="32"/>
        </w:rPr>
        <w:t>-</w:t>
      </w:r>
      <w:r w:rsidR="000249C3">
        <w:rPr>
          <w:rFonts w:ascii="黑体" w:eastAsia="黑体" w:hAnsi="黑体"/>
          <w:b/>
          <w:sz w:val="32"/>
        </w:rPr>
        <w:t>II</w:t>
      </w:r>
      <w:r>
        <w:rPr>
          <w:rFonts w:ascii="黑体" w:eastAsia="黑体" w:hAnsi="黑体"/>
          <w:b/>
          <w:sz w:val="28"/>
        </w:rPr>
        <w:t>）</w:t>
      </w:r>
    </w:p>
    <w:p w14:paraId="2E7E2A92" w14:textId="77777777" w:rsidR="00940392" w:rsidRDefault="001B3BDA">
      <w:pPr>
        <w:spacing w:after="0" w:line="240" w:lineRule="auto"/>
        <w:jc w:val="center"/>
        <w:rPr>
          <w:rFonts w:ascii="黑体" w:eastAsia="黑体" w:hAnsi="黑体"/>
          <w:b/>
          <w:sz w:val="32"/>
        </w:rPr>
      </w:pPr>
      <w:r>
        <w:rPr>
          <w:rFonts w:ascii="黑体" w:eastAsia="黑体" w:hAnsi="黑体"/>
          <w:b/>
          <w:sz w:val="32"/>
        </w:rPr>
        <w:t>答</w:t>
      </w:r>
      <w:r>
        <w:rPr>
          <w:rFonts w:ascii="黑体" w:eastAsia="黑体" w:hAnsi="黑体" w:hint="eastAsia"/>
          <w:b/>
          <w:sz w:val="32"/>
        </w:rPr>
        <w:t xml:space="preserve"> </w:t>
      </w:r>
      <w:r>
        <w:rPr>
          <w:rFonts w:ascii="黑体" w:eastAsia="黑体" w:hAnsi="黑体"/>
          <w:b/>
          <w:sz w:val="32"/>
        </w:rPr>
        <w:t xml:space="preserve"> 卷</w:t>
      </w:r>
    </w:p>
    <w:p w14:paraId="39340053" w14:textId="77777777" w:rsidR="00940392" w:rsidRDefault="00940392">
      <w:pPr>
        <w:spacing w:after="0" w:line="240" w:lineRule="auto"/>
        <w:rPr>
          <w:rFonts w:ascii="黑体" w:eastAsia="黑体" w:hAnsi="黑体"/>
          <w:b/>
          <w:sz w:val="32"/>
        </w:rPr>
      </w:pPr>
    </w:p>
    <w:p w14:paraId="1AFD4F77" w14:textId="67E28BA3" w:rsidR="00940392" w:rsidRDefault="001B3BDA">
      <w:r>
        <w:t>参赛队名称：</w:t>
      </w:r>
      <w:r>
        <w:rPr>
          <w:color w:val="BFBFBF"/>
        </w:rPr>
        <w:t>天津大学</w:t>
      </w:r>
      <w:r>
        <w:rPr>
          <w:color w:val="BFBFBF"/>
        </w:rPr>
        <w:t>-</w:t>
      </w:r>
      <w:r>
        <w:rPr>
          <w:color w:val="BFBFBF"/>
        </w:rPr>
        <w:t>张三</w:t>
      </w:r>
      <w:r>
        <w:rPr>
          <w:rFonts w:hint="eastAsia"/>
          <w:color w:val="BFBFBF"/>
        </w:rPr>
        <w:t>-</w:t>
      </w:r>
      <w:r>
        <w:rPr>
          <w:rFonts w:hint="eastAsia"/>
          <w:color w:val="BFBFBF"/>
        </w:rPr>
        <w:t>赛道</w:t>
      </w:r>
      <w:r>
        <w:rPr>
          <w:rFonts w:hint="eastAsia"/>
          <w:color w:val="BFBFBF"/>
        </w:rPr>
        <w:t>1</w:t>
      </w:r>
      <w:r w:rsidR="00EC669A">
        <w:rPr>
          <w:color w:val="BFBFBF"/>
        </w:rPr>
        <w:t>-</w:t>
      </w:r>
      <w:r w:rsidR="00EC669A">
        <w:rPr>
          <w:rFonts w:hint="eastAsia"/>
          <w:color w:val="BFBFBF"/>
        </w:rPr>
        <w:t>I</w:t>
      </w:r>
    </w:p>
    <w:p w14:paraId="02DE3D82" w14:textId="77777777" w:rsidR="00940392" w:rsidRDefault="001B3BDA">
      <w:pPr>
        <w:rPr>
          <w:color w:val="BFBFBF"/>
        </w:rPr>
      </w:pPr>
      <w:r>
        <w:rPr>
          <w:rFonts w:hint="eastAsia"/>
        </w:rPr>
        <w:t>团队</w:t>
      </w:r>
      <w:r>
        <w:t>成员：</w:t>
      </w:r>
      <w:r>
        <w:tab/>
      </w:r>
      <w:r>
        <w:rPr>
          <w:color w:val="BFBFBF"/>
        </w:rPr>
        <w:t>张三，天津大学，</w:t>
      </w:r>
      <w:r>
        <w:fldChar w:fldCharType="begin"/>
      </w:r>
      <w:r>
        <w:instrText xml:space="preserve"> HYPERLINK "mailto:zs@tju.edu.cn" </w:instrText>
      </w:r>
      <w:r>
        <w:fldChar w:fldCharType="separate"/>
      </w:r>
      <w:r>
        <w:rPr>
          <w:color w:val="BFBFBF"/>
        </w:rPr>
        <w:t>zs@tju.edu.cn</w:t>
      </w:r>
      <w:r>
        <w:rPr>
          <w:color w:val="BFBFBF"/>
        </w:rPr>
        <w:fldChar w:fldCharType="end"/>
      </w:r>
      <w:r>
        <w:rPr>
          <w:rFonts w:hint="eastAsia"/>
          <w:color w:val="BFBFBF"/>
        </w:rPr>
        <w:t>，队长</w:t>
      </w:r>
    </w:p>
    <w:p w14:paraId="22EA5D53" w14:textId="77777777" w:rsidR="00940392" w:rsidRDefault="001B3BDA">
      <w:pPr>
        <w:rPr>
          <w:color w:val="BFBFBF"/>
        </w:rPr>
      </w:pPr>
      <w:r>
        <w:rPr>
          <w:color w:val="BFBFBF"/>
        </w:rPr>
        <w:tab/>
      </w:r>
      <w:r>
        <w:rPr>
          <w:color w:val="BFBFBF"/>
        </w:rPr>
        <w:tab/>
      </w:r>
      <w:r>
        <w:rPr>
          <w:color w:val="BFBFBF"/>
        </w:rPr>
        <w:tab/>
      </w:r>
      <w:r>
        <w:rPr>
          <w:color w:val="BFBFBF"/>
        </w:rPr>
        <w:t>李四，天津大学，</w:t>
      </w:r>
      <w:hyperlink r:id="rId6" w:history="1">
        <w:r>
          <w:rPr>
            <w:color w:val="BFBFBF"/>
          </w:rPr>
          <w:t>ls@tju.edu.cn</w:t>
        </w:r>
      </w:hyperlink>
    </w:p>
    <w:p w14:paraId="140AFC5E" w14:textId="77777777" w:rsidR="00940392" w:rsidRDefault="001B3BDA">
      <w:pPr>
        <w:rPr>
          <w:color w:val="BFBFBF"/>
        </w:rPr>
      </w:pPr>
      <w:r>
        <w:rPr>
          <w:color w:val="BFBFBF"/>
        </w:rPr>
        <w:tab/>
      </w:r>
      <w:r>
        <w:rPr>
          <w:color w:val="BFBFBF"/>
        </w:rPr>
        <w:tab/>
      </w:r>
      <w:r>
        <w:rPr>
          <w:color w:val="BFBFBF"/>
        </w:rPr>
        <w:tab/>
      </w:r>
      <w:r>
        <w:rPr>
          <w:color w:val="BFBFBF"/>
        </w:rPr>
        <w:t>黄五，天津大学，</w:t>
      </w:r>
      <w:r>
        <w:fldChar w:fldCharType="begin"/>
      </w:r>
      <w:r>
        <w:instrText xml:space="preserve"> HYPERLINK "mailto:hw@tju.edu.cn" </w:instrText>
      </w:r>
      <w:r>
        <w:fldChar w:fldCharType="separate"/>
      </w:r>
      <w:r>
        <w:rPr>
          <w:color w:val="BFBFBF"/>
        </w:rPr>
        <w:t>hw@tju.edu.cn</w:t>
      </w:r>
      <w:r>
        <w:rPr>
          <w:color w:val="BFBFBF"/>
        </w:rPr>
        <w:fldChar w:fldCharType="end"/>
      </w:r>
      <w:r>
        <w:rPr>
          <w:color w:val="BFBFBF"/>
        </w:rPr>
        <w:t>，指导老师</w:t>
      </w:r>
    </w:p>
    <w:p w14:paraId="04806A02" w14:textId="77777777" w:rsidR="00940392" w:rsidRDefault="001B3BDA">
      <w:pPr>
        <w:rPr>
          <w:color w:val="BFBFBF"/>
        </w:rPr>
      </w:pPr>
      <w:r>
        <w:t>团队成员是否与报名表一致</w:t>
      </w:r>
      <w:r>
        <w:rPr>
          <w:rFonts w:hint="eastAsia"/>
        </w:rPr>
        <w:t>（是或否）</w:t>
      </w:r>
      <w:r>
        <w:rPr>
          <w:color w:val="BFBFBF"/>
        </w:rPr>
        <w:t>：是</w:t>
      </w:r>
    </w:p>
    <w:p w14:paraId="4D6F899F" w14:textId="77777777" w:rsidR="00940392" w:rsidRDefault="001B3BDA">
      <w:r>
        <w:rPr>
          <w:rFonts w:hint="eastAsia"/>
        </w:rPr>
        <w:t>是否</w:t>
      </w:r>
      <w:r>
        <w:t>学生</w:t>
      </w:r>
      <w:r>
        <w:rPr>
          <w:rFonts w:hint="eastAsia"/>
        </w:rPr>
        <w:t>队（是或否）：</w:t>
      </w:r>
      <w:r>
        <w:tab/>
      </w:r>
      <w:r>
        <w:rPr>
          <w:color w:val="D9D9D9"/>
        </w:rPr>
        <w:t>是</w:t>
      </w:r>
    </w:p>
    <w:p w14:paraId="4AFF69C2" w14:textId="002BF79A" w:rsidR="00940392" w:rsidRDefault="001B3BDA">
      <w:r>
        <w:rPr>
          <w:rFonts w:hint="eastAsia"/>
        </w:rPr>
        <w:t>使用</w:t>
      </w:r>
      <w:r>
        <w:t>的分析工具</w:t>
      </w:r>
      <w:r>
        <w:rPr>
          <w:rFonts w:hint="eastAsia"/>
        </w:rPr>
        <w:t>或开发工具（</w:t>
      </w:r>
      <w:r>
        <w:t>如果使用了自己研发的软件或工具请具体说明</w:t>
      </w:r>
      <w:r>
        <w:rPr>
          <w:rFonts w:hint="eastAsia"/>
        </w:rPr>
        <w:t>）</w:t>
      </w:r>
      <w:r>
        <w:t>：</w:t>
      </w:r>
      <w:r>
        <w:rPr>
          <w:color w:val="BFBFBF"/>
        </w:rPr>
        <w:t>D3</w:t>
      </w:r>
      <w:r>
        <w:rPr>
          <w:color w:val="BFBFBF"/>
        </w:rPr>
        <w:t>，</w:t>
      </w:r>
      <w:r>
        <w:rPr>
          <w:color w:val="BFBFBF"/>
        </w:rPr>
        <w:t>Excel</w:t>
      </w:r>
      <w:r>
        <w:rPr>
          <w:color w:val="BFBFBF"/>
        </w:rPr>
        <w:t>，</w:t>
      </w:r>
      <w:r>
        <w:rPr>
          <w:color w:val="BFBFBF"/>
        </w:rPr>
        <w:t>MySQL</w:t>
      </w:r>
      <w:r>
        <w:rPr>
          <w:color w:val="BFBFBF"/>
        </w:rPr>
        <w:t>，</w:t>
      </w:r>
      <w:r>
        <w:rPr>
          <w:color w:val="BFBFBF"/>
        </w:rPr>
        <w:t>Qt</w:t>
      </w:r>
      <w:r>
        <w:rPr>
          <w:color w:val="BFBFBF"/>
        </w:rPr>
        <w:t>，</w:t>
      </w:r>
      <w:proofErr w:type="spellStart"/>
      <w:r w:rsidR="00A97522">
        <w:rPr>
          <w:rFonts w:hint="eastAsia"/>
          <w:color w:val="BFBFBF"/>
        </w:rPr>
        <w:t>D</w:t>
      </w:r>
      <w:r w:rsidR="00A97522">
        <w:rPr>
          <w:color w:val="BFBFBF"/>
        </w:rPr>
        <w:t>eepseek</w:t>
      </w:r>
      <w:proofErr w:type="spellEnd"/>
      <w:r w:rsidR="00A97522">
        <w:rPr>
          <w:rFonts w:hint="eastAsia"/>
          <w:color w:val="BFBFBF"/>
        </w:rPr>
        <w:t>，</w:t>
      </w:r>
      <w:proofErr w:type="spellStart"/>
      <w:r>
        <w:rPr>
          <w:color w:val="BFBFBF"/>
        </w:rPr>
        <w:t>CVASTer</w:t>
      </w:r>
      <w:proofErr w:type="spellEnd"/>
      <w:r>
        <w:rPr>
          <w:color w:val="BFBFBF"/>
        </w:rPr>
        <w:t>（天津大学</w:t>
      </w:r>
      <w:r>
        <w:rPr>
          <w:color w:val="BFBFBF"/>
        </w:rPr>
        <w:t>xxx</w:t>
      </w:r>
      <w:r>
        <w:rPr>
          <w:color w:val="BFBFBF"/>
        </w:rPr>
        <w:t>中心开发的数据可视分析工具）</w:t>
      </w:r>
    </w:p>
    <w:p w14:paraId="43891EE1" w14:textId="77777777" w:rsidR="00940392" w:rsidRDefault="001B3BDA">
      <w:r>
        <w:t>共计耗费时间（人天）：</w:t>
      </w:r>
      <w:r>
        <w:rPr>
          <w:rFonts w:hint="eastAsia"/>
        </w:rPr>
        <w:t xml:space="preserve"> </w:t>
      </w:r>
      <w:r>
        <w:rPr>
          <w:color w:val="BFBFBF"/>
        </w:rPr>
        <w:t>60</w:t>
      </w:r>
      <w:r>
        <w:rPr>
          <w:color w:val="BFBFBF"/>
        </w:rPr>
        <w:t>人天</w:t>
      </w:r>
    </w:p>
    <w:p w14:paraId="7E726AB0" w14:textId="77777777" w:rsidR="00940392" w:rsidRDefault="001B3BDA">
      <w:pPr>
        <w:rPr>
          <w:color w:val="BFBFBF"/>
        </w:rPr>
      </w:pPr>
      <w:r>
        <w:rPr>
          <w:rFonts w:hint="eastAsia"/>
        </w:rPr>
        <w:t>本次</w:t>
      </w:r>
      <w:r>
        <w:t>比赛结束后，我们</w:t>
      </w:r>
      <w:r>
        <w:rPr>
          <w:rFonts w:hint="eastAsia"/>
        </w:rPr>
        <w:t>是否</w:t>
      </w:r>
      <w:r>
        <w:t>可以在网络上公布该答卷与视频（是或否）：</w:t>
      </w:r>
      <w:r>
        <w:rPr>
          <w:color w:val="BFBFBF"/>
        </w:rPr>
        <w:t>是</w:t>
      </w:r>
    </w:p>
    <w:p w14:paraId="0673D0AF" w14:textId="77777777" w:rsidR="00940392" w:rsidRDefault="001B3BDA">
      <w:pPr>
        <w:rPr>
          <w:color w:val="C45911"/>
        </w:rPr>
      </w:pPr>
      <w:r>
        <w:rPr>
          <w:color w:val="C45911"/>
        </w:rPr>
        <w:t>（灰色字为参赛信息填写模板，请参赛者在提交时参照模板填写）</w:t>
      </w:r>
    </w:p>
    <w:p w14:paraId="24198F09" w14:textId="77777777" w:rsidR="00940392" w:rsidRDefault="00940392">
      <w:pPr>
        <w:ind w:firstLine="708"/>
        <w:rPr>
          <w:sz w:val="20"/>
          <w:szCs w:val="20"/>
        </w:rPr>
      </w:pPr>
    </w:p>
    <w:p w14:paraId="03910E5C" w14:textId="77777777" w:rsidR="00940392" w:rsidRDefault="00940392">
      <w:pPr>
        <w:ind w:firstLine="708"/>
        <w:rPr>
          <w:sz w:val="20"/>
          <w:szCs w:val="20"/>
        </w:rPr>
      </w:pPr>
    </w:p>
    <w:p w14:paraId="6EE09AD6" w14:textId="77777777" w:rsidR="00940392" w:rsidRDefault="00940392">
      <w:pPr>
        <w:ind w:firstLine="708"/>
        <w:rPr>
          <w:sz w:val="20"/>
          <w:szCs w:val="20"/>
        </w:rPr>
      </w:pPr>
    </w:p>
    <w:p w14:paraId="078E7517" w14:textId="77777777" w:rsidR="00144A5C" w:rsidRDefault="001B3BDA">
      <w:pPr>
        <w:rPr>
          <w:sz w:val="20"/>
          <w:szCs w:val="20"/>
        </w:rPr>
      </w:pPr>
      <w:r>
        <w:rPr>
          <w:sz w:val="20"/>
          <w:szCs w:val="20"/>
        </w:rPr>
        <w:br w:type="page"/>
      </w:r>
    </w:p>
    <w:p w14:paraId="39A10585" w14:textId="4053F858" w:rsidR="00940392" w:rsidRPr="00743AA7" w:rsidRDefault="00965202">
      <w:pPr>
        <w:rPr>
          <w:rFonts w:ascii="黑体" w:eastAsia="黑体" w:hAnsi="黑体"/>
          <w:b/>
          <w:sz w:val="24"/>
        </w:rPr>
      </w:pPr>
      <w:r>
        <w:rPr>
          <w:rFonts w:ascii="黑体" w:eastAsia="黑体" w:hAnsi="黑体" w:hint="eastAsia"/>
          <w:b/>
          <w:sz w:val="24"/>
        </w:rPr>
        <w:lastRenderedPageBreak/>
        <w:t>1、</w:t>
      </w:r>
      <w:r w:rsidR="00743AA7" w:rsidRPr="00743AA7">
        <w:rPr>
          <w:rFonts w:ascii="黑体" w:eastAsia="黑体" w:hAnsi="黑体" w:hint="eastAsia"/>
          <w:b/>
          <w:sz w:val="24"/>
        </w:rPr>
        <w:t>采用体数据渲染技术，并设计合适的传递函数和光照效果，展示宇宙演化中密度信息的变化</w:t>
      </w:r>
      <w:r w:rsidR="002F1EC8" w:rsidRPr="002F1EC8">
        <w:rPr>
          <w:rFonts w:ascii="黑体" w:eastAsia="黑体" w:hAnsi="黑体" w:hint="eastAsia"/>
          <w:b/>
          <w:sz w:val="24"/>
        </w:rPr>
        <w:t>。</w:t>
      </w:r>
      <w:r w:rsidR="001B3BDA">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sidR="001B3BDA">
        <w:rPr>
          <w:rFonts w:ascii="黑体" w:eastAsia="黑体" w:hAnsi="黑体" w:hint="eastAsia"/>
          <w:color w:val="C45911"/>
          <w:sz w:val="24"/>
        </w:rPr>
        <w:t>）</w:t>
      </w:r>
    </w:p>
    <w:p w14:paraId="715D89DE" w14:textId="77777777" w:rsidR="00940392" w:rsidRDefault="001B3BDA">
      <w:pPr>
        <w:rPr>
          <w:color w:val="BFBFBF"/>
        </w:rPr>
      </w:pPr>
      <w:r>
        <w:rPr>
          <w:color w:val="BFBFBF"/>
        </w:rPr>
        <w:t>（下面是答题区域）</w:t>
      </w:r>
    </w:p>
    <w:p>
      <w:r>
        <w:rPr>
          <w:b w:val="0"/>
        </w:rPr>
        <w:t>（自动填入，正文 580 字）</w:t>
      </w:r>
    </w:p>
    <w:p>
      <w:r>
        <w:rPr>
          <w:b/>
        </w:rPr>
        <w:t>任务一：体数据渲染与密度演化</w:t>
      </w:r>
    </w:p>
    <w:p>
      <w:r>
        <w:rPr>
          <w:b w:val="0"/>
        </w:rPr>
        <w:t>方法</w:t>
      </w:r>
    </w:p>
    <w:p>
      <w:r>
        <w:rPr>
          <w:b w:val="0"/>
        </w:rPr>
        <w:t>• 数据：Nyx 官方 128³ 气体密度，100 时间步，小端 float32，存储顺序 z→y→x（index = z + 128y + 128²x）。</w:t>
      </w:r>
    </w:p>
    <w:p>
      <w:r>
        <w:rPr>
          <w:b w:val="0"/>
        </w:rPr>
        <w:t>• 渲染：基于 vtk.js 的 GPU 光线投射体渲染；传递函数采用宇宙学预设 cosmic（log 域、全局 p01–p99）；展板质量采样 + Phong 着色；五帧由 Playwright 截取。</w:t>
      </w:r>
    </w:p>
    <w:p>
      <w:r>
        <w:rPr>
          <w:b w:val="0"/>
        </w:rPr>
        <w:t>• 展示：选取 t=0/25/50/75/99 五帧，统一色标与相机，便于对比演化。</w:t>
      </w:r>
    </w:p>
    <w:p>
      <w:r>
        <w:rPr>
          <w:b w:val="0"/>
        </w:rPr>
        <w:t>观察</w:t>
      </w:r>
    </w:p>
    <w:p>
      <w:r>
        <w:rPr>
          <w:b w:val="0"/>
        </w:rPr>
        <w:t>• t=0：整体呈均匀雾状，filament 对比度弱，尚处于涨落初生的“平滑”阶段。</w:t>
      </w:r>
    </w:p>
    <w:p>
      <w:r>
        <w:rPr>
          <w:b w:val="0"/>
        </w:rPr>
        <w:t>• t=25–50：丝状结构逐渐连通，低密度 void 区域扩大。</w:t>
      </w:r>
    </w:p>
    <w:p>
      <w:r>
        <w:rPr>
          <w:b w:val="0"/>
        </w:rPr>
        <w:t>• t=99：宇宙网状拓扑清晰，高密度脊线与节点在体渲染中形成亮带，与统计上的右尾增厚一致。</w:t>
      </w:r>
    </w:p>
    <w:p>
      <w:r>
        <w:rPr>
          <w:b w:val="0"/>
        </w:rPr>
        <w:t>数据佐证</w:t>
      </w:r>
    </w:p>
    <w:p>
      <w:r>
        <w:rPr>
          <w:b w:val="0"/>
        </w:rPr>
        <w:t>• t=0: mean=9.4854, σ=0.4318, p99=10.7255, max=13.8433</w:t>
      </w:r>
    </w:p>
    <w:p>
      <w:r>
        <w:rPr>
          <w:b w:val="0"/>
        </w:rPr>
        <w:t>• t=25: mean=9.4369, σ=0.4525, p99=10.7402, max=14.0505</w:t>
      </w:r>
    </w:p>
    <w:p>
      <w:r>
        <w:rPr>
          <w:b w:val="0"/>
        </w:rPr>
        <w:t>• t=50: mean=9.3954, σ=0.4693, p99=10.7507, max=14.3269</w:t>
      </w:r>
    </w:p>
    <w:p>
      <w:r>
        <w:rPr>
          <w:b w:val="0"/>
        </w:rPr>
        <w:t>• t=75: mean=9.3556, σ=0.4847, p99=10.7547, max=14.3541</w:t>
      </w:r>
    </w:p>
    <w:p>
      <w:r>
        <w:rPr>
          <w:b w:val="0"/>
        </w:rPr>
        <w:t>• t=99: mean=9.3187, σ=0.4983, p99=10.7601, max=14.4494</w:t>
      </w:r>
    </w:p>
    <w:p>
      <w:r>
        <w:rPr>
          <w:b w:val="0"/>
        </w:rPr>
        <w:t>图：task1_vol_strip</w:t>
      </w:r>
    </w:p>
    <w:p>
      <w:r>
        <w:drawing>
          <wp:inline xmlns:a="http://schemas.openxmlformats.org/drawingml/2006/main" xmlns:pic="http://schemas.openxmlformats.org/drawingml/2006/picture">
            <wp:extent cx="5040000" cy="1729272"/>
            <wp:docPr id="1" name="Picture 1"/>
            <wp:cNvGraphicFramePr>
              <a:graphicFrameLocks noChangeAspect="1"/>
            </wp:cNvGraphicFramePr>
            <a:graphic>
              <a:graphicData uri="http://schemas.openxmlformats.org/drawingml/2006/picture">
                <pic:pic>
                  <pic:nvPicPr>
                    <pic:cNvPr id="0" name="task1_vol_strip.png"/>
                    <pic:cNvPicPr/>
                  </pic:nvPicPr>
                  <pic:blipFill>
                    <a:blip r:embed="rId9"/>
                    <a:stretch>
                      <a:fillRect/>
                    </a:stretch>
                  </pic:blipFill>
                  <pic:spPr>
                    <a:xfrm>
                      <a:off x="0" y="0"/>
                      <a:ext cx="5040000" cy="1729272"/>
                    </a:xfrm>
                    <a:prstGeom prst="rect"/>
                  </pic:spPr>
                </pic:pic>
              </a:graphicData>
            </a:graphic>
          </wp:inline>
        </w:drawing>
      </w:r>
    </w:p>
    <w:p>
      <w:r>
        <w:rPr>
          <w:b w:val="0"/>
        </w:rPr>
        <w:t>图：task1_vol_t0000</w:t>
      </w:r>
    </w:p>
    <w:p>
      <w:r>
        <w:drawing>
          <wp:inline xmlns:a="http://schemas.openxmlformats.org/drawingml/2006/main" xmlns:pic="http://schemas.openxmlformats.org/drawingml/2006/picture">
            <wp:extent cx="5040000" cy="2835000"/>
            <wp:docPr id="2" name="Picture 2"/>
            <wp:cNvGraphicFramePr>
              <a:graphicFrameLocks noChangeAspect="1"/>
            </wp:cNvGraphicFramePr>
            <a:graphic>
              <a:graphicData uri="http://schemas.openxmlformats.org/drawingml/2006/picture">
                <pic:pic>
                  <pic:nvPicPr>
                    <pic:cNvPr id="0" name="task1_vol_t0000.png"/>
                    <pic:cNvPicPr/>
                  </pic:nvPicPr>
                  <pic:blipFill>
                    <a:blip r:embed="rId10"/>
                    <a:stretch>
                      <a:fillRect/>
                    </a:stretch>
                  </pic:blipFill>
                  <pic:spPr>
                    <a:xfrm>
                      <a:off x="0" y="0"/>
                      <a:ext cx="5040000" cy="2835000"/>
                    </a:xfrm>
                    <a:prstGeom prst="rect"/>
                  </pic:spPr>
                </pic:pic>
              </a:graphicData>
            </a:graphic>
          </wp:inline>
        </w:drawing>
      </w:r>
    </w:p>
    <w:p>
      <w:r>
        <w:rPr>
          <w:b w:val="0"/>
        </w:rPr>
        <w:t>图：task1_vol_t0050</w:t>
      </w:r>
    </w:p>
    <w:p>
      <w:r>
        <w:drawing>
          <wp:inline xmlns:a="http://schemas.openxmlformats.org/drawingml/2006/main" xmlns:pic="http://schemas.openxmlformats.org/drawingml/2006/picture">
            <wp:extent cx="5040000" cy="2835000"/>
            <wp:docPr id="3" name="Picture 3"/>
            <wp:cNvGraphicFramePr>
              <a:graphicFrameLocks noChangeAspect="1"/>
            </wp:cNvGraphicFramePr>
            <a:graphic>
              <a:graphicData uri="http://schemas.openxmlformats.org/drawingml/2006/picture">
                <pic:pic>
                  <pic:nvPicPr>
                    <pic:cNvPr id="0" name="task1_vol_t0050.png"/>
                    <pic:cNvPicPr/>
                  </pic:nvPicPr>
                  <pic:blipFill>
                    <a:blip r:embed="rId11"/>
                    <a:stretch>
                      <a:fillRect/>
                    </a:stretch>
                  </pic:blipFill>
                  <pic:spPr>
                    <a:xfrm>
                      <a:off x="0" y="0"/>
                      <a:ext cx="5040000" cy="2835000"/>
                    </a:xfrm>
                    <a:prstGeom prst="rect"/>
                  </pic:spPr>
                </pic:pic>
              </a:graphicData>
            </a:graphic>
          </wp:inline>
        </w:drawing>
      </w:r>
    </w:p>
    <w:p>
      <w:r>
        <w:rPr>
          <w:b w:val="0"/>
        </w:rPr>
        <w:t>图：task1_vol_t0099</w:t>
      </w:r>
    </w:p>
    <w:p>
      <w:r>
        <w:drawing>
          <wp:inline xmlns:a="http://schemas.openxmlformats.org/drawingml/2006/main" xmlns:pic="http://schemas.openxmlformats.org/drawingml/2006/picture">
            <wp:extent cx="5040000" cy="2835000"/>
            <wp:docPr id="4" name="Picture 4"/>
            <wp:cNvGraphicFramePr>
              <a:graphicFrameLocks noChangeAspect="1"/>
            </wp:cNvGraphicFramePr>
            <a:graphic>
              <a:graphicData uri="http://schemas.openxmlformats.org/drawingml/2006/picture">
                <pic:pic>
                  <pic:nvPicPr>
                    <pic:cNvPr id="0" name="task1_vol_t0099.png"/>
                    <pic:cNvPicPr/>
                  </pic:nvPicPr>
                  <pic:blipFill>
                    <a:blip r:embed="rId12"/>
                    <a:stretch>
                      <a:fillRect/>
                    </a:stretch>
                  </pic:blipFill>
                  <pic:spPr>
                    <a:xfrm>
                      <a:off x="0" y="0"/>
                      <a:ext cx="5040000" cy="2835000"/>
                    </a:xfrm>
                    <a:prstGeom prst="rect"/>
                  </pic:spPr>
                </pic:pic>
              </a:graphicData>
            </a:graphic>
          </wp:inline>
        </w:drawing>
      </w:r>
    </w:p>
    <w:p w14:paraId="63BEA4DC" w14:textId="58F2ABA0" w:rsidR="00940392" w:rsidRDefault="00965202">
      <w:pPr>
        <w:spacing w:beforeLines="100" w:before="312" w:after="50" w:line="360" w:lineRule="auto"/>
        <w:rPr>
          <w:rFonts w:ascii="黑体" w:eastAsia="黑体" w:hAnsi="黑体"/>
          <w:color w:val="C45911"/>
          <w:sz w:val="24"/>
        </w:rPr>
      </w:pPr>
      <w:r>
        <w:rPr>
          <w:rFonts w:ascii="黑体" w:eastAsia="黑体" w:hAnsi="黑体" w:hint="eastAsia"/>
          <w:b/>
          <w:sz w:val="24"/>
        </w:rPr>
        <w:t>2、</w:t>
      </w:r>
      <w:r w:rsidR="006F2AE0" w:rsidRPr="006F2AE0">
        <w:rPr>
          <w:rFonts w:ascii="黑体" w:eastAsia="黑体" w:hAnsi="黑体" w:hint="eastAsia"/>
          <w:b/>
          <w:sz w:val="24"/>
        </w:rPr>
        <w:t>基于可视化图像结果，归纳宇宙密度的演化特征，总结宇宙结构形成、星系际介质演化的核心规律，阐释可视化技术在宇宙学数据分析中的应用价值</w:t>
      </w:r>
      <w:r w:rsidR="0067075C" w:rsidRPr="0067075C">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23C76E88" w14:textId="77777777" w:rsidR="00940392" w:rsidRDefault="001B3BDA">
      <w:pPr>
        <w:rPr>
          <w:color w:val="BFBFBF"/>
        </w:rPr>
      </w:pPr>
      <w:r>
        <w:rPr>
          <w:color w:val="BFBFBF"/>
        </w:rPr>
        <w:t>（下面是答题区域）</w:t>
      </w:r>
    </w:p>
    <w:p>
      <w:r>
        <w:rPr>
          <w:b w:val="0"/>
        </w:rPr>
        <w:t>（自动填入，正文 697 字）</w:t>
      </w:r>
    </w:p>
    <w:p>
      <w:r>
        <w:rPr>
          <w:b/>
        </w:rPr>
        <w:t>任务二：宇宙密度演化规律归纳</w:t>
      </w:r>
    </w:p>
    <w:p>
      <w:r>
        <w:rPr>
          <w:b w:val="0"/>
        </w:rPr>
        <w:t>数据与物理背景</w:t>
      </w:r>
    </w:p>
    <w:p>
      <w:r>
        <w:rPr>
          <w:b w:val="0"/>
        </w:rPr>
        <w:t>• 本数据集来自 Nyx 宇宙学模拟：基于 AMReX 自适应网格框架的引力流体计算，追踪高红移宇宙中星系际介质（IGM）气体密度随时间的演化。</w:t>
      </w:r>
    </w:p>
    <w:p>
      <w:r>
        <w:rPr>
          <w:b w:val="0"/>
        </w:rPr>
        <w:t>• 128³ 子体积记录的是重子气体密度（非暗物质）；100 个时间步对应引力不稳定下，由近乎均匀微涨落向 void—filament—node 宇宙网拓扑分化的典型过程。</w:t>
      </w:r>
    </w:p>
    <w:p>
      <w:r>
        <w:rPr>
          <w:b w:val="0"/>
        </w:rPr>
        <w:t>• IGM 密度动态范围大、分布强右偏，故本报告在 log 域统计与可视化；绝大部分体积仍为稀疏 IGM，肉眼可见的亮脊/节点对应极少数高密度尾。</w:t>
      </w:r>
    </w:p>
    <w:p>
      <w:r>
        <w:rPr>
          <w:b w:val="0"/>
        </w:rPr>
        <w:t>结构形成（团块化）</w:t>
      </w:r>
    </w:p>
    <w:p>
      <w:r>
        <w:rPr>
          <w:b w:val="0"/>
        </w:rPr>
        <w:t>• 在 100 步引力团块化过程中，密度分位跨度 p99−p01 由 2.098 增至 2.414（+15.1%），说明高低密度区域分化加剧。</w:t>
      </w:r>
    </w:p>
    <w:p>
      <w:r>
        <w:rPr>
          <w:b w:val="0"/>
        </w:rPr>
        <w:t>• 标准差 σ 由 0.4318 升至 0.4983，全域涨落幅度持续扩大，符合“均匀 IGM → 纤维/节点”结构形成图像。</w:t>
      </w:r>
    </w:p>
    <w:p>
      <w:r>
        <w:rPr>
          <w:b w:val="0"/>
        </w:rPr>
        <w:t>星系际介质（IGM）</w:t>
      </w:r>
    </w:p>
    <w:p>
      <w:r>
        <w:rPr>
          <w:b w:val="0"/>
        </w:rPr>
        <w:t>• 密度直方图主峰始终位于中低密区，≥p99 的体素体积占比约 1.00%（t=99），即绝大部分体积仍为稀疏 IGM，仅少量重子汇入致密通道构成宇宙网可见结构。</w:t>
      </w:r>
    </w:p>
    <w:p>
      <w:r>
        <w:rPr>
          <w:b w:val="0"/>
        </w:rPr>
        <w:t>可视化应用价值</w:t>
      </w:r>
    </w:p>
    <w:p>
      <w:r>
        <w:rPr>
          <w:b w:val="0"/>
        </w:rPr>
        <w:t>• 体渲染提供全局形态直觉，识别 filaments 与 void 的空间布局；</w:t>
      </w:r>
    </w:p>
    <w:p>
      <w:r>
        <w:rPr>
          <w:b w:val="0"/>
        </w:rPr>
        <w:t>• 100 步 log 直方图量化分布漂移，避免“只看漂亮图”的主观判断；</w:t>
      </w:r>
    </w:p>
    <w:p>
      <w:r>
        <w:rPr>
          <w:b w:val="0"/>
        </w:rPr>
        <w:t>• 相空间刷选将高密度尾与空间节点一一对应，形成“假设—统计—空间”闭环，支撑宇宙学数据探索。</w:t>
      </w:r>
    </w:p>
    <w:p>
      <w:r>
        <w:rPr>
          <w:b w:val="0"/>
        </w:rPr>
        <w:t>可检验结论（三条）</w:t>
      </w:r>
    </w:p>
    <w:p>
      <w:r>
        <w:rPr>
          <w:b w:val="0"/>
        </w:rPr>
        <w:t>1. 涨落增强：σ(t) 单调上升趋势（见图 task2_evolution_story）。</w:t>
      </w:r>
    </w:p>
    <w:p>
      <w:r>
        <w:rPr>
          <w:b w:val="0"/>
        </w:rPr>
        <w:t>2. 两极分化：偏度维持右偏且尾翼抬升，低密度空洞与高密度节点共存。</w:t>
      </w:r>
    </w:p>
    <w:p>
      <w:r>
        <w:rPr>
          <w:b w:val="0"/>
        </w:rPr>
        <w:t>3. 宇宙网对应：Top 1% 空间投影呈丝状聚集，与体渲染亮脊位置一致（任务四验证）。</w:t>
      </w:r>
    </w:p>
    <w:p>
      <w:r>
        <w:rPr>
          <w:b w:val="0"/>
        </w:rPr>
        <w:t>图：task2_evolution_story</w:t>
      </w:r>
    </w:p>
    <w:p>
      <w:r>
        <w:drawing>
          <wp:inline xmlns:a="http://schemas.openxmlformats.org/drawingml/2006/main" xmlns:pic="http://schemas.openxmlformats.org/drawingml/2006/picture">
            <wp:extent cx="5040000" cy="3528000"/>
            <wp:docPr id="5" name="Picture 5"/>
            <wp:cNvGraphicFramePr>
              <a:graphicFrameLocks noChangeAspect="1"/>
            </wp:cNvGraphicFramePr>
            <a:graphic>
              <a:graphicData uri="http://schemas.openxmlformats.org/drawingml/2006/picture">
                <pic:pic>
                  <pic:nvPicPr>
                    <pic:cNvPr id="0" name="task2_evolution_story.png"/>
                    <pic:cNvPicPr/>
                  </pic:nvPicPr>
                  <pic:blipFill>
                    <a:blip r:embed="rId13"/>
                    <a:stretch>
                      <a:fillRect/>
                    </a:stretch>
                  </pic:blipFill>
                  <pic:spPr>
                    <a:xfrm>
                      <a:off x="0" y="0"/>
                      <a:ext cx="5040000" cy="3528000"/>
                    </a:xfrm>
                    <a:prstGeom prst="rect"/>
                  </pic:spPr>
                </pic:pic>
              </a:graphicData>
            </a:graphic>
          </wp:inline>
        </w:drawing>
      </w:r>
    </w:p>
    <w:p>
      <w:r>
        <w:rPr>
          <w:b w:val="0"/>
        </w:rPr>
        <w:t>图：task3_hist_overlay</w:t>
      </w:r>
    </w:p>
    <w:p>
      <w:r>
        <w:drawing>
          <wp:inline xmlns:a="http://schemas.openxmlformats.org/drawingml/2006/main" xmlns:pic="http://schemas.openxmlformats.org/drawingml/2006/picture">
            <wp:extent cx="5040000" cy="3150000"/>
            <wp:docPr id="6" name="Picture 6"/>
            <wp:cNvGraphicFramePr>
              <a:graphicFrameLocks noChangeAspect="1"/>
            </wp:cNvGraphicFramePr>
            <a:graphic>
              <a:graphicData uri="http://schemas.openxmlformats.org/drawingml/2006/picture">
                <pic:pic>
                  <pic:nvPicPr>
                    <pic:cNvPr id="0" name="task3_hist_overlay.png"/>
                    <pic:cNvPicPr/>
                  </pic:nvPicPr>
                  <pic:blipFill>
                    <a:blip r:embed="rId14"/>
                    <a:stretch>
                      <a:fillRect/>
                    </a:stretch>
                  </pic:blipFill>
                  <pic:spPr>
                    <a:xfrm>
                      <a:off x="0" y="0"/>
                      <a:ext cx="5040000" cy="3150000"/>
                    </a:xfrm>
                    <a:prstGeom prst="rect"/>
                  </pic:spPr>
                </pic:pic>
              </a:graphicData>
            </a:graphic>
          </wp:inline>
        </w:drawing>
      </w:r>
    </w:p>
    <w:p>
      <w:r>
        <w:rPr>
          <w:b w:val="0"/>
        </w:rPr>
        <w:t>图：task1_vol_t0000</w:t>
      </w:r>
    </w:p>
    <w:p>
      <w:r>
        <w:drawing>
          <wp:inline xmlns:a="http://schemas.openxmlformats.org/drawingml/2006/main" xmlns:pic="http://schemas.openxmlformats.org/drawingml/2006/picture">
            <wp:extent cx="5040000" cy="2835000"/>
            <wp:docPr id="7" name="Picture 7"/>
            <wp:cNvGraphicFramePr>
              <a:graphicFrameLocks noChangeAspect="1"/>
            </wp:cNvGraphicFramePr>
            <a:graphic>
              <a:graphicData uri="http://schemas.openxmlformats.org/drawingml/2006/picture">
                <pic:pic>
                  <pic:nvPicPr>
                    <pic:cNvPr id="0" name="task1_vol_t0000.png"/>
                    <pic:cNvPicPr/>
                  </pic:nvPicPr>
                  <pic:blipFill>
                    <a:blip r:embed="rId10"/>
                    <a:stretch>
                      <a:fillRect/>
                    </a:stretch>
                  </pic:blipFill>
                  <pic:spPr>
                    <a:xfrm>
                      <a:off x="0" y="0"/>
                      <a:ext cx="5040000" cy="2835000"/>
                    </a:xfrm>
                    <a:prstGeom prst="rect"/>
                  </pic:spPr>
                </pic:pic>
              </a:graphicData>
            </a:graphic>
          </wp:inline>
        </w:drawing>
      </w:r>
    </w:p>
    <w:p>
      <w:r>
        <w:rPr>
          <w:b w:val="0"/>
        </w:rPr>
        <w:t>图：task1_vol_t0099</w:t>
      </w:r>
    </w:p>
    <w:p>
      <w:r>
        <w:drawing>
          <wp:inline xmlns:a="http://schemas.openxmlformats.org/drawingml/2006/main" xmlns:pic="http://schemas.openxmlformats.org/drawingml/2006/picture">
            <wp:extent cx="5040000" cy="2835000"/>
            <wp:docPr id="8" name="Picture 8"/>
            <wp:cNvGraphicFramePr>
              <a:graphicFrameLocks noChangeAspect="1"/>
            </wp:cNvGraphicFramePr>
            <a:graphic>
              <a:graphicData uri="http://schemas.openxmlformats.org/drawingml/2006/picture">
                <pic:pic>
                  <pic:nvPicPr>
                    <pic:cNvPr id="0" name="task1_vol_t0099.png"/>
                    <pic:cNvPicPr/>
                  </pic:nvPicPr>
                  <pic:blipFill>
                    <a:blip r:embed="rId12"/>
                    <a:stretch>
                      <a:fillRect/>
                    </a:stretch>
                  </pic:blipFill>
                  <pic:spPr>
                    <a:xfrm>
                      <a:off x="0" y="0"/>
                      <a:ext cx="5040000" cy="2835000"/>
                    </a:xfrm>
                    <a:prstGeom prst="rect"/>
                  </pic:spPr>
                </pic:pic>
              </a:graphicData>
            </a:graphic>
          </wp:inline>
        </w:drawing>
      </w:r>
    </w:p>
    <w:p w14:paraId="79724611" w14:textId="0C4257FA" w:rsidR="00940392" w:rsidRDefault="00965202">
      <w:pPr>
        <w:spacing w:beforeLines="100" w:before="312" w:after="50" w:line="360" w:lineRule="auto"/>
        <w:rPr>
          <w:rFonts w:ascii="黑体" w:eastAsia="黑体" w:hAnsi="黑体"/>
          <w:color w:val="C45911"/>
          <w:sz w:val="24"/>
        </w:rPr>
      </w:pPr>
      <w:r>
        <w:rPr>
          <w:rFonts w:ascii="黑体" w:eastAsia="黑体" w:hAnsi="黑体" w:hint="eastAsia"/>
          <w:b/>
          <w:sz w:val="24"/>
        </w:rPr>
        <w:t>3、</w:t>
      </w:r>
      <w:r w:rsidR="006F2AE0" w:rsidRPr="006F2AE0">
        <w:rPr>
          <w:rFonts w:ascii="黑体" w:eastAsia="黑体" w:hAnsi="黑体" w:hint="eastAsia"/>
          <w:b/>
          <w:sz w:val="24"/>
        </w:rPr>
        <w:t>宇宙密度时序统计特征分析：早期宇宙物质分布相对均匀，密度数值高度集中于均值区间。在100个演化时间步长的暗物质引力持续作用下，宇宙物质不断聚集坍缩，整体呈现显著的“团块化”特征，密度数值波动幅度持续增大，逐步形成极端低密度宇宙空洞与极端高密度结构峰值的两极分化分布。自主统计每个时间步长的气体密度数据，构建密度对数直方图，量化追踪全域密度分布随时间的演化偏移规律</w:t>
      </w:r>
      <w:r w:rsidR="00FF4BA2" w:rsidRPr="00FF4BA2">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2FF6F296" w14:textId="77777777" w:rsidR="00940392" w:rsidRDefault="001B3BDA">
      <w:pPr>
        <w:rPr>
          <w:color w:val="BFBFBF"/>
        </w:rPr>
      </w:pPr>
      <w:r>
        <w:rPr>
          <w:color w:val="BFBFBF"/>
        </w:rPr>
        <w:t>（下面是答题区域）</w:t>
      </w:r>
    </w:p>
    <w:p>
      <w:r>
        <w:rPr>
          <w:b w:val="0"/>
        </w:rPr>
        <w:t>（自动填入，正文 434 字）</w:t>
      </w:r>
    </w:p>
    <w:p>
      <w:r>
        <w:rPr>
          <w:b/>
        </w:rPr>
        <w:t>任务三：时序密度对数直方图统计</w:t>
      </w:r>
    </w:p>
    <w:p>
      <w:r>
        <w:rPr>
          <w:b w:val="0"/>
        </w:rPr>
        <w:t>方法</w:t>
      </w:r>
    </w:p>
    <w:p>
      <w:r>
        <w:rPr>
          <w:b w:val="0"/>
        </w:rPr>
        <w:t>• 对 全部 100 个时间步 的气体密度做 log 等距分箱（128 bins），边界 [7.7533, 14.5231]（全域 min/max）。</w:t>
      </w:r>
    </w:p>
    <w:p>
      <w:r>
        <w:rPr>
          <w:b w:val="0"/>
        </w:rPr>
        <w:t>• 分箱中心 ρᵢ = √(edgeᵢ · edgeᵢ₊₁)，直方图为归一化频数 Σcount/N。</w:t>
      </w:r>
    </w:p>
    <w:p>
      <w:r>
        <w:rPr>
          <w:b w:val="0"/>
        </w:rPr>
        <w:t>• 同步预计算每步 mean、σ、p01/p50/p99、偏度 skew，用于时序曲线（tools/python/precompute.py → timeline.json）。</w:t>
      </w:r>
    </w:p>
    <w:p>
      <w:r>
        <w:rPr>
          <w:b w:val="0"/>
        </w:rPr>
        <w:t>演化规律</w:t>
      </w:r>
    </w:p>
    <w:p>
      <w:r>
        <w:rPr>
          <w:b w:val="0"/>
        </w:rPr>
        <w:t>• 团块化：σ 由 0.4318 → 0.4983，物质分布由相对均匀转向强烈聚敛。</w:t>
      </w:r>
    </w:p>
    <w:p>
      <w:r>
        <w:rPr>
          <w:b w:val="0"/>
        </w:rPr>
        <w:t>• 两极分化：偏度 0.7162 → 0.7183，右尾持续增厚；代表步直方图叠加显示主峰略移、尾部抬升，对应“void + 致密节点”。</w:t>
      </w:r>
    </w:p>
    <w:p>
      <w:r>
        <w:rPr>
          <w:b w:val="0"/>
        </w:rPr>
        <w:t>• 分位跨度：p99−p01 扩大，高密度尾体积占比稳定在 ~1% 量级，但空间上对应可见宇宙网。</w:t>
      </w:r>
    </w:p>
    <w:p>
      <w:r>
        <w:rPr>
          <w:b w:val="0"/>
        </w:rPr>
        <w:t>与赛题描述的对照</w:t>
      </w:r>
    </w:p>
    <w:p>
      <w:r>
        <w:rPr>
          <w:b w:val="0"/>
        </w:rPr>
        <w:t>赛题指出早期密度集中于均值附近、后期出现空洞与峰值两极分化——本工作用 100 步完整直方图序列 而非单帧切片证明该趋势，并给出可复现的数值曲线。</w:t>
      </w:r>
    </w:p>
    <w:p>
      <w:r>
        <w:rPr>
          <w:b w:val="0"/>
        </w:rPr>
        <w:t>图：task3_hist_overlay</w:t>
      </w:r>
    </w:p>
    <w:p>
      <w:r>
        <w:drawing>
          <wp:inline xmlns:a="http://schemas.openxmlformats.org/drawingml/2006/main" xmlns:pic="http://schemas.openxmlformats.org/drawingml/2006/picture">
            <wp:extent cx="5040000" cy="3150000"/>
            <wp:docPr id="9" name="Picture 9"/>
            <wp:cNvGraphicFramePr>
              <a:graphicFrameLocks noChangeAspect="1"/>
            </wp:cNvGraphicFramePr>
            <a:graphic>
              <a:graphicData uri="http://schemas.openxmlformats.org/drawingml/2006/picture">
                <pic:pic>
                  <pic:nvPicPr>
                    <pic:cNvPr id="0" name="task3_hist_overlay.png"/>
                    <pic:cNvPicPr/>
                  </pic:nvPicPr>
                  <pic:blipFill>
                    <a:blip r:embed="rId14"/>
                    <a:stretch>
                      <a:fillRect/>
                    </a:stretch>
                  </pic:blipFill>
                  <pic:spPr>
                    <a:xfrm>
                      <a:off x="0" y="0"/>
                      <a:ext cx="5040000" cy="3150000"/>
                    </a:xfrm>
                    <a:prstGeom prst="rect"/>
                  </pic:spPr>
                </pic:pic>
              </a:graphicData>
            </a:graphic>
          </wp:inline>
        </w:drawing>
      </w:r>
    </w:p>
    <w:p>
      <w:r>
        <w:rPr>
          <w:b w:val="0"/>
        </w:rPr>
        <w:t>图：task3_metrics_timeline</w:t>
      </w:r>
    </w:p>
    <w:p>
      <w:r>
        <w:drawing>
          <wp:inline xmlns:a="http://schemas.openxmlformats.org/drawingml/2006/main" xmlns:pic="http://schemas.openxmlformats.org/drawingml/2006/picture">
            <wp:extent cx="5040000" cy="2240000"/>
            <wp:docPr id="10" name="Picture 10"/>
            <wp:cNvGraphicFramePr>
              <a:graphicFrameLocks noChangeAspect="1"/>
            </wp:cNvGraphicFramePr>
            <a:graphic>
              <a:graphicData uri="http://schemas.openxmlformats.org/drawingml/2006/picture">
                <pic:pic>
                  <pic:nvPicPr>
                    <pic:cNvPr id="0" name="task3_metrics_timeline.png"/>
                    <pic:cNvPicPr/>
                  </pic:nvPicPr>
                  <pic:blipFill>
                    <a:blip r:embed="rId15"/>
                    <a:stretch>
                      <a:fillRect/>
                    </a:stretch>
                  </pic:blipFill>
                  <pic:spPr>
                    <a:xfrm>
                      <a:off x="0" y="0"/>
                      <a:ext cx="5040000" cy="2240000"/>
                    </a:xfrm>
                    <a:prstGeom prst="rect"/>
                  </pic:spPr>
                </pic:pic>
              </a:graphicData>
            </a:graphic>
          </wp:inline>
        </w:drawing>
      </w:r>
    </w:p>
    <w:p>
      <w:r>
        <w:rPr>
          <w:b w:val="0"/>
        </w:rPr>
        <w:t>图：task3_evolution_metrics</w:t>
      </w:r>
    </w:p>
    <w:p>
      <w:r>
        <w:drawing>
          <wp:inline xmlns:a="http://schemas.openxmlformats.org/drawingml/2006/main" xmlns:pic="http://schemas.openxmlformats.org/drawingml/2006/picture">
            <wp:extent cx="5040000" cy="1596000"/>
            <wp:docPr id="11" name="Picture 11"/>
            <wp:cNvGraphicFramePr>
              <a:graphicFrameLocks noChangeAspect="1"/>
            </wp:cNvGraphicFramePr>
            <a:graphic>
              <a:graphicData uri="http://schemas.openxmlformats.org/drawingml/2006/picture">
                <pic:pic>
                  <pic:nvPicPr>
                    <pic:cNvPr id="0" name="task3_evolution_metrics.png"/>
                    <pic:cNvPicPr/>
                  </pic:nvPicPr>
                  <pic:blipFill>
                    <a:blip r:embed="rId16"/>
                    <a:stretch>
                      <a:fillRect/>
                    </a:stretch>
                  </pic:blipFill>
                  <pic:spPr>
                    <a:xfrm>
                      <a:off x="0" y="0"/>
                      <a:ext cx="5040000" cy="1596000"/>
                    </a:xfrm>
                    <a:prstGeom prst="rect"/>
                  </pic:spPr>
                </pic:pic>
              </a:graphicData>
            </a:graphic>
          </wp:inline>
        </w:drawing>
      </w:r>
    </w:p>
    <w:p>
      <w:r>
        <w:rPr>
          <w:b w:val="0"/>
        </w:rPr>
        <w:t>图：task3_peak_drift</w:t>
      </w:r>
    </w:p>
    <w:p>
      <w:r>
        <w:drawing>
          <wp:inline xmlns:a="http://schemas.openxmlformats.org/drawingml/2006/main" xmlns:pic="http://schemas.openxmlformats.org/drawingml/2006/picture">
            <wp:extent cx="5040000" cy="2205000"/>
            <wp:docPr id="12" name="Picture 12"/>
            <wp:cNvGraphicFramePr>
              <a:graphicFrameLocks noChangeAspect="1"/>
            </wp:cNvGraphicFramePr>
            <a:graphic>
              <a:graphicData uri="http://schemas.openxmlformats.org/drawingml/2006/picture">
                <pic:pic>
                  <pic:nvPicPr>
                    <pic:cNvPr id="0" name="task3_peak_drift.png"/>
                    <pic:cNvPicPr/>
                  </pic:nvPicPr>
                  <pic:blipFill>
                    <a:blip r:embed="rId17"/>
                    <a:stretch>
                      <a:fillRect/>
                    </a:stretch>
                  </pic:blipFill>
                  <pic:spPr>
                    <a:xfrm>
                      <a:off x="0" y="0"/>
                      <a:ext cx="5040000" cy="2205000"/>
                    </a:xfrm>
                    <a:prstGeom prst="rect"/>
                  </pic:spPr>
                </pic:pic>
              </a:graphicData>
            </a:graphic>
          </wp:inline>
        </w:drawing>
      </w:r>
    </w:p>
    <w:p w14:paraId="33EBC2F9" w14:textId="0C1B67F8" w:rsidR="00965202" w:rsidRDefault="00965202" w:rsidP="00965202">
      <w:pPr>
        <w:spacing w:beforeLines="100" w:before="312" w:after="50" w:line="360" w:lineRule="auto"/>
        <w:rPr>
          <w:rFonts w:ascii="黑体" w:eastAsia="黑体" w:hAnsi="黑体"/>
          <w:color w:val="C45911"/>
          <w:sz w:val="24"/>
        </w:rPr>
      </w:pPr>
      <w:r>
        <w:rPr>
          <w:rFonts w:ascii="黑体" w:eastAsia="黑体" w:hAnsi="黑体" w:hint="eastAsia"/>
          <w:b/>
          <w:sz w:val="24"/>
        </w:rPr>
        <w:t>4、</w:t>
      </w:r>
      <w:r w:rsidR="006F2AE0" w:rsidRPr="006F2AE0">
        <w:rPr>
          <w:rFonts w:ascii="黑体" w:eastAsia="黑体" w:hAnsi="黑体" w:hint="eastAsia"/>
          <w:b/>
          <w:sz w:val="24"/>
        </w:rPr>
        <w:t>相空间交互式刷选可视分析：搭建联动式交互可视分析仪表盘，实现基于相空间的筛选分析功能。支持用户在统计直方图中自定义框选特定密度区间，例如筛选占比1%的极高密度区间。系统可实时联动三维空间视图，快速渲染匹配该密度阈值的物理单元格数据，直观验</w:t>
      </w:r>
      <w:r w:rsidR="006F2AE0" w:rsidRPr="006F2AE0">
        <w:rPr>
          <w:rFonts w:ascii="黑体" w:eastAsia="黑体" w:hAnsi="黑体" w:hint="eastAsia"/>
          <w:b/>
          <w:sz w:val="24"/>
        </w:rPr>
        <w:lastRenderedPageBreak/>
        <w:t>证直方图高密度尾部数据与宇宙网节点致密结构的对应关系，实现统计特征与空间物理结构的双向关联分析</w:t>
      </w:r>
      <w:r w:rsidR="00FF4BA2" w:rsidRPr="00FF4BA2">
        <w:rPr>
          <w:rFonts w:ascii="黑体" w:eastAsia="黑体" w:hAnsi="黑体" w:hint="eastAsia"/>
          <w:b/>
          <w:sz w:val="24"/>
        </w:rPr>
        <w:t>。</w:t>
      </w:r>
      <w:r>
        <w:rPr>
          <w:rFonts w:ascii="黑体" w:eastAsia="黑体" w:hAnsi="黑体" w:hint="eastAsia"/>
          <w:color w:val="C45911"/>
          <w:sz w:val="24"/>
        </w:rPr>
        <w:t>（</w:t>
      </w:r>
      <w:r w:rsidRPr="00965202">
        <w:rPr>
          <w:rFonts w:ascii="黑体" w:eastAsia="黑体" w:hAnsi="黑体" w:hint="eastAsia"/>
          <w:color w:val="C45911"/>
          <w:sz w:val="24"/>
        </w:rPr>
        <w:t>建议参赛者回答此题文字不多于800字，图片不多于5张</w:t>
      </w:r>
      <w:r>
        <w:rPr>
          <w:rFonts w:ascii="黑体" w:eastAsia="黑体" w:hAnsi="黑体" w:hint="eastAsia"/>
          <w:color w:val="C45911"/>
          <w:sz w:val="24"/>
        </w:rPr>
        <w:t>）</w:t>
      </w:r>
    </w:p>
    <w:p w14:paraId="76A38ABE" w14:textId="77777777" w:rsidR="00965202" w:rsidRDefault="00965202" w:rsidP="00965202">
      <w:pPr>
        <w:rPr>
          <w:color w:val="BFBFBF"/>
        </w:rPr>
      </w:pPr>
      <w:r>
        <w:rPr>
          <w:color w:val="BFBFBF"/>
        </w:rPr>
        <w:t>（下面是答题区域）</w:t>
      </w:r>
    </w:p>
    <w:p>
      <w:r>
        <w:rPr>
          <w:b w:val="0"/>
        </w:rPr>
        <w:t>（自动填入，正文 701 字）</w:t>
      </w:r>
    </w:p>
    <w:p>
      <w:r>
        <w:rPr>
          <w:b/>
        </w:rPr>
        <w:t>任务四：相空间交互刷选可视分析</w:t>
      </w:r>
    </w:p>
    <w:p>
      <w:r>
        <w:rPr>
          <w:b w:val="0"/>
        </w:rPr>
        <w:t>系统功能</w:t>
      </w:r>
    </w:p>
    <w:p>
      <w:r>
        <w:rPr>
          <w:b w:val="0"/>
        </w:rPr>
        <w:t>• 统计视图：log 密度直方图，支持拖拽框选密度区间；快捷 Top 1%（ρ≥p99=10.7601）与 Bottom 1%（ρ≤p01=8.3458）。</w:t>
      </w:r>
    </w:p>
    <w:p>
      <w:r>
        <w:rPr>
          <w:b w:val="0"/>
        </w:rPr>
        <w:t>• 空间视图：vtk.js 体渲染对刷选区间体素做传递函数高亮；Canvas 2D 最大密度投影 以金色标出刷选体素；可选 3D 点云（≤12000 点，Web Worker 后台扫描）。</w:t>
      </w:r>
    </w:p>
    <w:p>
      <w:r>
        <w:rPr>
          <w:b w:val="0"/>
        </w:rPr>
        <w:t>• 性能：刷选扫描在 Worker 线程；VTK 按需加载；相邻时间步 idle 预取。</w:t>
      </w:r>
    </w:p>
    <w:p>
      <w:r>
        <w:rPr>
          <w:b/>
        </w:rPr>
        <w:t>验证：统计 → 空间</w:t>
      </w:r>
    </w:p>
    <w:p>
      <w:r>
        <w:rPr>
          <w:b w:val="0"/>
        </w:rPr>
        <w:t>• Top 1%：直方图右尾刷选后，XY 投影显示丝状/节点状聚集（非随机散点），与 t=99 体渲染中的亮脊一致 → 高密度尾对应宇宙网致密结构。</w:t>
      </w:r>
    </w:p>
    <w:p>
      <w:r>
        <w:rPr>
          <w:b w:val="0"/>
        </w:rPr>
        <w:t>• Bottom 1%：刷选低密度左尾，投影显示广袤稀疏区域，对应 IGM 主体。</w:t>
      </w:r>
    </w:p>
    <w:p>
      <w:r>
        <w:rPr>
          <w:b/>
        </w:rPr>
        <w:t>验证：空间 → 统计</w:t>
      </w:r>
    </w:p>
    <w:p>
      <w:r>
        <w:rPr>
          <w:b w:val="0"/>
        </w:rPr>
        <w:t>• 在 t=99 XY 最大密度投影上识别 filament 亮脊（投影值 ≥ P88 的像素，金色叠加）。</w:t>
      </w:r>
    </w:p>
    <w:p>
      <w:r>
        <w:rPr>
          <w:b w:val="0"/>
        </w:rPr>
        <w:t>• 汇总这些亮脊像素的密度，得到对应区间 ρ∈[11.23, 12.16]（位于 p75–p99 右尾，与 Top 1% 刷选区间一致）。</w:t>
      </w:r>
    </w:p>
    <w:p>
      <w:r>
        <w:rPr>
          <w:b w:val="0"/>
        </w:rPr>
        <w:t>• 在 log 直方图上以金色标注该密度带 → 空间结构可反查统计位置，与 /app.html 中「先在投影/体渲染定位 filament，再在直方图标密度带」的交互路径一致。</w:t>
      </w:r>
    </w:p>
    <w:p>
      <w:r>
        <w:rPr>
          <w:b w:val="0"/>
        </w:rPr>
        <w:t>双向关联</w:t>
      </w:r>
    </w:p>
    <w:p>
      <w:r>
        <w:rPr>
          <w:b w:val="0"/>
        </w:rPr>
        <w:t>• 统计→空间：框选 [ρ_min, ρ_max] 定位满足条件的体素集合（见 Top/Bottom 1% 三联图）。</w:t>
      </w:r>
    </w:p>
    <w:p>
      <w:r>
        <w:rPr>
          <w:b w:val="0"/>
        </w:rPr>
        <w:t>• 空间→统计：在投影中识别 filament 亮脊后，反推密度带 ρ∈[11.23, 12.16] 并在直方图高亮（见 task4_spatial_to_stats.png，由 spatial_to_stats.py 与 generate_figures.py 可复现）。</w:t>
      </w:r>
    </w:p>
    <w:p>
      <w:r>
        <w:rPr>
          <w:b w:val="0"/>
        </w:rPr>
        <w:t>图：task4_spatial_to_stats</w:t>
      </w:r>
    </w:p>
    <w:p>
      <w:r>
        <w:drawing>
          <wp:inline xmlns:a="http://schemas.openxmlformats.org/drawingml/2006/main" xmlns:pic="http://schemas.openxmlformats.org/drawingml/2006/picture">
            <wp:extent cx="5040000" cy="1929900"/>
            <wp:docPr id="13" name="Picture 13"/>
            <wp:cNvGraphicFramePr>
              <a:graphicFrameLocks noChangeAspect="1"/>
            </wp:cNvGraphicFramePr>
            <a:graphic>
              <a:graphicData uri="http://schemas.openxmlformats.org/drawingml/2006/picture">
                <pic:pic>
                  <pic:nvPicPr>
                    <pic:cNvPr id="0" name="task4_spatial_to_stats.png"/>
                    <pic:cNvPicPr/>
                  </pic:nvPicPr>
                  <pic:blipFill>
                    <a:blip r:embed="rId18"/>
                    <a:stretch>
                      <a:fillRect/>
                    </a:stretch>
                  </pic:blipFill>
                  <pic:spPr>
                    <a:xfrm>
                      <a:off x="0" y="0"/>
                      <a:ext cx="5040000" cy="1929900"/>
                    </a:xfrm>
                    <a:prstGeom prst="rect"/>
                  </pic:spPr>
                </pic:pic>
              </a:graphicData>
            </a:graphic>
          </wp:inline>
        </w:drawing>
      </w:r>
    </w:p>
    <w:p>
      <w:r>
        <w:rPr>
          <w:b w:val="0"/>
        </w:rPr>
        <w:t>图：task4_brush_triptych</w:t>
      </w:r>
    </w:p>
    <w:p>
      <w:r>
        <w:drawing>
          <wp:inline xmlns:a="http://schemas.openxmlformats.org/drawingml/2006/main" xmlns:pic="http://schemas.openxmlformats.org/drawingml/2006/picture">
            <wp:extent cx="5040000" cy="1645926"/>
            <wp:docPr id="14" name="Picture 14"/>
            <wp:cNvGraphicFramePr>
              <a:graphicFrameLocks noChangeAspect="1"/>
            </wp:cNvGraphicFramePr>
            <a:graphic>
              <a:graphicData uri="http://schemas.openxmlformats.org/drawingml/2006/picture">
                <pic:pic>
                  <pic:nvPicPr>
                    <pic:cNvPr id="0" name="task4_brush_triptych.png"/>
                    <pic:cNvPicPr/>
                  </pic:nvPicPr>
                  <pic:blipFill>
                    <a:blip r:embed="rId19"/>
                    <a:stretch>
                      <a:fillRect/>
                    </a:stretch>
                  </pic:blipFill>
                  <pic:spPr>
                    <a:xfrm>
                      <a:off x="0" y="0"/>
                      <a:ext cx="5040000" cy="1645926"/>
                    </a:xfrm>
                    <a:prstGeom prst="rect"/>
                  </pic:spPr>
                </pic:pic>
              </a:graphicData>
            </a:graphic>
          </wp:inline>
        </w:drawing>
      </w:r>
    </w:p>
    <w:p>
      <w:r>
        <w:rPr>
          <w:b w:val="0"/>
        </w:rPr>
        <w:t>图：task4_hist_brush_top1</w:t>
      </w:r>
    </w:p>
    <w:p>
      <w:r>
        <w:drawing>
          <wp:inline xmlns:a="http://schemas.openxmlformats.org/drawingml/2006/main" xmlns:pic="http://schemas.openxmlformats.org/drawingml/2006/picture">
            <wp:extent cx="5040000" cy="2520000"/>
            <wp:docPr id="15" name="Picture 15"/>
            <wp:cNvGraphicFramePr>
              <a:graphicFrameLocks noChangeAspect="1"/>
            </wp:cNvGraphicFramePr>
            <a:graphic>
              <a:graphicData uri="http://schemas.openxmlformats.org/drawingml/2006/picture">
                <pic:pic>
                  <pic:nvPicPr>
                    <pic:cNvPr id="0" name="task4_hist_brush_top1.png"/>
                    <pic:cNvPicPr/>
                  </pic:nvPicPr>
                  <pic:blipFill>
                    <a:blip r:embed="rId20"/>
                    <a:stretch>
                      <a:fillRect/>
                    </a:stretch>
                  </pic:blipFill>
                  <pic:spPr>
                    <a:xfrm>
                      <a:off x="0" y="0"/>
                      <a:ext cx="5040000" cy="2520000"/>
                    </a:xfrm>
                    <a:prstGeom prst="rect"/>
                  </pic:spPr>
                </pic:pic>
              </a:graphicData>
            </a:graphic>
          </wp:inline>
        </w:drawing>
      </w:r>
    </w:p>
    <w:p>
      <w:r>
        <w:rPr>
          <w:b w:val="0"/>
        </w:rPr>
        <w:t>图：task4_brush_top1</w:t>
      </w:r>
    </w:p>
    <w:p>
      <w:r>
        <w:drawing>
          <wp:inline xmlns:a="http://schemas.openxmlformats.org/drawingml/2006/main" xmlns:pic="http://schemas.openxmlformats.org/drawingml/2006/picture">
            <wp:extent cx="5040000" cy="5040000"/>
            <wp:docPr id="16" name="Picture 16"/>
            <wp:cNvGraphicFramePr>
              <a:graphicFrameLocks noChangeAspect="1"/>
            </wp:cNvGraphicFramePr>
            <a:graphic>
              <a:graphicData uri="http://schemas.openxmlformats.org/drawingml/2006/picture">
                <pic:pic>
                  <pic:nvPicPr>
                    <pic:cNvPr id="0" name="task4_brush_top1.png"/>
                    <pic:cNvPicPr/>
                  </pic:nvPicPr>
                  <pic:blipFill>
                    <a:blip r:embed="rId21"/>
                    <a:stretch>
                      <a:fillRect/>
                    </a:stretch>
                  </pic:blipFill>
                  <pic:spPr>
                    <a:xfrm>
                      <a:off x="0" y="0"/>
                      <a:ext cx="5040000" cy="5040000"/>
                    </a:xfrm>
                    <a:prstGeom prst="rect"/>
                  </pic:spPr>
                </pic:pic>
              </a:graphicData>
            </a:graphic>
          </wp:inline>
        </w:drawing>
      </w:r>
    </w:p>
    <w:sectPr w:rsidR="00965202">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B367A0" w14:textId="77777777" w:rsidR="00273A3E" w:rsidRDefault="00273A3E">
      <w:pPr>
        <w:spacing w:line="240" w:lineRule="auto"/>
      </w:pPr>
      <w:r>
        <w:separator/>
      </w:r>
    </w:p>
  </w:endnote>
  <w:endnote w:type="continuationSeparator" w:id="0">
    <w:p w14:paraId="1A615736" w14:textId="77777777" w:rsidR="00273A3E" w:rsidRDefault="00273A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CE909B" w14:textId="77777777" w:rsidR="00273A3E" w:rsidRDefault="00273A3E">
      <w:pPr>
        <w:spacing w:after="0"/>
      </w:pPr>
      <w:r>
        <w:separator/>
      </w:r>
    </w:p>
  </w:footnote>
  <w:footnote w:type="continuationSeparator" w:id="0">
    <w:p w14:paraId="3A293D0A" w14:textId="77777777" w:rsidR="00273A3E" w:rsidRDefault="00273A3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Dg4ZmYzYTY0ZWRlMmRhZDNjY2QyYWRmNTUyMGE0OGEifQ=="/>
  </w:docVars>
  <w:rsids>
    <w:rsidRoot w:val="00993785"/>
    <w:rsid w:val="000249C3"/>
    <w:rsid w:val="00034337"/>
    <w:rsid w:val="00074377"/>
    <w:rsid w:val="000969AD"/>
    <w:rsid w:val="000A51D6"/>
    <w:rsid w:val="00111C40"/>
    <w:rsid w:val="00142471"/>
    <w:rsid w:val="00144A5C"/>
    <w:rsid w:val="001B3BDA"/>
    <w:rsid w:val="00273A3E"/>
    <w:rsid w:val="002F1EC8"/>
    <w:rsid w:val="0036156D"/>
    <w:rsid w:val="00511AFA"/>
    <w:rsid w:val="005A69D7"/>
    <w:rsid w:val="005F3163"/>
    <w:rsid w:val="00650923"/>
    <w:rsid w:val="0067075C"/>
    <w:rsid w:val="006F2AE0"/>
    <w:rsid w:val="007421D0"/>
    <w:rsid w:val="00743AA7"/>
    <w:rsid w:val="00754207"/>
    <w:rsid w:val="007A5E0E"/>
    <w:rsid w:val="008F621A"/>
    <w:rsid w:val="009167E5"/>
    <w:rsid w:val="00940392"/>
    <w:rsid w:val="00956A53"/>
    <w:rsid w:val="00965202"/>
    <w:rsid w:val="00993785"/>
    <w:rsid w:val="009D3907"/>
    <w:rsid w:val="00A12869"/>
    <w:rsid w:val="00A155B2"/>
    <w:rsid w:val="00A97522"/>
    <w:rsid w:val="00B77D19"/>
    <w:rsid w:val="00BB7A09"/>
    <w:rsid w:val="00C60428"/>
    <w:rsid w:val="00C628A5"/>
    <w:rsid w:val="00CB7667"/>
    <w:rsid w:val="00D44925"/>
    <w:rsid w:val="00D553A3"/>
    <w:rsid w:val="00D734CE"/>
    <w:rsid w:val="00DA0D0A"/>
    <w:rsid w:val="00E015A7"/>
    <w:rsid w:val="00E36F32"/>
    <w:rsid w:val="00E40CB4"/>
    <w:rsid w:val="00E91F43"/>
    <w:rsid w:val="00EC669A"/>
    <w:rsid w:val="00FB16FA"/>
    <w:rsid w:val="00FF4BA2"/>
    <w:rsid w:val="00FF7536"/>
    <w:rsid w:val="0598572A"/>
    <w:rsid w:val="146B549A"/>
    <w:rsid w:val="23B670EB"/>
    <w:rsid w:val="3CB14874"/>
    <w:rsid w:val="3E6E5C27"/>
    <w:rsid w:val="4F6F1D18"/>
    <w:rsid w:val="6B66680F"/>
    <w:rsid w:val="6DA47243"/>
    <w:rsid w:val="765362CF"/>
    <w:rsid w:val="7ACC520B"/>
    <w:rsid w:val="7AED2E7F"/>
    <w:rsid w:val="7F270E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8823F"/>
  <w15:docId w15:val="{F8EF5026-8343-44E3-B396-9F31C36A1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spacing w:after="160" w:line="259" w:lineRule="auto"/>
    </w:pPr>
    <w:rPr>
      <w:rFonts w:eastAsia="Microsoft YaHei UI" w:ascii="宋体" w:hAnsi="宋体"/>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autoRedefine/>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autoRedefine/>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link w:val="a5"/>
    <w:uiPriority w:val="99"/>
    <w:qFormat/>
    <w:rPr>
      <w:rFonts w:eastAsia="Microsoft YaHei UI"/>
      <w:sz w:val="18"/>
      <w:szCs w:val="18"/>
    </w:rPr>
  </w:style>
  <w:style w:type="character" w:customStyle="1" w:styleId="a4">
    <w:name w:val="页脚 字符"/>
    <w:link w:val="a3"/>
    <w:autoRedefine/>
    <w:uiPriority w:val="99"/>
    <w:qFormat/>
    <w:rPr>
      <w:rFonts w:eastAsia="Microsoft YaHei UI"/>
      <w:sz w:val="18"/>
      <w:szCs w:val="18"/>
    </w:rPr>
  </w:style>
  <w:style w:type="paragraph" w:customStyle="1" w:styleId="1">
    <w:name w:val="列出段落1"/>
    <w:basedOn w:val="a"/>
    <w:uiPriority w:val="34"/>
    <w:qFormat/>
    <w:pPr>
      <w:widowControl w:val="0"/>
      <w:spacing w:after="0" w:line="240" w:lineRule="auto"/>
      <w:ind w:firstLineChars="200" w:firstLine="420"/>
      <w:jc w:val="both"/>
    </w:pPr>
    <w:rPr>
      <w:rFonts w:eastAsia="宋体"/>
      <w:kern w:val="2"/>
      <w:sz w:val="21"/>
    </w:rPr>
  </w:style>
  <w:style w:type="paragraph" w:customStyle="1" w:styleId="TitleA">
    <w:name w:val="Title A"/>
    <w:qFormat/>
    <w:pPr>
      <w:widowControl w:val="0"/>
      <w:jc w:val="both"/>
    </w:pPr>
    <w:rPr>
      <w:rFonts w:eastAsia="Calibri" w:cs="Calibri"/>
      <w:color w:val="000000"/>
      <w:kern w:val="2"/>
      <w:sz w:val="18"/>
      <w:szCs w:val="18"/>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810716">
      <w:bodyDiv w:val="1"/>
      <w:marLeft w:val="0"/>
      <w:marRight w:val="0"/>
      <w:marTop w:val="0"/>
      <w:marBottom w:val="0"/>
      <w:divBdr>
        <w:top w:val="none" w:sz="0" w:space="0" w:color="auto"/>
        <w:left w:val="none" w:sz="0" w:space="0" w:color="auto"/>
        <w:bottom w:val="none" w:sz="0" w:space="0" w:color="auto"/>
        <w:right w:val="none" w:sz="0" w:space="0" w:color="auto"/>
      </w:divBdr>
    </w:div>
    <w:div w:id="576593449">
      <w:bodyDiv w:val="1"/>
      <w:marLeft w:val="0"/>
      <w:marRight w:val="0"/>
      <w:marTop w:val="0"/>
      <w:marBottom w:val="0"/>
      <w:divBdr>
        <w:top w:val="none" w:sz="0" w:space="0" w:color="auto"/>
        <w:left w:val="none" w:sz="0" w:space="0" w:color="auto"/>
        <w:bottom w:val="none" w:sz="0" w:space="0" w:color="auto"/>
        <w:right w:val="none" w:sz="0" w:space="0" w:color="auto"/>
      </w:divBdr>
      <w:divsChild>
        <w:div w:id="602150617">
          <w:marLeft w:val="0"/>
          <w:marRight w:val="0"/>
          <w:marTop w:val="0"/>
          <w:marBottom w:val="0"/>
          <w:divBdr>
            <w:top w:val="none" w:sz="0" w:space="0" w:color="auto"/>
            <w:left w:val="none" w:sz="0" w:space="0" w:color="auto"/>
            <w:bottom w:val="none" w:sz="0" w:space="0" w:color="auto"/>
            <w:right w:val="none" w:sz="0" w:space="0" w:color="auto"/>
          </w:divBdr>
        </w:div>
      </w:divsChild>
    </w:div>
    <w:div w:id="797114978">
      <w:bodyDiv w:val="1"/>
      <w:marLeft w:val="0"/>
      <w:marRight w:val="0"/>
      <w:marTop w:val="0"/>
      <w:marBottom w:val="0"/>
      <w:divBdr>
        <w:top w:val="none" w:sz="0" w:space="0" w:color="auto"/>
        <w:left w:val="none" w:sz="0" w:space="0" w:color="auto"/>
        <w:bottom w:val="none" w:sz="0" w:space="0" w:color="auto"/>
        <w:right w:val="none" w:sz="0" w:space="0" w:color="auto"/>
      </w:divBdr>
      <w:divsChild>
        <w:div w:id="1136944730">
          <w:marLeft w:val="0"/>
          <w:marRight w:val="0"/>
          <w:marTop w:val="0"/>
          <w:marBottom w:val="0"/>
          <w:divBdr>
            <w:top w:val="none" w:sz="0" w:space="0" w:color="auto"/>
            <w:left w:val="none" w:sz="0" w:space="0" w:color="auto"/>
            <w:bottom w:val="none" w:sz="0" w:space="0" w:color="auto"/>
            <w:right w:val="none" w:sz="0" w:space="0" w:color="auto"/>
          </w:divBdr>
          <w:divsChild>
            <w:div w:id="15033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455462">
      <w:bodyDiv w:val="1"/>
      <w:marLeft w:val="0"/>
      <w:marRight w:val="0"/>
      <w:marTop w:val="0"/>
      <w:marBottom w:val="0"/>
      <w:divBdr>
        <w:top w:val="none" w:sz="0" w:space="0" w:color="auto"/>
        <w:left w:val="none" w:sz="0" w:space="0" w:color="auto"/>
        <w:bottom w:val="none" w:sz="0" w:space="0" w:color="auto"/>
        <w:right w:val="none" w:sz="0" w:space="0" w:color="auto"/>
      </w:divBdr>
      <w:divsChild>
        <w:div w:id="91947073">
          <w:marLeft w:val="0"/>
          <w:marRight w:val="0"/>
          <w:marTop w:val="0"/>
          <w:marBottom w:val="0"/>
          <w:divBdr>
            <w:top w:val="none" w:sz="0" w:space="0" w:color="auto"/>
            <w:left w:val="none" w:sz="0" w:space="0" w:color="auto"/>
            <w:bottom w:val="none" w:sz="0" w:space="0" w:color="auto"/>
            <w:right w:val="none" w:sz="0" w:space="0" w:color="auto"/>
          </w:divBdr>
          <w:divsChild>
            <w:div w:id="9988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252132">
      <w:bodyDiv w:val="1"/>
      <w:marLeft w:val="0"/>
      <w:marRight w:val="0"/>
      <w:marTop w:val="0"/>
      <w:marBottom w:val="0"/>
      <w:divBdr>
        <w:top w:val="none" w:sz="0" w:space="0" w:color="auto"/>
        <w:left w:val="none" w:sz="0" w:space="0" w:color="auto"/>
        <w:bottom w:val="none" w:sz="0" w:space="0" w:color="auto"/>
        <w:right w:val="none" w:sz="0" w:space="0" w:color="auto"/>
      </w:divBdr>
      <w:divsChild>
        <w:div w:id="39787137">
          <w:marLeft w:val="0"/>
          <w:marRight w:val="0"/>
          <w:marTop w:val="0"/>
          <w:marBottom w:val="0"/>
          <w:divBdr>
            <w:top w:val="none" w:sz="0" w:space="0" w:color="auto"/>
            <w:left w:val="none" w:sz="0" w:space="0" w:color="auto"/>
            <w:bottom w:val="none" w:sz="0" w:space="0" w:color="auto"/>
            <w:right w:val="none" w:sz="0" w:space="0" w:color="auto"/>
          </w:divBdr>
          <w:divsChild>
            <w:div w:id="9988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257048">
      <w:bodyDiv w:val="1"/>
      <w:marLeft w:val="0"/>
      <w:marRight w:val="0"/>
      <w:marTop w:val="0"/>
      <w:marBottom w:val="0"/>
      <w:divBdr>
        <w:top w:val="none" w:sz="0" w:space="0" w:color="auto"/>
        <w:left w:val="none" w:sz="0" w:space="0" w:color="auto"/>
        <w:bottom w:val="none" w:sz="0" w:space="0" w:color="auto"/>
        <w:right w:val="none" w:sz="0" w:space="0" w:color="auto"/>
      </w:divBdr>
      <w:divsChild>
        <w:div w:id="355935638">
          <w:marLeft w:val="0"/>
          <w:marRight w:val="0"/>
          <w:marTop w:val="0"/>
          <w:marBottom w:val="0"/>
          <w:divBdr>
            <w:top w:val="none" w:sz="0" w:space="0" w:color="auto"/>
            <w:left w:val="none" w:sz="0" w:space="0" w:color="auto"/>
            <w:bottom w:val="none" w:sz="0" w:space="0" w:color="auto"/>
            <w:right w:val="none" w:sz="0" w:space="0" w:color="auto"/>
          </w:divBdr>
          <w:divsChild>
            <w:div w:id="96904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ls@tju.edu.cn"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172</Words>
  <Characters>985</Characters>
  <Application>Microsoft Office Word</Application>
  <DocSecurity>0</DocSecurity>
  <Lines>8</Lines>
  <Paragraphs>2</Paragraphs>
  <ScaleCrop>false</ScaleCrop>
  <Company/>
  <LinksUpToDate>false</LinksUpToDate>
  <CharactersWithSpaces>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dc:creator>
  <cp:lastModifiedBy>jin xu</cp:lastModifiedBy>
  <cp:revision>22</cp:revision>
  <dcterms:created xsi:type="dcterms:W3CDTF">2022-03-27T05:01:00Z</dcterms:created>
  <dcterms:modified xsi:type="dcterms:W3CDTF">2026-05-07T07:43:00Z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03B78DF9DBCC43E190FBA832EA9B2F64_13</vt:lpwstr>
  </property>
</Properties>
</file>