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7CFA9"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6"/>
        </w:rPr>
        <w:t>2026 年第十三届中国可视化与可视分析大会</w:t>
      </w:r>
    </w:p>
    <w:p w14:paraId="56929978">
      <w:pPr>
        <w:spacing w:before="120" w:after="120" w:line="360" w:lineRule="auto"/>
      </w:pPr>
      <w:r>
        <w:rPr>
          <w:rFonts w:ascii="宋体" w:hAnsi="宋体" w:eastAsia="宋体"/>
          <w:b/>
          <w:sz w:val="24"/>
        </w:rPr>
        <w:t>数据可视化竞赛赛道 II（ChinaVis Data Challenge 2026 - mini challenge II）</w:t>
      </w:r>
    </w:p>
    <w:p w14:paraId="55898959"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6"/>
        </w:rPr>
        <w:t>答 卷</w:t>
      </w:r>
    </w:p>
    <w:p w14:paraId="3D22901F"/>
    <w:p w14:paraId="5929C977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参赛队名称：学校-姓名-赛道1-II</w:t>
      </w:r>
    </w:p>
    <w:p w14:paraId="4A2FE389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团队成员： 张三，某某大学，zhang@example.edu.cn，队长</w:t>
      </w:r>
    </w:p>
    <w:p w14:paraId="78A94AAA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李四，某某大学，li@example.edu.cn</w:t>
      </w:r>
    </w:p>
    <w:p w14:paraId="5054E0A5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团队成员是否与报名表一致（是或否）：是</w:t>
      </w:r>
    </w:p>
    <w:p w14:paraId="6EF57B9A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是否学生队（是或否）：是</w:t>
      </w:r>
    </w:p>
    <w:p w14:paraId="278E5329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使用的分析工具或开发工具（如果使用了自己研发的软件或工具请具体说明）：Vite、React、TypeScript、vtk.js、D3.js、Python（precompute/generate_figures）、Playwright 体渲染截图；NyxViz 自研交互仪表盘</w:t>
      </w:r>
    </w:p>
    <w:p w14:paraId="250723D4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共计耗费时间（人天）： 30人天</w:t>
      </w:r>
    </w:p>
    <w:p w14:paraId="5286E8A7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本次比赛结束后，我们是否可以在网络上公布该答卷与视频（是或否）：是</w:t>
      </w:r>
    </w:p>
    <w:p w14:paraId="78FEB443"/>
    <w:p w14:paraId="0BA08A03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4"/>
        </w:rPr>
        <w:t>（以下为作品说明正文：系统概览、四题案例分析、综合发现与附录。配图按出现顺序编号为图1、图2…；同一配图重复引用时标注「见图N，同图从略」。子图含义见各图注。）</w:t>
      </w:r>
    </w:p>
    <w:p w14:paraId="3C5C6535">
      <w:r>
        <w:br w:type="page"/>
      </w:r>
    </w:p>
    <w:p w14:paraId="6B94B78B">
      <w:pPr>
        <w:pStyle w:val="3"/>
        <w:bidi w:val="0"/>
      </w:pPr>
      <w:r>
        <w:t>0 系统概览</w:t>
      </w:r>
    </w:p>
    <w:p w14:paraId="13F996DD">
      <w:pPr>
        <w:ind w:left="0" w:leftChars="0" w:firstLine="0" w:firstLineChars="0"/>
        <w:jc w:val="center"/>
      </w:pPr>
      <w:r>
        <w:drawing>
          <wp:inline distT="0" distB="0" distL="114300" distR="114300">
            <wp:extent cx="3159760" cy="737933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73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0D8A">
      <w:pPr>
        <w:pStyle w:val="179"/>
        <w:bidi w:val="0"/>
      </w:pPr>
      <w:r>
        <w:t>图1 NyxViz「宇宙网诞生记」全景长卷（hero + 五帧条带 + 统计 + 刷选 + 质量占比 + 流程，纵向拼接）</w:t>
      </w:r>
    </w:p>
    <w:p w14:paraId="1097CA64">
      <w:pPr>
        <w:bidi w:val="0"/>
      </w:pPr>
      <w:r>
        <w:t>「NyxViz：宇宙网诞生记」面向 Nyx 宇宙学模拟输出的 128³ 重子气体密度场（100 个时间步，全域ρ∈[7.75, 14.52]），旨在从可视化与可视分析角度揭示引力团块化过程中，由近乎均匀的微小涨落向void—filament—node宇宙网拓扑分化的完整叙事。Nyx基于AMReX块结构自适应网格（AMR）求解引力流体方程，广泛用于高红移IGM研究——其中莱曼阿尔法森林（Lyα forest）沿视线吸收谱线刻画 IGM 密度涨落；本作品在赛题给定的均匀128³子体积上，以体渲染与百步统计再现与之相关的密度对比度演化，为理解「模拟场→观测可解释量」提供可视分析入口（详见第 5 章天文背景与 AMR 范围说明）。系统以三栏交互仪表盘（/app.html、/video.html）与成果长卷（/）协同呈现，各视图通过交互页统一 log 标量域、共享timeline.json统计源与刷选状态实现联动。录屏页/video.html?record=1采用 1920×1080 一屏布局，底部四卡发现区与页脚叙事便于答辩录屏。重要：配图 vs 在线演示。正文task1_vol_strip.png（五帧条带）由capture.html生成，使用Evolution Capture Profile（按步变化的 TF 增益 + 本步 p01–p99 域）；/app.html 交互页则固定getGlobalTfDomain 全局域与默认tfParams——条带图与在线拖动时间轴的体渲染 intentionally 不同；答辩请以交互页为准（§1.2（5））。</w:t>
      </w:r>
    </w:p>
    <w:p w14:paraId="7937D2DB">
      <w:pPr>
        <w:bidi w:val="0"/>
      </w:pPr>
      <w:r>
        <w:t>A. 体渲染视图：基于vtk.js的 GPU 光线投射，居中常驻展示当前时间步的三维密度场；cosmic 传递函数在 log 域按全域 p01–p99 映射，使低密度void与高密度filament同屏可辨。B. 时序 log 直方图：D3.js 绘制当前步密度分布，支持拖拽框选密度区间，并与体渲染高亮联动。C. 统计指标时序：σ(t)、p99−p01 分位跨度、Top 1%尾区变化等迷你趋势图，量化演化速率。D. 相空间刷选：预设Top 1%、90–99% 纤维带、Bottom 1%，一键刷选右尾/左尾并在体素级高亮。E. 密度投影：Canvas 2D 最大密度投影（XY），以金色标出刷选体素或filament亮脊。F. 发现叙事区：四张发现卡串联体渲染、统计曲线、质量占比与刷选验证，页脚给出科学结论。</w:t>
      </w:r>
    </w:p>
    <w:p w14:paraId="0F022CDD">
      <w:pPr>
        <w:bidi w:val="0"/>
      </w:pPr>
      <w:r>
        <w:t>本答卷前四章逐题解答赛题任务一至四，第五章综合归纳科学发现与启示；附录给出分析流程、可视设计、数据预计算管线与工具环境（附录 1–4）。文中配图多为 matplotlib 或 Playwright 生成的拼接图，子图含义在图注中逐一说明。</w:t>
      </w:r>
    </w:p>
    <w:p w14:paraId="791AAA37">
      <w:pPr>
        <w:pStyle w:val="4"/>
        <w:bidi w:val="0"/>
      </w:pPr>
      <w:r>
        <w:t>0.1 术语与缩写</w:t>
      </w:r>
    </w:p>
    <w:p w14:paraId="796826B2">
      <w:pPr>
        <w:pStyle w:val="178"/>
        <w:bidi w:val="0"/>
      </w:pPr>
      <w:r>
        <w:t>表1 正文常用术语（首次出现处亦作简要说明）</w:t>
      </w:r>
      <w:bookmarkStart w:id="0" w:name="_GoBack"/>
      <w:bookmarkEnd w:id="0"/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11BC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C6370D8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术语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BDB7CB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含义</w:t>
            </w:r>
          </w:p>
        </w:tc>
      </w:tr>
      <w:tr w14:paraId="13DEE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F5E82A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IGM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5ACF3E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Intergalactic Medium，星系际介质</w:t>
            </w:r>
          </w:p>
        </w:tc>
      </w:tr>
      <w:tr w14:paraId="133C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48D245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void / filament / node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8D71E2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宇宙网拓扑：低密度空洞 / 丝状纤维 / 高密度节点</w:t>
            </w:r>
          </w:p>
        </w:tc>
      </w:tr>
      <w:tr w14:paraId="6889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718B94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TF / 传递函数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435213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Transfer Function，体渲染中将标量密度 ρ 映射为 RGB 与不透明度 α 的分段函数</w:t>
            </w:r>
          </w:p>
        </w:tc>
      </w:tr>
      <w:tr w14:paraId="64E57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72E97F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TF 增益 / Evolution Capture Profile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D75F92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仅 **capture.html** 五帧条带截图专用：`getEvolutionCaptureProfile` 按时间步调整 **opacityScale**（全局 α 乘子）与 **densityGain**（传递函数控制点在 ρ 轴上的平移系数）；**不修改体素密度**，仅改变可视化映射；交互页 `/app.html` 默认不使用该曲线</w:t>
            </w:r>
          </w:p>
        </w:tc>
      </w:tr>
      <w:tr w14:paraId="652B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226368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densityGain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8408A7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传递函数平移系数：在 `mapT()` 中对每个 cosmic 控制点密度坐标施加 Δρ = −(p99−p01)·densityGain·0.08；**负值**将控制点移向更高 ρ，使同等低密度体素获得更低 α/RGB，等效于**压低 IGM 雾感**</w:t>
            </w:r>
          </w:p>
        </w:tc>
      </w:tr>
      <w:tr w14:paraId="32B2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F2100A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wideBoost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5C858D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宽屏视口修正因子：16:9 横屏时相对正方体域的 `1/√aspect` 缩放，写入 `fitVolumeCamera`，与 VIEW_MARGIN、zoom 合成 effectiveZoom</w:t>
            </w:r>
          </w:p>
        </w:tc>
      </w:tr>
      <w:tr w14:paraId="4AFE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EEE0DF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pp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F4F67B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percentage point，百分点（如 1.2%→1.3% 为 +0.1 pp，非相对百分比）</w:t>
            </w:r>
          </w:p>
        </w:tc>
      </w:tr>
      <w:tr w14:paraId="4BA2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31AC32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σ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ABB41C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标准差（standard deviation）</w:t>
            </w:r>
          </w:p>
        </w:tc>
      </w:tr>
      <w:tr w14:paraId="2C78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E338E5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p01/p99 等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EA5647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密度场的 1%/99% 分位数</w:t>
            </w:r>
          </w:p>
        </w:tc>
      </w:tr>
      <w:tr w14:paraId="3EA4F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DF64C3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Ka / Kd / Ks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D5FC8C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Phong 光照的环境光 / 漫反射 / 镜面反射系数</w:t>
            </w:r>
          </w:p>
        </w:tc>
      </w:tr>
      <w:tr w14:paraId="797A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6E15E0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AMR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4D330D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Adaptive Mesh Refinement，自适应网格细化</w:t>
            </w:r>
          </w:p>
        </w:tc>
      </w:tr>
      <w:tr w14:paraId="210A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589365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KPI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B35B0D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Key Performance Indicator，仪表盘关键指标卡片</w:t>
            </w:r>
          </w:p>
        </w:tc>
      </w:tr>
      <w:tr w14:paraId="57DD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FD2E05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LOD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83DF85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Level of Detail，多细节层次（体渲染远近分级）</w:t>
            </w:r>
          </w:p>
        </w:tc>
      </w:tr>
    </w:tbl>
    <w:p w14:paraId="226D206E"/>
    <w:p w14:paraId="77205E75">
      <w:pPr>
        <w:pStyle w:val="3"/>
        <w:bidi w:val="0"/>
      </w:pPr>
      <w:r>
        <w:t>1、体数据渲染与密度演化</w:t>
      </w:r>
    </w:p>
    <w:p w14:paraId="2BFF6A0A">
      <w:pPr>
        <w:pStyle w:val="4"/>
        <w:bidi w:val="0"/>
      </w:pPr>
      <w:r>
        <w:t>1.1 视图简介</w:t>
      </w:r>
    </w:p>
    <w:p w14:paraId="71CF06E3">
      <w:pPr>
        <w:bidi w:val="0"/>
      </w:pPr>
      <w:r>
        <w:t>本题涉及体渲染视图与五时刻演化条带。数据为 Nyx 官方128³重子气体密度（仅气体，非暗物质），100 步 t=0…99。字节序与存储布局：每体素 4 字节小端 float32（Python dtype='&lt;f4'；浏览器 Float32Array 在 x86 平台按小端解释），文件按z 最快、y 次之、x 最慢的线性顺序排列（赛题所称 z→y→x），扁平索引 i = z + 128·y + 128²·x。读取后不改变物理含义下的 (x,y,z) 体素坐标，仅将一维数组解释为三维标量场；Python 侧以 reshape((128,128,128), order='C') 得 volume[x,y,z]；浏览器侧vtk.js的 vtkImageData 点数据要求x 最快，故经 vtkConvert.worker 将 z-fast 缓冲重映射为 x-fast（见附录 3.4）。渲染管线基于vtk.jsGPU 光线投射；传递函数、光照、采样与相机参数见§1.2。为便于跨时刻定性对比，选取 t=0、25、50、75、99 五帧，在capture.html下以固定算法位姿（fitVolumeCamera，cameraZoom=1）截图，输出五联条带（task1_vol_strip.png）。条带底部色条标注百步 p01–p99 全局包络（与交互页 getGlobalTfDomain 一致），作为 cosmic 调色板的参照刻度；各帧实际渲染另采用 capture 专用 Evolution Profile（见 §1.2（5）），严格而言五帧间 α(ρ) 映射并不相同——此为配图可读性取舍，非交互页默认行为。</w:t>
      </w:r>
    </w:p>
    <w:p w14:paraId="1E8D206A">
      <w:pPr>
        <w:pStyle w:val="4"/>
        <w:bidi w:val="0"/>
      </w:pPr>
      <w:r>
        <w:t>1.2 传递函数、光照、采样与相机</w:t>
      </w:r>
    </w:p>
    <w:p w14:paraId="48C0BBE6">
      <w:pPr>
        <w:bidi w:val="0"/>
      </w:pPr>
      <w:r>
        <w:t>（1）传递函数。采用自研cosmic预设：在 log10 密度域将标量p01–p99映射到 RGB 与不透明度。交互页默认标量域为百步包络[8.346, 10.760]；capture 条带各帧可改用本步 p01–p99（§1.2（5））。颜色由 7 段控制点插值（深蓝 void→青蓝 IGM→紫粉 filament→金黄 node）；不透明度在归一化 t=0/0.12/0.35/0.55/0.72/0.88/1.0 处取 α=0/0.02/0.06/0.14/0.32/0.65/0.95，低密度区近乎透明、右尾渐显，避免 IGM 雾屏。下图（task1_transfer_function.png）给出独立的颜色条 + 不透明度曲线示意图，与线上一致的定义见 src/volume/transferFunction.ts。</w:t>
      </w:r>
    </w:p>
    <w:p w14:paraId="162D60A7">
      <w:pPr>
        <w:ind w:left="0" w:leftChars="0" w:firstLine="0" w:firstLineChars="0"/>
        <w:jc w:val="both"/>
      </w:pPr>
      <w:r>
        <w:drawing>
          <wp:inline distT="0" distB="0" distL="114300" distR="114300">
            <wp:extent cx="5579745" cy="2832735"/>
            <wp:effectExtent l="0" t="0" r="825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3868">
      <w:pPr>
        <w:pStyle w:val="179"/>
        <w:bidi w:val="0"/>
      </w:pPr>
      <w:r>
        <w:t>图2 cosmic 传递函数设计图（交互页默认参数）</w:t>
      </w:r>
    </w:p>
    <w:p w14:paraId="061F50FC">
      <w:pPr>
        <w:bidi w:val="0"/>
      </w:pPr>
      <w:r>
        <w:t>（2）光照（Phong）。展板/截图质量（quality=presentation）启用体素光照：VolumeProperty.setShade(true)，环境光Ka=0.12、漫反射Kd=0.75、镜面Ks=0.4；双光源均指向体素域几何中心(7.1225, 7.1225, 7.1225)（域长14.245代码单位的一半）：主光位置(15.12, 17.12, 19.12)、RGB(1,1,1)、强度1.0；补光位置(-4.88, -0.88, -2.88)、RGB(0.55,0.75,1)、强度0.3。该配置在保持 IGM 半透明感的同时，为filament脊线提供可辨的明暗起伏。下图（task1_lighting_diagram.png）以三维示意主光/补光方向（箭头指向体素域中心），与传递函数曲线图并列，便于复现光照空间分布。</w:t>
      </w:r>
    </w:p>
    <w:p w14:paraId="56A8C7C3">
      <w:pPr>
        <w:jc w:val="center"/>
      </w:pPr>
      <w:r>
        <w:drawing>
          <wp:inline distT="0" distB="0" distL="114300" distR="114300">
            <wp:extent cx="5039995" cy="51054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0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5236">
      <w:pPr>
        <w:pStyle w:val="179"/>
        <w:bidi w:val="0"/>
      </w:pPr>
      <w:r>
        <w:t>图3 Phong 双光源空间示意：主光/补光位置与指向域中心的方向</w:t>
      </w:r>
    </w:p>
    <w:p w14:paraId="23C0211E">
      <w:pPr>
        <w:pStyle w:val="178"/>
        <w:bidi w:val="0"/>
      </w:pPr>
      <w:r>
        <w:t>表2 体渲染光照与采样参数（presentation / capture 默认）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2805"/>
        <w:gridCol w:w="2737"/>
      </w:tblGrid>
      <w:tr w14:paraId="6CDA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A369091">
            <w:pPr>
              <w:pStyle w:val="182"/>
              <w:bidi w:val="0"/>
              <w:spacing w:after="0"/>
            </w:pPr>
            <w:r>
              <w:t>参数</w:t>
            </w:r>
          </w:p>
        </w:tc>
        <w:tc>
          <w:tcPr>
            <w:tcW w:w="158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D18DC7">
            <w:pPr>
              <w:pStyle w:val="182"/>
              <w:bidi w:val="0"/>
              <w:spacing w:after="0"/>
            </w:pPr>
            <w:r>
              <w:t>取值</w:t>
            </w:r>
          </w:p>
        </w:tc>
        <w:tc>
          <w:tcPr>
            <w:tcW w:w="154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3BE94B">
            <w:pPr>
              <w:pStyle w:val="182"/>
              <w:bidi w:val="0"/>
              <w:spacing w:after="0"/>
            </w:pPr>
            <w:r>
              <w:t>说明</w:t>
            </w:r>
          </w:p>
        </w:tc>
      </w:tr>
      <w:tr w14:paraId="40DF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B36271">
            <w:pPr>
              <w:pStyle w:val="182"/>
              <w:bidi w:val="0"/>
              <w:spacing w:after="0"/>
            </w:pPr>
            <w:r>
              <w:t>shade</w:t>
            </w:r>
          </w:p>
        </w:tc>
        <w:tc>
          <w:tcPr>
            <w:tcW w:w="158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A0C4A0">
            <w:pPr>
              <w:pStyle w:val="182"/>
              <w:bidi w:val="0"/>
              <w:spacing w:after="0"/>
            </w:pPr>
            <w:r>
              <w:t>true</w:t>
            </w:r>
          </w:p>
        </w:tc>
        <w:tc>
          <w:tcPr>
            <w:tcW w:w="154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CF71B">
            <w:pPr>
              <w:pStyle w:val="182"/>
              <w:bidi w:val="0"/>
              <w:spacing w:after="0"/>
            </w:pPr>
            <w:r>
              <w:t>启用 Phong 体绘制明暗</w:t>
            </w:r>
          </w:p>
        </w:tc>
      </w:tr>
      <w:tr w14:paraId="7D6D8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FE130">
            <w:pPr>
              <w:pStyle w:val="182"/>
              <w:bidi w:val="0"/>
              <w:spacing w:after="0"/>
            </w:pPr>
            <w:r>
              <w:t>ambient Ka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4371E">
            <w:pPr>
              <w:pStyle w:val="182"/>
              <w:bidi w:val="0"/>
              <w:spacing w:after="0"/>
            </w:pPr>
            <w:r>
              <w:t>0.12</w:t>
            </w:r>
          </w:p>
        </w:tc>
        <w:tc>
          <w:tcPr>
            <w:tcW w:w="15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82EF2">
            <w:pPr>
              <w:pStyle w:val="182"/>
              <w:bidi w:val="0"/>
              <w:spacing w:after="0"/>
            </w:pPr>
            <w:r>
              <w:t>环境光，防止阴影区全黑</w:t>
            </w:r>
          </w:p>
        </w:tc>
      </w:tr>
      <w:tr w14:paraId="70522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203B4">
            <w:pPr>
              <w:pStyle w:val="182"/>
              <w:bidi w:val="0"/>
              <w:spacing w:after="0"/>
            </w:pPr>
            <w:r>
              <w:t>diffuse Kd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DF4E3">
            <w:pPr>
              <w:pStyle w:val="182"/>
              <w:bidi w:val="0"/>
              <w:spacing w:after="0"/>
            </w:pPr>
            <w:r>
              <w:t>0.75</w:t>
            </w:r>
          </w:p>
        </w:tc>
        <w:tc>
          <w:tcPr>
            <w:tcW w:w="15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458F52">
            <w:pPr>
              <w:pStyle w:val="182"/>
              <w:bidi w:val="0"/>
              <w:spacing w:after="0"/>
            </w:pPr>
            <w:r>
              <w:t>漫反射主分量</w:t>
            </w:r>
          </w:p>
        </w:tc>
      </w:tr>
      <w:tr w14:paraId="0F615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7F7DC">
            <w:pPr>
              <w:pStyle w:val="182"/>
              <w:bidi w:val="0"/>
              <w:spacing w:after="0"/>
            </w:pPr>
            <w:r>
              <w:t>specular Ks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4B8DCC">
            <w:pPr>
              <w:pStyle w:val="182"/>
              <w:bidi w:val="0"/>
              <w:spacing w:after="0"/>
            </w:pPr>
            <w:r>
              <w:t>0.4</w:t>
            </w:r>
          </w:p>
        </w:tc>
        <w:tc>
          <w:tcPr>
            <w:tcW w:w="15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0F8E0">
            <w:pPr>
              <w:pStyle w:val="182"/>
              <w:bidi w:val="0"/>
              <w:spacing w:after="0"/>
            </w:pPr>
            <w:r>
              <w:t>镜面高光，突出细脊</w:t>
            </w:r>
          </w:p>
        </w:tc>
      </w:tr>
      <w:tr w14:paraId="6CB5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E091E0">
            <w:pPr>
              <w:pStyle w:val="182"/>
              <w:bidi w:val="0"/>
              <w:spacing w:after="0"/>
            </w:pPr>
            <w:r>
              <w:t>scalarOpacityUnitDistance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6C565F">
            <w:pPr>
              <w:pStyle w:val="182"/>
              <w:bidi w:val="0"/>
              <w:spacing w:after="0"/>
            </w:pPr>
            <w:r>
              <w:t>0.27822</w:t>
            </w:r>
          </w:p>
        </w:tc>
        <w:tc>
          <w:tcPr>
            <w:tcW w:w="15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050105">
            <w:pPr>
              <w:pStyle w:val="182"/>
              <w:bidi w:val="0"/>
              <w:spacing w:after="0"/>
            </w:pPr>
            <w:r>
              <w:t>≈2.5 倍体素间距，调节沿程透明度累积</w:t>
            </w:r>
          </w:p>
        </w:tc>
      </w:tr>
      <w:tr w14:paraId="4BFE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A3805">
            <w:pPr>
              <w:pStyle w:val="182"/>
              <w:bidi w:val="0"/>
              <w:spacing w:after="0"/>
            </w:pPr>
            <w:r>
              <w:t>sampleDistance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A5E5AA">
            <w:pPr>
              <w:pStyle w:val="182"/>
              <w:bidi w:val="0"/>
              <w:spacing w:after="0"/>
            </w:pPr>
            <w:r>
              <w:t>0.65</w:t>
            </w:r>
          </w:p>
        </w:tc>
        <w:tc>
          <w:tcPr>
            <w:tcW w:w="15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C4DE01">
            <w:pPr>
              <w:pStyle w:val="182"/>
              <w:bidi w:val="0"/>
              <w:spacing w:after="0"/>
            </w:pPr>
            <w:r>
              <w:t>光线步长（&lt;1 为亚体素采样）</w:t>
            </w:r>
          </w:p>
        </w:tc>
      </w:tr>
      <w:tr w14:paraId="7824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4B92A">
            <w:pPr>
              <w:pStyle w:val="182"/>
              <w:bidi w:val="0"/>
              <w:spacing w:after="0"/>
            </w:pPr>
            <w:r>
              <w:t>maximumSamplesPerRay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9317A">
            <w:pPr>
              <w:pStyle w:val="182"/>
              <w:bidi w:val="0"/>
              <w:spacing w:after="0"/>
            </w:pPr>
            <w:r>
              <w:t>4096</w:t>
            </w:r>
          </w:p>
        </w:tc>
        <w:tc>
          <w:tcPr>
            <w:tcW w:w="15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142FD">
            <w:pPr>
              <w:pStyle w:val="182"/>
              <w:bidi w:val="0"/>
              <w:spacing w:after="0"/>
            </w:pPr>
            <w:r>
              <w:t>单射线最大步数上限</w:t>
            </w:r>
          </w:p>
        </w:tc>
      </w:tr>
      <w:tr w14:paraId="1BD0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AB1B0C">
            <w:pPr>
              <w:pStyle w:val="182"/>
              <w:bidi w:val="0"/>
              <w:spacing w:after="0"/>
            </w:pPr>
            <w:r>
              <w:t>3D 纹理插值</w:t>
            </w:r>
          </w:p>
        </w:tc>
        <w:tc>
          <w:tcPr>
            <w:tcW w:w="15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5FF32">
            <w:pPr>
              <w:pStyle w:val="182"/>
              <w:bidi w:val="0"/>
              <w:spacing w:after="0"/>
            </w:pPr>
            <w:r>
              <w:t>三线性</w:t>
            </w:r>
          </w:p>
        </w:tc>
        <w:tc>
          <w:tcPr>
            <w:tcW w:w="15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F3043">
            <w:pPr>
              <w:pStyle w:val="182"/>
              <w:bidi w:val="0"/>
              <w:spacing w:after="0"/>
            </w:pPr>
            <w:r>
              <w:t>WebGL 3D 纹理 LINEAR 滤波，体素间线性插值</w:t>
            </w:r>
          </w:p>
        </w:tc>
      </w:tr>
      <w:tr w14:paraId="5C34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F0B4D5">
            <w:pPr>
              <w:pStyle w:val="182"/>
              <w:bidi w:val="0"/>
              <w:spacing w:after="0"/>
            </w:pPr>
            <w:r>
              <w:t>截图超采样</w:t>
            </w:r>
          </w:p>
        </w:tc>
        <w:tc>
          <w:tcPr>
            <w:tcW w:w="158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B1AF27">
            <w:pPr>
              <w:pStyle w:val="182"/>
              <w:bidi w:val="0"/>
              <w:spacing w:after="0"/>
            </w:pPr>
            <w:r>
              <w:t>CAPTURE_SCALE=2</w:t>
            </w:r>
          </w:p>
        </w:tc>
        <w:tc>
          <w:tcPr>
            <w:tcW w:w="154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8C7990">
            <w:pPr>
              <w:pStyle w:val="182"/>
              <w:bidi w:val="0"/>
              <w:spacing w:after="0"/>
            </w:pPr>
            <w:r>
              <w:t>Playwright 设备像素比 2×，减轻屏幕锯齿</w:t>
            </w:r>
          </w:p>
        </w:tc>
      </w:tr>
    </w:tbl>
    <w:p w14:paraId="7F7AA96F"/>
    <w:p w14:paraId="7D73FC47">
      <w:pPr>
        <w:bidi w:val="0"/>
      </w:pPr>
      <w:r>
        <w:t>（表注）上表为Phong 光照与光线步进；TF 参数（opacityScale 等）见§1.2（5）表3。</w:t>
      </w:r>
    </w:p>
    <w:p w14:paraId="5FFF24FB">
      <w:pPr>
        <w:bidi w:val="0"/>
      </w:pPr>
      <w:r>
        <w:t>（3）128³ 分辨率与平滑策略。赛题子体积仅128³体素，纤维与节点边缘在放大观察时仍可能出现块状感——这是数据分辨率上限，而非色标失误。本作品从渲染侧做三层缓解：①GPU 三线性插值（采样点落在体素之间时按 8 邻点加权）；②亚体素光线步进（sampleDistance=0.65）；③截图阶段 2× 设备像素比超采样。未对原始网格做几何上采样（避免伪造亚体素物理量）；更高分辨率需更细 AMR 层级或更大均匀网格导出。（4）五帧条带固定相机。fitVolumeCamera 根据包围盒[0, 14.245]³自动取景；焦点(7.1225, 7.1225, 7.1225)，相机位置(30.0569, 26.5669, 24.0740)，viewUp(0,0,1)；wideBoost（宽屏修正，见 §0.1）≈0.7500，zoomFactor1.0（capture 页；录屏页为1.1），合成 effectiveZoom≈0.6600。五帧截图仅更换标量场与按步Evolution Capture Profile（见 §1.2（5）），不改动上述取景公式。为何需要 capture 专用 TF：t=0 时 IGM 占绝对体积优势，若沿用交互页同一组 α(ρ)，早期帧会被「雾屏」淹没、晚期对比度不足。故opacityScale由0.72→1.10随 t 线性抬升，整体调节沿程积分亮度。densityGain 在 t&lt;45 为负（t=0 最低−0.32，t≈45 归零）：其含义并非改变 Nyx 模拟密度，而是在 transferFunction.ts 的 mapT() 中，将 RGB/α 控制点在 ρ 轴上整体平移Δρ≈−(p99−p01)·densityGain·0.08（t=0 约+0.054代码单位，向更高密度方向）。效果等价于：早期帧对ρ 接近 p01 的 IGM 体素施加更强的不透明衰减——光线积分中低密度段的 α 贡献被压低，雾状背景变暗、filament 对比度提升。是否引入非物理畸变？就模拟场而言否（体素 ρ 未变）；就跨时刻严格可比性而言是——同一 ρ 在 t=0 与 t=99 的 capture 帧中会得到不同 RGB/α，故条带图应解读为「固定相机下的形态演化叙事」，不宜作为定量 ρ–亮度标定图。增益曲线见 task1_tf_gain_curve.png；完整 JSON 见 docs/figures/render_spec.json。</w:t>
      </w:r>
    </w:p>
    <w:p w14:paraId="0A72100F">
      <w:pPr>
        <w:bidi w:val="0"/>
      </w:pPr>
      <w:r>
        <w:t>（5）交互页统一 TF vs capture 条带专用 Profile。二者共用 cosmic 控制点形状，但标量域与增益策略不同：</w:t>
      </w:r>
    </w:p>
    <w:p w14:paraId="4D41F1BA">
      <w:pPr>
        <w:pStyle w:val="178"/>
        <w:bidi w:val="0"/>
      </w:pPr>
      <w:r>
        <w:t>表3 体渲染传递函数：交互页（默认可复现）vs capture 五帧条带（配图专用）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303"/>
        <w:gridCol w:w="3615"/>
      </w:tblGrid>
      <w:tr w14:paraId="5FD6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E6BB224">
            <w:pPr>
              <w:pStyle w:val="182"/>
              <w:bidi w:val="0"/>
              <w:spacing w:after="0"/>
            </w:pPr>
            <w:r>
              <w:t>项</w:t>
            </w:r>
          </w:p>
        </w:tc>
        <w:tc>
          <w:tcPr>
            <w:tcW w:w="18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03900D9">
            <w:pPr>
              <w:pStyle w:val="182"/>
              <w:bidi w:val="0"/>
              <w:spacing w:after="0"/>
            </w:pPr>
            <w:r>
              <w:t>交互页 /app.html</w:t>
            </w:r>
          </w:p>
        </w:tc>
        <w:tc>
          <w:tcPr>
            <w:tcW w:w="203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2C9AFC0">
            <w:pPr>
              <w:pStyle w:val="182"/>
              <w:bidi w:val="0"/>
              <w:spacing w:after="0"/>
            </w:pPr>
            <w:r>
              <w:t>capture.html 五帧条带</w:t>
            </w:r>
          </w:p>
        </w:tc>
      </w:tr>
      <w:tr w14:paraId="30FB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841F033">
            <w:pPr>
              <w:pStyle w:val="182"/>
              <w:bidi w:val="0"/>
              <w:spacing w:after="0"/>
            </w:pPr>
            <w:r>
              <w:t>标量域</w:t>
            </w:r>
          </w:p>
        </w:tc>
        <w:tc>
          <w:tcPr>
            <w:tcW w:w="18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9AADF38">
            <w:pPr>
              <w:pStyle w:val="182"/>
              <w:bidi w:val="0"/>
              <w:spacing w:after="0"/>
            </w:pPr>
            <w:r>
              <w:t>百步 p01–p99 全局包络 [8.346, 10.760]（`getGlobalTfDomain`）</w:t>
            </w:r>
          </w:p>
        </w:tc>
        <w:tc>
          <w:tcPr>
            <w:tcW w:w="203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8B72A93">
            <w:pPr>
              <w:pStyle w:val="182"/>
              <w:bidi w:val="0"/>
              <w:spacing w:after="0"/>
            </w:pPr>
            <w:r>
              <w:t>各帧本步 p01–p99（`getTimestepTfDomain`），强调单步形态</w:t>
            </w:r>
          </w:p>
        </w:tc>
      </w:tr>
      <w:tr w14:paraId="165D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32034">
            <w:pPr>
              <w:pStyle w:val="182"/>
              <w:bidi w:val="0"/>
              <w:spacing w:after="0"/>
            </w:pPr>
            <w:r>
              <w:t>opacityScale</w:t>
            </w:r>
          </w:p>
        </w:tc>
        <w:tc>
          <w:tcPr>
            <w:tcW w:w="18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431C3">
            <w:pPr>
              <w:pStyle w:val="182"/>
              <w:bidi w:val="0"/>
              <w:spacing w:after="0"/>
            </w:pPr>
            <w:r>
              <w:t>默认 **1.15**（用户可调，全时间步共用）</w:t>
            </w:r>
          </w:p>
        </w:tc>
        <w:tc>
          <w:tcPr>
            <w:tcW w:w="20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09F39">
            <w:pPr>
              <w:pStyle w:val="182"/>
              <w:bidi w:val="0"/>
              <w:spacing w:after="0"/>
            </w:pPr>
            <w:r>
              <w:t>**0.72→1.10** 随 t 线性变化</w:t>
            </w:r>
          </w:p>
        </w:tc>
      </w:tr>
      <w:tr w14:paraId="4B379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561D9">
            <w:pPr>
              <w:pStyle w:val="182"/>
              <w:bidi w:val="0"/>
              <w:spacing w:after="0"/>
            </w:pPr>
            <w:r>
              <w:t>densityGain</w:t>
            </w:r>
          </w:p>
        </w:tc>
        <w:tc>
          <w:tcPr>
            <w:tcW w:w="18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11573">
            <w:pPr>
              <w:pStyle w:val="182"/>
              <w:bidi w:val="0"/>
              <w:spacing w:after="0"/>
            </w:pPr>
            <w:r>
              <w:t>默认 **+0.12**（用户可调，全时间步共用）</w:t>
            </w:r>
          </w:p>
        </w:tc>
        <w:tc>
          <w:tcPr>
            <w:tcW w:w="20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81BB9">
            <w:pPr>
              <w:pStyle w:val="182"/>
              <w:bidi w:val="0"/>
              <w:spacing w:after="0"/>
            </w:pPr>
            <w:r>
              <w:t>t&lt;45 为负（t=0 **-0.32**，t=25 **-0.14**），t≥45 为 **0**</w:t>
            </w:r>
          </w:p>
        </w:tc>
      </w:tr>
      <w:tr w14:paraId="7A67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3B691">
            <w:pPr>
              <w:pStyle w:val="182"/>
              <w:bidi w:val="0"/>
              <w:spacing w:after="0"/>
            </w:pPr>
            <w:r>
              <w:t>跨步 α(ρ) 一致？</w:t>
            </w:r>
          </w:p>
        </w:tc>
        <w:tc>
          <w:tcPr>
            <w:tcW w:w="18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E5A79">
            <w:pPr>
              <w:pStyle w:val="182"/>
              <w:bidi w:val="0"/>
              <w:spacing w:after="0"/>
            </w:pPr>
            <w:r>
              <w:t>**是**——拖动时间轴时映射关系不变</w:t>
            </w:r>
          </w:p>
        </w:tc>
        <w:tc>
          <w:tcPr>
            <w:tcW w:w="20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BCF1F">
            <w:pPr>
              <w:pStyle w:val="182"/>
              <w:bidi w:val="0"/>
              <w:spacing w:after="0"/>
            </w:pPr>
            <w:r>
              <w:t>**否**——每帧独立 Profile，仅为条带可读性</w:t>
            </w:r>
          </w:p>
        </w:tc>
      </w:tr>
      <w:tr w14:paraId="258D7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3D014">
            <w:pPr>
              <w:pStyle w:val="182"/>
              <w:bidi w:val="0"/>
              <w:spacing w:after="0"/>
            </w:pPr>
            <w:r>
              <w:t>条带底部色条</w:t>
            </w:r>
          </w:p>
        </w:tc>
        <w:tc>
          <w:tcPr>
            <w:tcW w:w="18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AF929">
            <w:pPr>
              <w:pStyle w:val="182"/>
              <w:bidi w:val="0"/>
              <w:spacing w:after="0"/>
            </w:pPr>
            <w:r>
              <w:t>—</w:t>
            </w:r>
          </w:p>
        </w:tc>
        <w:tc>
          <w:tcPr>
            <w:tcW w:w="20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9A994">
            <w:pPr>
              <w:pStyle w:val="182"/>
              <w:bidi w:val="0"/>
              <w:spacing w:after="0"/>
            </w:pPr>
            <w:r>
              <w:t>标注全局 [8.346, 10.760]，**装饰参照**；与各帧实际域/增益可不一致</w:t>
            </w:r>
          </w:p>
        </w:tc>
      </w:tr>
      <w:tr w14:paraId="458F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822C74F">
            <w:pPr>
              <w:pStyle w:val="182"/>
              <w:bidi w:val="0"/>
              <w:spacing w:after="0"/>
            </w:pPr>
            <w:r>
              <w:t>实现</w:t>
            </w:r>
          </w:p>
        </w:tc>
        <w:tc>
          <w:tcPr>
            <w:tcW w:w="18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9146915">
            <w:pPr>
              <w:pStyle w:val="182"/>
              <w:bidi w:val="0"/>
              <w:spacing w:after="0"/>
            </w:pPr>
            <w:r>
              <w:t>`useDashboardInteraction` + `useAppStore.tfParams`</w:t>
            </w:r>
          </w:p>
        </w:tc>
        <w:tc>
          <w:tcPr>
            <w:tcW w:w="203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93D79CC">
            <w:pPr>
              <w:pStyle w:val="182"/>
              <w:bidi w:val="0"/>
              <w:spacing w:after="0"/>
            </w:pPr>
            <w:r>
              <w:t>`getEvolutionCaptureProfile`</w:t>
            </w:r>
          </w:p>
        </w:tc>
      </w:tr>
    </w:tbl>
    <w:p w14:paraId="69E5D59A"/>
    <w:p w14:paraId="2849FB14">
      <w:pPr>
        <w:bidi w:val="0"/>
      </w:pPr>
      <w:r>
        <w:t>答辩录屏与在线探索请以交互页为准：统计刷选、直方图与体渲染共用同一全局域，保证「同一 ρ 区间→同一颜色/不透明度」的可复现联动。五帧条带属于Playwright 离线配图管线（capture_volumes.mjs→capture.html），与交互 TF 解耦，已在图注与上表标明。</w:t>
      </w:r>
    </w:p>
    <w:p w14:paraId="400626A1">
      <w:pPr>
        <w:pStyle w:val="178"/>
        <w:bidi w:val="0"/>
      </w:pPr>
      <w:r>
        <w:t>表4 五时刻条带可复现相机参数（capture.html，1920×1080）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506D2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5F911C7">
            <w:pPr>
              <w:pStyle w:val="182"/>
              <w:bidi w:val="0"/>
              <w:spacing w:after="0"/>
            </w:pPr>
            <w:r>
              <w:t>项</w:t>
            </w:r>
          </w:p>
        </w:tc>
        <w:tc>
          <w:tcPr>
            <w:tcW w:w="2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F592E0">
            <w:pPr>
              <w:pStyle w:val="182"/>
              <w:bidi w:val="0"/>
              <w:spacing w:after="0"/>
            </w:pPr>
            <w:r>
              <w:t>值</w:t>
            </w:r>
          </w:p>
        </w:tc>
      </w:tr>
      <w:tr w14:paraId="20A1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781A8">
            <w:pPr>
              <w:pStyle w:val="182"/>
              <w:bidi w:val="0"/>
              <w:spacing w:after="0"/>
            </w:pPr>
            <w:r>
              <w:t>域尺寸 DOMAIN_LENGTH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5A081C">
            <w:pPr>
              <w:pStyle w:val="182"/>
              <w:bidi w:val="0"/>
              <w:spacing w:after="0"/>
            </w:pPr>
            <w:r>
              <w:t>14.245（代码单位）</w:t>
            </w:r>
          </w:p>
        </w:tc>
      </w:tr>
      <w:tr w14:paraId="6851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9FB32F">
            <w:pPr>
              <w:pStyle w:val="182"/>
              <w:bidi w:val="0"/>
              <w:spacing w:after="0"/>
            </w:pPr>
            <w:r>
              <w:t>体素间距 SPACING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BDF5A6">
            <w:pPr>
              <w:pStyle w:val="182"/>
              <w:bidi w:val="0"/>
              <w:spacing w:after="0"/>
            </w:pPr>
            <w:r>
              <w:t>0.111289</w:t>
            </w:r>
          </w:p>
        </w:tc>
      </w:tr>
      <w:tr w14:paraId="1EFB1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8AE9C8">
            <w:pPr>
              <w:pStyle w:val="182"/>
              <w:bidi w:val="0"/>
              <w:spacing w:after="0"/>
            </w:pPr>
            <w:r>
              <w:t>包围盒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665AC8">
            <w:pPr>
              <w:pStyle w:val="182"/>
              <w:bidi w:val="0"/>
              <w:spacing w:after="0"/>
            </w:pPr>
            <w:r>
              <w:t>[0, 14.245] × [0, 14.245] × [0, 14.245]</w:t>
            </w:r>
          </w:p>
        </w:tc>
      </w:tr>
      <w:tr w14:paraId="293F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26526">
            <w:pPr>
              <w:pStyle w:val="182"/>
              <w:bidi w:val="0"/>
              <w:spacing w:after="0"/>
            </w:pPr>
            <w:r>
              <w:t>focalPoint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5959A">
            <w:pPr>
              <w:pStyle w:val="182"/>
              <w:bidi w:val="0"/>
              <w:spacing w:after="0"/>
            </w:pPr>
            <w:r>
              <w:t>(7.1225, 7.1225, 7.1225)</w:t>
            </w:r>
          </w:p>
        </w:tc>
      </w:tr>
      <w:tr w14:paraId="4DEC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DA37B8">
            <w:pPr>
              <w:pStyle w:val="182"/>
              <w:bidi w:val="0"/>
              <w:spacing w:after="0"/>
            </w:pPr>
            <w:r>
              <w:t>cameraPosition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A2B57E">
            <w:pPr>
              <w:pStyle w:val="182"/>
              <w:bidi w:val="0"/>
              <w:spacing w:after="0"/>
            </w:pPr>
            <w:r>
              <w:t>(30.0569, 26.5669, 24.0740)</w:t>
            </w:r>
          </w:p>
        </w:tc>
      </w:tr>
      <w:tr w14:paraId="76F9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3ABE81">
            <w:pPr>
              <w:pStyle w:val="182"/>
              <w:bidi w:val="0"/>
              <w:spacing w:after="0"/>
            </w:pPr>
            <w:r>
              <w:t>viewUp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8F997">
            <w:pPr>
              <w:pStyle w:val="182"/>
              <w:bidi w:val="0"/>
              <w:spacing w:after="0"/>
            </w:pPr>
            <w:r>
              <w:t>(0, 0, 1)</w:t>
            </w:r>
          </w:p>
        </w:tc>
      </w:tr>
      <w:tr w14:paraId="4E18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25B3B5">
            <w:pPr>
              <w:pStyle w:val="182"/>
              <w:bidi w:val="0"/>
              <w:spacing w:after="0"/>
            </w:pPr>
            <w:r>
              <w:t>wideBoost（宽屏修正）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7DBC32">
            <w:pPr>
              <w:pStyle w:val="182"/>
              <w:bidi w:val="0"/>
              <w:spacing w:after="0"/>
            </w:pPr>
            <w:r>
              <w:t>0.7500</w:t>
            </w:r>
          </w:p>
        </w:tc>
      </w:tr>
      <w:tr w14:paraId="1222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AEB32">
            <w:pPr>
              <w:pStyle w:val="182"/>
              <w:bidi w:val="0"/>
              <w:spacing w:after="0"/>
            </w:pPr>
            <w:r>
              <w:t>VIEW_MARGIN × wideBoost × zoom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0FD20E">
            <w:pPr>
              <w:pStyle w:val="182"/>
              <w:bidi w:val="0"/>
              <w:spacing w:after="0"/>
            </w:pPr>
            <w:r>
              <w:t>0.6600（effectiveZoom）</w:t>
            </w:r>
          </w:p>
        </w:tc>
      </w:tr>
      <w:tr w14:paraId="63FD0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DD193">
            <w:pPr>
              <w:pStyle w:val="182"/>
              <w:bidi w:val="0"/>
              <w:spacing w:after="0"/>
            </w:pPr>
            <w:r>
              <w:t>viewport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E4688">
            <w:pPr>
              <w:pStyle w:val="182"/>
              <w:bidi w:val="0"/>
              <w:spacing w:after="0"/>
            </w:pPr>
            <w:r>
              <w:t>1920 × 1080，CAPTURE_SCALE=2</w:t>
            </w:r>
          </w:p>
        </w:tc>
      </w:tr>
      <w:tr w14:paraId="5961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EF1D64">
            <w:pPr>
              <w:pStyle w:val="182"/>
              <w:bidi w:val="0"/>
              <w:spacing w:after="0"/>
            </w:pPr>
            <w:r>
              <w:t>实现</w:t>
            </w:r>
          </w:p>
        </w:tc>
        <w:tc>
          <w:tcPr>
            <w:tcW w:w="2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A744CE">
            <w:pPr>
              <w:pStyle w:val="182"/>
              <w:bidi w:val="0"/>
              <w:spacing w:after="0"/>
            </w:pPr>
            <w:r>
              <w:t>src/volume/fitVolumeCamera.ts + tools/python/render_spec.py</w:t>
            </w:r>
          </w:p>
        </w:tc>
      </w:tr>
    </w:tbl>
    <w:p w14:paraId="6B67AE09"/>
    <w:p w14:paraId="53F10D1D">
      <w:pPr>
        <w:ind w:left="0" w:leftChars="0" w:firstLine="0" w:firstLineChars="0"/>
        <w:jc w:val="center"/>
      </w:pPr>
      <w:r>
        <w:drawing>
          <wp:inline distT="0" distB="0" distL="114300" distR="114300">
            <wp:extent cx="5219700" cy="2584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4CCC">
      <w:pPr>
        <w:pStyle w:val="179"/>
        <w:bidi w:val="0"/>
      </w:pPr>
      <w:r>
        <w:t>图4 capture 专用 TF 增益曲线：opacityScale（α 乘子）与 densityGain（ρ 轴平移；t&lt;45 负值=压低 IGM 雾感）</w:t>
      </w:r>
    </w:p>
    <w:p w14:paraId="635C925A">
      <w:pPr>
        <w:bidi w:val="0"/>
      </w:pPr>
      <w:r>
        <w:t>128³ 能否分辨细丝？赛题包未提供 512³ 对照场，无法在同等物理子域做高分辨率 A/B。块平均粗化（128→64→32）是低通盒滤波，频谱特性不同于真实 AMR 重采样或独立低分辨率模拟。粗化结果：64³ 投影相关r=0.940、脊线 Jaccard0.65；32³ Jaccard0.42。如何解读 Jaccard≈0.65（64³ vs 128³）？在 t=99 P88 亮脊掩膜上，约35%像素在粗化—上采样后与 128³ 脊线不一致——说明减半分辨率会显著改变细丝连通性外观。反向含义（对结论置信度的影响）：该实验不能直接给出「128³ 相对 512³ 丢失 35% 真细丝」的定量数，但表明至少 ~35% 量级的脊线形态对网格尺度敏感；因此 128³ 上观察到的 filament连通性/细度应理解为该分辨率可解析的结构，亚网格或更细 AMR 层级上可能存在额外丝状细节——不能将体渲染中的每条亮脊等同于物理真值。哪些结论更稳健？全域矩（σ↑、分位跨度、void 体积分数、Top 1% 刷选占比）对粗化相对不敏感；filament 几何细部与连通性结论需附加「128³ 上限」 caveat。128³ 是赛题数据上限；定量 Nyquist 证明仍需更细网格或完整 Nyx AMR 导出。</w:t>
      </w:r>
    </w:p>
    <w:p w14:paraId="55614951">
      <w:pPr>
        <w:jc w:val="center"/>
      </w:pPr>
      <w:r>
        <w:drawing>
          <wp:inline distT="0" distB="0" distL="114300" distR="114300">
            <wp:extent cx="5399405" cy="2686050"/>
            <wp:effectExtent l="0" t="0" r="1079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5A8A">
      <w:pPr>
        <w:pStyle w:val="179"/>
        <w:bidi w:val="0"/>
      </w:pPr>
      <w:r>
        <w:t>图5 分辨率粗化敏感性：投影相关 r 与 P88 脊线 Jaccard（相对 128³；Jaccard≈0.65 暗示尺度敏感）</w:t>
      </w:r>
    </w:p>
    <w:p w14:paraId="17714222">
      <w:pPr>
        <w:bidi w:val="0"/>
      </w:pPr>
      <w:r>
        <w:t>视场一致性（分层验证）：① 主证——五帧共用 render_spec.json 同一相机公式（focalPoint/position/effectiveZoom）。② 内容证——各帧 XY 投影角点区域平均密度跨步极差0.0550（&gt;0，说明 void 区密度随演化微变）。③ 截图 RGB——四角 letterbox 背景均值极差0.0000（可为 0：页面留白/背景色恒定，不能作为相机漂移反证）。既往「RGB 极差=0」表述易误导，已改为以上分层说明。</w:t>
      </w:r>
    </w:p>
    <w:p w14:paraId="5585CE31">
      <w:pPr>
        <w:pStyle w:val="4"/>
        <w:bidi w:val="0"/>
      </w:pPr>
      <w:r>
        <w:t>1.3 案例分析</w:t>
      </w:r>
    </w:p>
    <w:p w14:paraId="743C8C78">
      <w:pPr>
        <w:bidi w:val="0"/>
      </w:pPr>
      <w:r>
        <w:t>（1）从均匀雾状到宇宙网拓扑的三阶段演化。在体渲染视图中，t=0 时整体呈均匀雾状，filament对比度弱，均值约 9.4854、σ仅 0.4318，尚处于涨落初生的平滑阶段。拖动时间轴至 t=25–50，丝状结构逐渐连通，低密度void区域扩大，σ 由 0.43 升至 0.47 附近。至 t=99，宇宙网拓扑最为清晰：高密度脊线与节点形成亮带，σ达 0.4983、p99=10.7601，与右尾增厚及 max=14.4494 一致。五帧条带在固定相机下呈现 void—filament—node 由模糊走向可辨的形态叙事；因采用 capture 专用 Evolution Profile（§1.2（5）），五帧间 α(ρ) 并非常数，底部 log 色条为全局 p01–p99参照刻度，非逐帧严格映射标尺。定量对比请用交互页或 timeline.json 统计曲线。</w:t>
      </w:r>
      <w:r>
        <w:drawing>
          <wp:inline distT="0" distB="0" distL="114300" distR="114300">
            <wp:extent cx="5496560" cy="17291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05F">
      <w:pPr>
        <w:pStyle w:val="179"/>
        <w:bidi w:val="0"/>
      </w:pPr>
      <w:r>
        <w:t>图6 五帧体渲染条带（capture 专用 TF；非交互页效果；左→右 t=0/25/50/75/99）</w:t>
      </w:r>
    </w:p>
    <w:p w14:paraId="36DDCEFC">
      <w:pPr>
        <w:pStyle w:val="178"/>
        <w:bidi w:val="0"/>
      </w:pPr>
      <w:r>
        <w:t>表5 五代表步密度统计量</w:t>
      </w:r>
    </w:p>
    <w:tbl>
      <w:tblPr>
        <w:tblStyle w:val="4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2"/>
        <w:gridCol w:w="1772"/>
        <w:gridCol w:w="1772"/>
      </w:tblGrid>
      <w:tr w14:paraId="30FB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1B1D84D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时间步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E75A80D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均值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EE2285F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标准差 σ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6D4B0C3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p99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DED3847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最大值</w:t>
            </w:r>
          </w:p>
        </w:tc>
      </w:tr>
      <w:tr w14:paraId="42590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32D7794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0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DA9F6E1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9.4854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D3E8CA4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0.4318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27B1AB7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10.7255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B725510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13.8433</w:t>
            </w:r>
          </w:p>
        </w:tc>
      </w:tr>
      <w:tr w14:paraId="51DF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B3592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25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0D7AE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9.4369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9CD1E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0.4525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93E8E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10.7402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ABA1B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14.0505</w:t>
            </w:r>
          </w:p>
        </w:tc>
      </w:tr>
      <w:tr w14:paraId="3F68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C803B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50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C94E1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9.3954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2CAA6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0.4693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77763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10.7507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4492D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14.3269</w:t>
            </w:r>
          </w:p>
        </w:tc>
      </w:tr>
      <w:tr w14:paraId="10E3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0378B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75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33739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9.3556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487B9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0.4847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765AB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10.7547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89B40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14.3541</w:t>
            </w:r>
          </w:p>
        </w:tc>
      </w:tr>
      <w:tr w14:paraId="3D87A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F9A98B4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99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53F38F7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9.3187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6573C6B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0.4983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CEE5554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10.7601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EC37AE8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14.4494</w:t>
            </w:r>
          </w:p>
        </w:tc>
      </w:tr>
    </w:tbl>
    <w:p w14:paraId="7C88F793"/>
    <w:p w14:paraId="0E28E00D">
      <w:pPr>
        <w:bidi w:val="0"/>
      </w:pPr>
      <w:r>
        <w:t>（2）log 域色标对 IGM 大动态范围的压缩作用。表 1 显示均值略降而σ与 p99 缓升，说明物质由相对均匀分布转向分化：大部分体积仍处中低密区，但极少数体素密度持续抬升，在体渲染中即对应后期更亮、更细的filament网络。传递函数在 log 域映射可压缩 IGM 大动态范围，使低密度void与高密度脊线在同一色标下同时可见；若采用线性映射，filament 细节将被中低密背景淹没。下图（task1_hero_poster.png）进一步展示 t=99 代表帧、竖向色标与 Nyx 元数据条，便于读者建立尺度感。</w:t>
      </w:r>
    </w:p>
    <w:p w14:paraId="65DD3C35">
      <w:pPr>
        <w:jc w:val="center"/>
      </w:pPr>
      <w:r>
        <w:drawing>
          <wp:inline distT="0" distB="0" distL="114300" distR="114300">
            <wp:extent cx="3483610" cy="220027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3864" cy="220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9C97">
      <w:pPr>
        <w:pStyle w:val="179"/>
        <w:bidi w:val="0"/>
      </w:pPr>
      <w:r>
        <w:t>图7 t=99 体渲染首屏海报：元数据徽章 + 主视角卡片 + 竖向 log10 色标</w:t>
      </w:r>
    </w:p>
    <w:p w14:paraId="2ECDF1F9">
      <w:pPr>
        <w:pStyle w:val="3"/>
        <w:bidi w:val="0"/>
      </w:pPr>
      <w:r>
        <w:t>2、宇宙密度演化规律归纳</w:t>
      </w:r>
    </w:p>
    <w:p w14:paraId="2CFBDE3E">
      <w:pPr>
        <w:pStyle w:val="4"/>
        <w:bidi w:val="0"/>
      </w:pPr>
      <w:r>
        <w:t>2.1 视图简介</w:t>
      </w:r>
    </w:p>
    <w:p w14:paraId="44B691BB">
      <w:pPr>
        <w:bidi w:val="0"/>
      </w:pPr>
      <w:r>
        <w:t>本题结合百步全域统计曲线、代表步直方图叠加与体渲染对照。数据来自 Nyx 宇宙学流体模拟：基于 AMReX 自适应网格的引力流体计算，128³ 子体积记录星系际介质（IGM）重子气体密度，而非暗物质。100 个时间步对应引力不稳定下，由近乎均匀的微涨落向 void—filament—node 拓扑分化的典型过程。precompute.py 除 mean、σ、分位数、偏度与尾区占比外，另算Moran's I、两点相关 ξ(r)、分形维数 D、超额峰度与多尺度熵代理（8×8 粗粒化 Shannon 熵），写入 timeline.json；generate_figures.py 绘制基础四联图（task2_evolution_story.png）与空间统计图（task2_spatial_metrics.png）。数据范围说明：完整 Nyx 模拟含暗物质 N 体 + 气体两套场；赛题包仅提供128³ 重子气体密度 .dat，本作品因此聚焦气体ρ的可视分析（暗物质对比见§5.6）。</w:t>
      </w:r>
    </w:p>
    <w:p w14:paraId="12D51DBF">
      <w:pPr>
        <w:pStyle w:val="4"/>
        <w:bidi w:val="0"/>
      </w:pPr>
      <w:r>
        <w:t>2.2 案例分析</w:t>
      </w:r>
    </w:p>
    <w:p w14:paraId="66A1B05B">
      <w:pPr>
        <w:bidi w:val="0"/>
      </w:pPr>
      <w:r>
        <w:t>（1）团块化：σ 与分位跨度走阔，并由空间统计印证。基础四联图中 σ(t) 由 0.4318 升至 0.4983（+15.4%）；p99−p01 由 2.098 增至 2.414（+15.1%）。仅凭 σ 上升不足以证明空间成团，故列出Moran's I供参考：0.9276→0.9361（Δ=+0.0085）；t=0 已处于高自相关（宇宙学初条件），该增量小于 bootstrap 噪声（见下），不作团块化方向证据。XY 投影ξ(r=1)0.855→0.871（Δ=+0.016），ξ(r=10)0.184→0.166，大尺度投影相关衰减与小尺度对比增强可并存。ξ 未做宇宙学模拟集合显著性检验；下文以64³ 子块 Monte Carlo给出 ±1σ 误差带（图 task2_two_point_xi.png），用于判断 r=1 处微小差异是否落在子窗口采样波动内。主证仍为 σ↑、分位跨度↑、直方图右尾抬高与刷选空间形态。分形维数 D（P90 亮脊盒计数）1.996→1.992 近乎不变：团块化主要体现在密度对比度而非填充维数突变。更直接的拓扑度量（Betti 数、持续同调barcode）未纳入赛题范围，列为局限。下图（task2_spatial_metrics.png、task2_two_point_xi.png）供对照。</w:t>
      </w:r>
    </w:p>
    <w:p w14:paraId="3F12DBFE">
      <w:pPr>
        <w:pStyle w:val="178"/>
        <w:bidi w:val="0"/>
      </w:pPr>
      <w:r>
        <w:t>表6 空间统计 bootstrap 方法（可复现，见 validation_extended.json→bootstrapSpatial.method）</w:t>
      </w:r>
    </w:p>
    <w:tbl>
      <w:tblPr>
        <w:tblStyle w:val="4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6"/>
        <w:gridCol w:w="4454"/>
      </w:tblGrid>
      <w:tr w14:paraId="51B7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7CD81D4">
            <w:pPr>
              <w:pStyle w:val="182"/>
              <w:bidi w:val="0"/>
              <w:spacing w:after="0"/>
            </w:pPr>
            <w:r>
              <w:t>项目</w:t>
            </w:r>
          </w:p>
        </w:tc>
        <w:tc>
          <w:tcPr>
            <w:tcW w:w="25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796407">
            <w:pPr>
              <w:pStyle w:val="182"/>
              <w:bidi w:val="0"/>
              <w:spacing w:after="0"/>
            </w:pPr>
            <w:r>
              <w:t>设定</w:t>
            </w:r>
          </w:p>
        </w:tc>
      </w:tr>
      <w:tr w14:paraId="333A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1EE4C0">
            <w:pPr>
              <w:pStyle w:val="182"/>
              <w:bidi w:val="0"/>
              <w:spacing w:after="0"/>
            </w:pPr>
            <w:r>
              <w:t>方法</w:t>
            </w:r>
          </w:p>
        </w:tc>
        <w:tc>
          <w:tcPr>
            <w:tcW w:w="25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A0CA4D">
            <w:pPr>
              <w:pStyle w:val="182"/>
              <w:bidi w:val="0"/>
              <w:spacing w:after="0"/>
            </w:pPr>
            <w:r>
              <w:t>spatial_block_monte_carlo</w:t>
            </w:r>
          </w:p>
        </w:tc>
      </w:tr>
      <w:tr w14:paraId="3C25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A40049">
            <w:pPr>
              <w:pStyle w:val="182"/>
              <w:bidi w:val="0"/>
              <w:spacing w:after="0"/>
            </w:pPr>
            <w:r>
              <w:t>子窗口形状</w:t>
            </w:r>
          </w:p>
        </w:tc>
        <w:tc>
          <w:tcPr>
            <w:tcW w:w="25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8ADBB">
            <w:pPr>
              <w:pStyle w:val="182"/>
              <w:bidi w:val="0"/>
              <w:spacing w:after="0"/>
            </w:pPr>
            <w:r>
              <w:t>64³（128³ 边长 50%）</w:t>
            </w:r>
          </w:p>
        </w:tc>
      </w:tr>
      <w:tr w14:paraId="5B3F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0D2E7E">
            <w:pPr>
              <w:pStyle w:val="182"/>
              <w:bidi w:val="0"/>
              <w:spacing w:after="0"/>
            </w:pPr>
            <w:r>
              <w:t>重采样次数 n</w:t>
            </w:r>
          </w:p>
        </w:tc>
        <w:tc>
          <w:tcPr>
            <w:tcW w:w="25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610B60">
            <w:pPr>
              <w:pStyle w:val="182"/>
              <w:bidi w:val="0"/>
              <w:spacing w:after="0"/>
            </w:pPr>
            <w:r>
              <w:t>40</w:t>
            </w:r>
          </w:p>
        </w:tc>
      </w:tr>
      <w:tr w14:paraId="001E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06549">
            <w:pPr>
              <w:pStyle w:val="182"/>
              <w:bidi w:val="0"/>
              <w:spacing w:after="0"/>
            </w:pPr>
            <w:r>
              <w:t>随机种子</w:t>
            </w:r>
          </w:p>
        </w:tc>
        <w:tc>
          <w:tcPr>
            <w:tcW w:w="25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9F7963">
            <w:pPr>
              <w:pStyle w:val="182"/>
              <w:bidi w:val="0"/>
              <w:spacing w:after="0"/>
            </w:pPr>
            <w:r>
              <w:t>42</w:t>
            </w:r>
          </w:p>
        </w:tc>
      </w:tr>
      <w:tr w14:paraId="40E6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FA0F94">
            <w:pPr>
              <w:pStyle w:val="182"/>
              <w:bidi w:val="0"/>
              <w:spacing w:after="0"/>
            </w:pPr>
            <w:r>
              <w:t>重采样类型</w:t>
            </w:r>
          </w:p>
        </w:tc>
        <w:tc>
          <w:tcPr>
            <w:tcW w:w="25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67EE5D">
            <w:pPr>
              <w:pStyle w:val="182"/>
              <w:bidi w:val="0"/>
              <w:spacing w:after="0"/>
            </w:pPr>
            <w:r>
              <w:t>空间块 bootstrap：各 replicate **独立随机平移** 64³ 子窗口原点（非像素级 bootstrap）</w:t>
            </w:r>
          </w:p>
        </w:tc>
      </w:tr>
      <w:tr w14:paraId="4FB9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82DF22">
            <w:pPr>
              <w:pStyle w:val="182"/>
              <w:bidi w:val="0"/>
              <w:spacing w:after="0"/>
            </w:pPr>
            <w:r>
              <w:t>Moran's I</w:t>
            </w:r>
          </w:p>
        </w:tc>
        <w:tc>
          <w:tcPr>
            <w:tcW w:w="25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E67C2">
            <w:pPr>
              <w:pStyle w:val="182"/>
              <w:bidi w:val="0"/>
              <w:spacing w:after="0"/>
            </w:pPr>
            <w:r>
              <w:t>6 邻域 3D，在子体积内部计算</w:t>
            </w:r>
          </w:p>
        </w:tc>
      </w:tr>
      <w:tr w14:paraId="62057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2FC896">
            <w:pPr>
              <w:pStyle w:val="182"/>
              <w:bidi w:val="0"/>
              <w:spacing w:after="0"/>
            </w:pPr>
            <w:r>
              <w:t>ξ(r)</w:t>
            </w:r>
          </w:p>
        </w:tc>
        <w:tc>
          <w:tcPr>
            <w:tcW w:w="25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3D192">
            <w:pPr>
              <w:pStyle w:val="182"/>
              <w:bidi w:val="0"/>
              <w:spacing w:after="0"/>
            </w:pPr>
            <w:r>
              <w:t>各子体积 XY 最大密度投影 → radial_two_point_profile</w:t>
            </w:r>
          </w:p>
        </w:tc>
      </w:tr>
      <w:tr w14:paraId="61B4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2BAE39">
            <w:pPr>
              <w:pStyle w:val="182"/>
              <w:bidi w:val="0"/>
              <w:spacing w:after="0"/>
            </w:pPr>
            <w:r>
              <w:t>多重检验校正</w:t>
            </w:r>
          </w:p>
        </w:tc>
        <w:tc>
          <w:tcPr>
            <w:tcW w:w="25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0180B7">
            <w:pPr>
              <w:pStyle w:val="182"/>
              <w:bidi w:val="0"/>
              <w:spacing w:after="0"/>
            </w:pPr>
            <w:r>
              <w:t>无 — 仅 t=0 vs t=99 单次对比，不作显著性主张</w:t>
            </w:r>
          </w:p>
        </w:tc>
      </w:tr>
      <w:tr w14:paraId="060A4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726217">
            <w:pPr>
              <w:pStyle w:val="182"/>
              <w:bidi w:val="0"/>
              <w:spacing w:after="0"/>
            </w:pPr>
            <w:r>
              <w:t>复现入口</w:t>
            </w:r>
          </w:p>
        </w:tc>
        <w:tc>
          <w:tcPr>
            <w:tcW w:w="25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FC05E4">
            <w:pPr>
              <w:pStyle w:val="182"/>
              <w:bidi w:val="0"/>
              <w:spacing w:after="0"/>
            </w:pPr>
            <w:r>
              <w:t>tools/python/validation_suite.py :: bootstrap_spatial_ci</w:t>
            </w:r>
          </w:p>
        </w:tc>
      </w:tr>
    </w:tbl>
    <w:p w14:paraId="7E731D2A"/>
    <w:p w14:paraId="163EFE21">
      <w:pPr>
        <w:bidi w:val="0"/>
      </w:pPr>
      <w:r>
        <w:t>Moran's I：t=0 / t=99 子窗口 bootstrap 标准差约±0.0103/±0.0098；全域 ΔI=+0.0085，合并噪声2σ≈0.0283——未达到2σ，故Moran's I 仅列值，不解读为团块化方向证据。ξ(r=1)：全域 0.855→0.871（Δ=+0.016），子块 bootstrap 合并 σ≈0.035，2σ≈0.069——未达到2σ；图 task2_two_point_xi.png 中金色阴影为各 r 处±1σ子块波动带。上述检验均为描述性对照，非宇宙学 N-body 集合推断。</w:t>
      </w:r>
    </w:p>
    <w:p w14:paraId="074B2688">
      <w:pPr>
        <w:ind w:left="0" w:leftChars="0" w:firstLine="0" w:firstLineChars="0"/>
        <w:jc w:val="both"/>
      </w:pPr>
      <w:r>
        <w:drawing>
          <wp:inline distT="0" distB="0" distL="114300" distR="114300">
            <wp:extent cx="5436870" cy="2858135"/>
            <wp:effectExtent l="0" t="0" r="1143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8A99">
      <w:pPr>
        <w:pStyle w:val="179"/>
        <w:bidi w:val="0"/>
      </w:pPr>
      <w:r>
        <w:t>图8 Moran's I 与 ξ(r=1) 的 64³ 子块 Monte Carlo 均值±1σ（n=40，seed=42）</w:t>
      </w:r>
    </w:p>
    <w:p w14:paraId="6E72620D">
      <w:pPr>
        <w:ind w:left="0" w:leftChars="0" w:firstLine="0" w:firstLineChars="0"/>
        <w:jc w:val="both"/>
      </w:pPr>
      <w:r>
        <w:drawing>
          <wp:inline distT="0" distB="0" distL="114300" distR="114300">
            <wp:extent cx="5579745" cy="1993265"/>
            <wp:effectExtent l="0" t="0" r="825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004E">
      <w:pPr>
        <w:pStyle w:val="179"/>
        <w:bidi w:val="0"/>
      </w:pPr>
      <w:r>
        <w:t>图9 空间与高阶统计四联：Moran's I、ξ 半长、分形维数 D、超额峰度（2×2）</w:t>
      </w:r>
    </w:p>
    <w:p w14:paraId="1CC06D22">
      <w:pPr>
        <w:ind w:left="0" w:leftChars="0" w:firstLine="0" w:firstLineChars="0"/>
        <w:jc w:val="both"/>
      </w:pPr>
      <w:r>
        <w:drawing>
          <wp:inline distT="0" distB="0" distL="114300" distR="114300">
            <wp:extent cx="5579745" cy="2147570"/>
            <wp:effectExtent l="0" t="0" r="825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CB91">
      <w:pPr>
        <w:pStyle w:val="179"/>
        <w:bidi w:val="0"/>
      </w:pPr>
      <w:r>
        <w:t>图10 XY 最大密度投影 ξ(r)：实线为全域曲线，金色阴影为 64³ 子块 Monte Carlo ±1σ（虚线 ξ=0.5）</w:t>
      </w:r>
    </w:p>
    <w:p w14:paraId="55431BE6">
      <w:pPr>
        <w:bidi w:val="0"/>
      </w:pPr>
      <w:r>
        <w:t>（2）偏度几乎不变，不等于“右尾未增厚”——需用更敏感指标。偏度仅由 0.7162 变为 0.7183（+0.30%），三阶矩对整体尺度变化不敏感：σ 扩大、p50 略移时，偏度可近乎持平。右尾增厚的更可靠证据来自：①p99、p999 抬升（p999 比×1.01）；②p99 由 10.7255 升至 10.7601（+0.32%），p999 比×1.009；③≥p99体积占比恒约 1%（分位定义）；质量占比 t=0→99 为 1.16%→1.19%（+0.03 pp，变化极小，不宜作为主证——右尾增厚应看p99/p999 分位值与直方图右尾抬高）。超额峰度由 1.629 变为 1.445（-0.185），亦未显著抬升——故「右尾增厚」主证为分位数尾翼 + 直方图右尾抬高 + 质量加权，而非偏度/峰度曲线；四联图中的偏度子图仅说明分布保持右偏形态，不宜过度解读其斜率。峰度下降机制：超额峰度 κ−3 = E[(x−μ)⁴]/σ⁴ − 3，分母含σ⁴。本数据σ由 0.4318 升至 0.4983（+15.4%），主体（IGM 巨体积）方差增大会压低标准化四阶矩，即使 p99/p999 抬升。故峰度下降更可能反映全域离散度扩大，而非右尾消失；右尾请用分位数与直方图判定，不宜用峰度反证。</w:t>
      </w:r>
    </w:p>
    <w:p w14:paraId="1286C3C0">
      <w:pPr>
        <w:ind w:left="0" w:leftChars="0" w:firstLine="0" w:firstLineChars="0"/>
        <w:jc w:val="both"/>
      </w:pPr>
      <w:r>
        <w:drawing>
          <wp:inline distT="0" distB="0" distL="114300" distR="114300">
            <wp:extent cx="5426075" cy="1939290"/>
            <wp:effectExtent l="0" t="0" r="952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10FC">
      <w:pPr>
        <w:pStyle w:val="179"/>
        <w:bidi w:val="0"/>
      </w:pPr>
      <w:r>
        <w:t>图11 100 步全域统计四联图：分位跨度、σ、≥p99 体积占比、偏度（2×2 拼接）</w:t>
      </w:r>
    </w:p>
    <w:p w14:paraId="1BDF40F7">
      <w:pPr>
        <w:bidi w:val="0"/>
      </w:pPr>
      <w:r>
        <w:t>（3）少数致密体素承载可见宇宙网结构。「≥p99 体积占比」曲线稳定在约1.00%量级，即仅约1%体素处于极高密度尾，却在体渲染中对应全部可见亮脊与节点。进一步查看代表步直方图叠加（task3_hist_overlay.png）：纵轴为Probability mass×100（非 ρ 分位数）；横轴 ρ 与表「直方图演化要点」中 p01/p50/p99同单位。t=0/25/50/75/99 五步曲线显示主峰略移、右尾持续抬升，低密度void与高密度 peak 两极并存——这正是赛题所描述的「密度分布两极化」。绝大部分体积仍为稀疏 IGM，视觉上的filament网络由极少数高密度体素承载，尾区p99/p999 分位抬升支撑右尾增厚；Moran's I 见 §2.2（不作方向证据）。</w:t>
      </w:r>
    </w:p>
    <w:p w14:paraId="0C6C3B1C">
      <w:pPr>
        <w:ind w:left="0" w:leftChars="0" w:firstLine="0" w:firstLineChars="0"/>
        <w:jc w:val="both"/>
      </w:pPr>
      <w:r>
        <w:drawing>
          <wp:inline distT="0" distB="0" distL="114300" distR="114300">
            <wp:extent cx="5399405" cy="3223895"/>
            <wp:effectExtent l="0" t="0" r="1079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492B">
      <w:pPr>
        <w:pStyle w:val="179"/>
        <w:bidi w:val="0"/>
      </w:pPr>
      <w:r>
        <w:t>图12 五步 log 直方图叠加：纵轴 Probability mass×100；横轴 ρ（与表「直方图演化要点」同单位）</w:t>
      </w:r>
    </w:p>
    <w:p w14:paraId="0C2BF78E">
      <w:pPr>
        <w:pStyle w:val="178"/>
        <w:bidi w:val="0"/>
      </w:pPr>
      <w:r>
        <w:t>表7 t=0 与 t=99 演化指标对比</w:t>
      </w:r>
    </w:p>
    <w:tbl>
      <w:tblPr>
        <w:tblStyle w:val="4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5"/>
        <w:gridCol w:w="2215"/>
      </w:tblGrid>
      <w:tr w14:paraId="7D75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7D725B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指标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D9D8F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t=0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41824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t=99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C9FA7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变化</w:t>
            </w:r>
          </w:p>
        </w:tc>
      </w:tr>
      <w:tr w14:paraId="6AF5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5771F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标准差 σ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F91C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0.4318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D60CE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0.4983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5448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+15.4%</w:t>
            </w:r>
          </w:p>
        </w:tc>
      </w:tr>
      <w:tr w14:paraId="57D1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AE67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分位跨度 p99−p01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F470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2.098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AE4D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2.414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93385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+15.1%</w:t>
            </w:r>
          </w:p>
        </w:tc>
      </w:tr>
      <w:tr w14:paraId="77E8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63ABB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偏度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D93B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0.7162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744D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0.7183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01DB9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+0.30%（形态右偏，非尾翼主证）</w:t>
            </w:r>
          </w:p>
        </w:tc>
      </w:tr>
      <w:tr w14:paraId="05DDD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F5F5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超额峰度 κ−3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AB141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1.629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8BDE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1.445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90F6C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-0.185（非主证）</w:t>
            </w:r>
          </w:p>
        </w:tc>
      </w:tr>
      <w:tr w14:paraId="1855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B6227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Moran's 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2FEB2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0.9276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47553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0.9361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EDA2C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Δ=+0.0085（&lt;2σ bootstrap，仅列值）</w:t>
            </w:r>
          </w:p>
        </w:tc>
      </w:tr>
      <w:tr w14:paraId="20A1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B27E3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ξ(r=1)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427E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0.855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6A7B4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0.871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A6B39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+0.016（2σ≈0.069，&lt;2σ，描述性）</w:t>
            </w:r>
          </w:p>
        </w:tc>
      </w:tr>
      <w:tr w14:paraId="0611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33FDF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ξ(r=10)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F2B3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0.184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442FE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0.166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F58DB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-0.018</w:t>
            </w:r>
          </w:p>
        </w:tc>
      </w:tr>
      <w:tr w14:paraId="74951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C1A6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分形维数 D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4BDA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1.996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5EDE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1.992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E255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≈稳定</w:t>
            </w:r>
          </w:p>
        </w:tc>
      </w:tr>
      <w:tr w14:paraId="2017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A069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≥p99 质量占比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EE87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1.16%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BD478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1.19%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6452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+0.03 pp（≈持平，非主证）</w:t>
            </w:r>
          </w:p>
        </w:tc>
      </w:tr>
      <w:tr w14:paraId="2AE6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4C6B4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≥p99 体积占比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388F17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1.00%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3B318D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1.00%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43371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约 1% 量级</w:t>
            </w:r>
          </w:p>
        </w:tc>
      </w:tr>
    </w:tbl>
    <w:p w14:paraId="36E12E6D"/>
    <w:p w14:paraId="22123F50">
      <w:pPr>
        <w:pStyle w:val="4"/>
        <w:bidi w:val="0"/>
      </w:pPr>
      <w:r>
        <w:t>2.3 可视化在宇宙学数据分析中的应用价值</w:t>
      </w:r>
    </w:p>
    <w:p w14:paraId="398EA465">
      <w:pPr>
        <w:bidi w:val="0"/>
      </w:pPr>
      <w:r>
        <w:t>任务二除归纳σ↑、分位跨度↑、void 扩张与右尾增厚等演化规律外，还要求阐释可视化在宇宙学分析中的应用价值。本作品的立场是：可视化不仅是「配图」，而是把 IGM 演化从不可检验的体渲染印象转化为可量化、可联动、可复现的科学命题的媒介——下列案例均来自本仓库交互链路的真实走查，而非事后附会。</w:t>
      </w:r>
    </w:p>
    <w:p w14:paraId="1E9EA7AC">
      <w:pPr>
        <w:pStyle w:val="178"/>
        <w:bidi w:val="0"/>
      </w:pPr>
      <w:r>
        <w:t>表8 可视化驱动发现：设计—局限—本作品所得（任务二应用价值）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2067"/>
        <w:gridCol w:w="2006"/>
        <w:gridCol w:w="2777"/>
      </w:tblGrid>
      <w:tr w14:paraId="6986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31802DC">
            <w:pPr>
              <w:pStyle w:val="182"/>
              <w:bidi w:val="0"/>
              <w:spacing w:after="0"/>
            </w:pPr>
            <w:r>
              <w:t>可视化设计</w:t>
            </w:r>
          </w:p>
        </w:tc>
        <w:tc>
          <w:tcPr>
            <w:tcW w:w="117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256508">
            <w:pPr>
              <w:pStyle w:val="182"/>
              <w:bidi w:val="0"/>
              <w:spacing w:after="0"/>
            </w:pPr>
            <w:r>
              <w:t>对应科学问题</w:t>
            </w:r>
          </w:p>
        </w:tc>
        <w:tc>
          <w:tcPr>
            <w:tcW w:w="113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D88D4B">
            <w:pPr>
              <w:pStyle w:val="182"/>
              <w:bidi w:val="0"/>
              <w:spacing w:after="0"/>
            </w:pPr>
            <w:r>
              <w:t>若仅静态图/离线图</w:t>
            </w:r>
          </w:p>
        </w:tc>
        <w:tc>
          <w:tcPr>
            <w:tcW w:w="15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E39BD0">
            <w:pPr>
              <w:pStyle w:val="182"/>
              <w:bidi w:val="0"/>
              <w:spacing w:after="0"/>
            </w:pPr>
            <w:r>
              <w:t>交互联动带来的发现</w:t>
            </w:r>
          </w:p>
        </w:tc>
      </w:tr>
      <w:tr w14:paraId="7613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C42328">
            <w:pPr>
              <w:pStyle w:val="182"/>
              <w:bidi w:val="0"/>
              <w:spacing w:after="0"/>
            </w:pPr>
            <w:r>
              <w:t>100 步 σ / p99−p01 时序</w:t>
            </w:r>
          </w:p>
        </w:tc>
        <w:tc>
          <w:tcPr>
            <w:tcW w:w="117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D19F6">
            <w:pPr>
              <w:pStyle w:val="182"/>
              <w:bidi w:val="0"/>
              <w:spacing w:after="0"/>
            </w:pPr>
            <w:r>
              <w:t>团块化是否贯穿全时域？</w:t>
            </w:r>
          </w:p>
        </w:tc>
        <w:tc>
          <w:tcPr>
            <w:tcW w:w="113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F2D67B">
            <w:pPr>
              <w:pStyle w:val="182"/>
              <w:bidi w:val="0"/>
              <w:spacing w:after="0"/>
            </w:pPr>
            <w:r>
              <w:t>五帧条带易「挑帧」讲故事</w:t>
            </w:r>
          </w:p>
        </w:tc>
        <w:tc>
          <w:tcPr>
            <w:tcW w:w="154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DD9EEF">
            <w:pPr>
              <w:pStyle w:val="182"/>
              <w:bidi w:val="0"/>
              <w:spacing w:after="0"/>
            </w:pPr>
            <w:r>
              <w:t>σ **+15.4%**、跨度 **+15.1%** 为全时域曲线，非单帧偶然</w:t>
            </w:r>
          </w:p>
        </w:tc>
      </w:tr>
      <w:tr w14:paraId="6788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FD536">
            <w:pPr>
              <w:pStyle w:val="182"/>
              <w:bidi w:val="0"/>
              <w:spacing w:after="0"/>
            </w:pPr>
            <w:r>
              <w:t>log 直方图 ↔ Top 1% 刷选</w:t>
            </w:r>
          </w:p>
        </w:tc>
        <w:tc>
          <w:tcPr>
            <w:tcW w:w="11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2ABF88">
            <w:pPr>
              <w:pStyle w:val="182"/>
              <w:bidi w:val="0"/>
              <w:spacing w:after="0"/>
            </w:pPr>
            <w:r>
              <w:t>右尾 1% 体素在空间上是什么？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DECC0C">
            <w:pPr>
              <w:pStyle w:val="182"/>
              <w:bidi w:val="0"/>
              <w:spacing w:after="0"/>
            </w:pPr>
            <w:r>
              <w:t>直方图只见分布，不见 filament 几何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43535">
            <w:pPr>
              <w:pStyle w:val="182"/>
              <w:bidi w:val="0"/>
              <w:spacing w:after="0"/>
            </w:pPr>
            <w:r>
              <w:t>刷选 **20,972** 体素（≈1.00% 体积）在体渲染/投影呈**丝状/节点**聚集</w:t>
            </w:r>
          </w:p>
        </w:tc>
      </w:tr>
      <w:tr w14:paraId="4E5F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1AAC7">
            <w:pPr>
              <w:pStyle w:val="182"/>
              <w:bidi w:val="0"/>
              <w:spacing w:after="0"/>
            </w:pPr>
            <w:r>
              <w:t>纤维带 90–99% 预设</w:t>
            </w:r>
          </w:p>
        </w:tc>
        <w:tc>
          <w:tcPr>
            <w:tcW w:w="11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7FAFEE">
            <w:pPr>
              <w:pStyle w:val="182"/>
              <w:bidi w:val="0"/>
              <w:spacing w:after="0"/>
            </w:pPr>
            <w:r>
              <w:t>形态过渡区与极端尾区是否同一集合？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01952">
            <w:pPr>
              <w:pStyle w:val="182"/>
              <w:bidi w:val="0"/>
              <w:spacing w:after="0"/>
            </w:pPr>
            <w:r>
              <w:t>单阈值截图无法对比体积—形态差异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7F358">
            <w:pPr>
              <w:pStyle w:val="182"/>
              <w:bidi w:val="0"/>
              <w:spacing w:after="0"/>
            </w:pPr>
            <w:r>
              <w:t>ρ∈[9.96,10.76] 占 **9.0%** 体积，宽于 Top 1%，对应 **filament 过渡带**</w:t>
            </w:r>
          </w:p>
        </w:tc>
      </w:tr>
      <w:tr w14:paraId="0918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40A2D">
            <w:pPr>
              <w:pStyle w:val="182"/>
              <w:bidi w:val="0"/>
              <w:spacing w:after="0"/>
            </w:pPr>
            <w:r>
              <w:t>空间→统计（P88 亮脊反查）</w:t>
            </w:r>
          </w:p>
        </w:tc>
        <w:tc>
          <w:tcPr>
            <w:tcW w:w="11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F09CF">
            <w:pPr>
              <w:pStyle w:val="182"/>
              <w:bidi w:val="0"/>
              <w:spacing w:after="0"/>
            </w:pPr>
            <w:r>
              <w:t>filament 在密度轴上落在哪？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226899">
            <w:pPr>
              <w:pStyle w:val="182"/>
              <w:bidi w:val="0"/>
              <w:spacing w:after="0"/>
            </w:pPr>
            <w:r>
              <w:t>投影图与直方图分属两页，难建立对应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7A057">
            <w:pPr>
              <w:pStyle w:val="182"/>
              <w:bidi w:val="0"/>
              <w:spacing w:after="0"/>
            </w:pPr>
            <w:r>
              <w:t>亮脊反查 ρ∈[11.23,12.16]；与 Top 1% 对照得误报率 **72.4%**</w:t>
            </w:r>
          </w:p>
        </w:tc>
      </w:tr>
      <w:tr w14:paraId="13C38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1B6E56">
            <w:pPr>
              <w:pStyle w:val="182"/>
              <w:bidi w:val="0"/>
              <w:spacing w:after="0"/>
            </w:pPr>
            <w:r>
              <w:t>void 固定 t=0 阈值追踪</w:t>
            </w:r>
          </w:p>
        </w:tc>
        <w:tc>
          <w:tcPr>
            <w:tcW w:w="117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98D52D">
            <w:pPr>
              <w:pStyle w:val="182"/>
              <w:bidi w:val="0"/>
              <w:spacing w:after="0"/>
            </w:pPr>
            <w:r>
              <w:t>空洞扩张能否跨步量化？</w:t>
            </w:r>
          </w:p>
        </w:tc>
        <w:tc>
          <w:tcPr>
            <w:tcW w:w="113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F3DBF5">
            <w:pPr>
              <w:pStyle w:val="182"/>
              <w:bidi w:val="0"/>
              <w:spacing w:after="0"/>
            </w:pPr>
            <w:r>
              <w:t>单步直方图看不出低密度尾扩张</w:t>
            </w:r>
          </w:p>
        </w:tc>
        <w:tc>
          <w:tcPr>
            <w:tcW w:w="15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66C0093">
            <w:pPr>
              <w:pStyle w:val="182"/>
              <w:bidi w:val="0"/>
              <w:spacing w:after="0"/>
            </w:pPr>
            <w:r>
              <w:t>ρ≤ρ_p10(t=0) 体积 **10.0%→24.7%**（task3_void_evolution）</w:t>
            </w:r>
          </w:p>
        </w:tc>
      </w:tr>
    </w:tbl>
    <w:p w14:paraId="29FF87E7"/>
    <w:p w14:paraId="157B1207">
      <w:pPr>
        <w:bidi w:val="0"/>
      </w:pPr>
      <w:r>
        <w:t>案例 1｜时序统计对抗「挑帧叙事」。体渲染条带（§1.3）适合建立 void—filament—node 的形态直觉，但若只展示 t=0/99 两帧，无法证明「团块化」是 100 步单调趋势。task2_evolution_story.png 将σ(t)与p99−p01(t)并列，使「涨落扩大 + 两极分化」成为可引用的曲线证据——这正是可视化作为时间维度压缩器的价值：把四维时空场转为可扫视的一维轨迹。</w:t>
      </w:r>
    </w:p>
    <w:p w14:paraId="46EFB2C5">
      <w:pPr>
        <w:bidi w:val="0"/>
      </w:pPr>
      <w:r>
        <w:t>案例 2｜刷选验证：从「右尾数字」到「宇宙网几何」。直方图 alone 只能告诉我们 ≥p99 约占1.00%体积、却承载约1.2%质量——数字与形态之间缺一座桥。在 /app.html 点击Top 1%后，三栏同步：左直方图标黄区间、中体渲染高亮丝状结构、右 XY 投影出现金色聚集斑。task4_brush_triptych.png 将这一同一刷选状态冻结为静态证据；但三联图的科学意义恰恰来自交互先行——若无刷选，审稿人需手动对照 ρ 阈值与体渲染，很难在 128³ 密度场内建立「1% 尾区 = 可见 filament 载体」的置信联系。离线验证（brush_validation.json）进一步量化：以 P88 亮脊代理（5,796体素）对照 Top 1%，代理召回率 100%（全落在刷选内），而刷选内72.4%为形态外的高密尾——该「密度分位 ⊃ 丝状脊线」关系由刷选实验揭示，非体渲染截图可直接读出。</w:t>
      </w:r>
    </w:p>
    <w:p w14:paraId="44A6C6DA">
      <w:pPr>
        <w:ind w:left="0" w:leftChars="0" w:firstLine="0" w:firstLineChars="0"/>
        <w:jc w:val="both"/>
      </w:pPr>
      <w:r>
        <w:drawing>
          <wp:inline distT="0" distB="0" distL="114300" distR="114300">
            <wp:extent cx="5489575" cy="1663065"/>
            <wp:effectExtent l="0" t="0" r="952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CD4C">
      <w:pPr>
        <w:pStyle w:val="179"/>
        <w:bidi w:val="0"/>
      </w:pPr>
      <w:r>
        <w:t>图13 可视化驱动发现示例：Top 1% 刷选三联（统计区间→体渲染高亮→投影验证）</w:t>
      </w:r>
    </w:p>
    <w:p w14:paraId="75719669">
      <w:pPr>
        <w:bidi w:val="0"/>
      </w:pPr>
      <w:r>
        <w:t>案例 3｜双预设对比：纤维带 vs 极端尾。预设90–99% 纤维带（ρ∈[9.96,10.76]）覆盖9.0%体积、9.9%质量，显著宽于 Top 1%；切换预设即可在同一相机、同一色标下对比「过渡区 filament」与「极端节点核」的空间展布。静态 threshold 柱状图（task4_threshold_comparison.png）给出占比数字，但只有交互预设才能在数秒内完成「宽尾 vs 窄尾」的形态对照——这是宇宙学探索中常见的「操作定义敏感性」检验，可视化降低了试错成本。案例 4｜空间→统计反查。在投影上圈定filament亮脊（≥P88）后反查密度带 ρ∈[11.23,12.16]（task4_spatial_to_stats.png），完成赛题要求的「先在空间定位结构，再在统计轴上读位置」。该路径与 Top-down（分位→空间）刷选互为可逆，构成 NyxViz「统计—空间」闭环的核心——单靠任一方向的静态图都无法闭合这一环路。</w:t>
      </w:r>
    </w:p>
    <w:p w14:paraId="4EAC2D21">
      <w:pPr>
        <w:ind w:left="0" w:leftChars="0" w:firstLine="0" w:firstLineChars="0"/>
        <w:jc w:val="both"/>
      </w:pPr>
      <w:r>
        <w:drawing>
          <wp:inline distT="0" distB="0" distL="114300" distR="114300">
            <wp:extent cx="5579745" cy="2419985"/>
            <wp:effectExtent l="0" t="0" r="825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DE29">
      <w:pPr>
        <w:pStyle w:val="179"/>
        <w:bidi w:val="0"/>
      </w:pPr>
      <w:r>
        <w:t>图14 空间→统计反查：filament 亮脊→log 直方图密度带（可视化闭环的另一方向）</w:t>
      </w:r>
    </w:p>
    <w:p w14:paraId="0E6344BE">
      <w:pPr>
        <w:bidi w:val="0"/>
      </w:pPr>
      <w:r>
        <w:t>方法论归纳。上述案例共同说明：在128³×100 步的 IGM 子体积上，可视化技术的价值在于(i)把高维场压缩为可扫视的时序与分布；(ii)用联动刷选建立密度分位 ↔ 宇宙网形态的可检验映射；(iii)以同一 timeline.json 贯通在线探索、离线配图与 Word 报告，避免「图数两张皮」。对更大尺度 AMR 数据，上述交互范式可迁移至 yt/ParaView 批处理 + 子区域 Web 仪表盘；本作品在赛题约束下将其落地为可答辩、可复现的完整实例。</w:t>
      </w:r>
    </w:p>
    <w:p w14:paraId="198A9081">
      <w:pPr>
        <w:bidi w:val="0"/>
      </w:pPr>
      <w:r>
        <w:t>与主流工具的定位（补充）。yt/ParaView 擅长大规模 AMR 批处理与 HPC 体视；NyxViz 聚焦赛题子体积的浏览器端统计—刷选—投影联动与答辩交付。二者互补而非替代：全盒多层级分析应优先 yt/ParaView（见第 5.4 节）；本作品证明，在128³尺度上，轻量 Web 联动同样能驱动上述科学发现链。</w:t>
      </w:r>
    </w:p>
    <w:p w14:paraId="4D3A8DFE">
      <w:pPr>
        <w:pStyle w:val="178"/>
        <w:bidi w:val="0"/>
      </w:pPr>
      <w:r>
        <w:t>表9 NyxViz 与主流天文可视化工具的定位对比（补充）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4"/>
        <w:gridCol w:w="2954"/>
        <w:gridCol w:w="2954"/>
      </w:tblGrid>
      <w:tr w14:paraId="3C69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CF5A9F4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工具</w:t>
            </w:r>
          </w:p>
        </w:tc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FFD82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典型优势</w:t>
            </w:r>
          </w:p>
        </w:tc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AD8FD1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本作品关系</w:t>
            </w:r>
          </w:p>
        </w:tc>
      </w:tr>
      <w:tr w14:paraId="24276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BF178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yt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FE78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Python 生态、原生 AMR/Chombo 数据、投影/相位空间分析配方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FB22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互补：批处理与 AMR 层级；NyxViz 提供子体积浏览器端联动刷选</w:t>
            </w:r>
          </w:p>
        </w:tc>
      </w:tr>
      <w:tr w14:paraId="6C4B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E583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ParaView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6DB7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HPC 体绘制、等值面/流线、多数据集批处理与 AMR 过滤器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BAF84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互补：专家桌面探索；NyxViz 提供 Web 仪表盘 + 可复现配图管线</w:t>
            </w:r>
          </w:p>
        </w:tc>
      </w:tr>
      <w:tr w14:paraId="20A08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55687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NyxViz</w:t>
            </w:r>
          </w:p>
        </w:tc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E4538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vtk.js 体渲染 + D3 直方图 + Worker 刷选 + 统一 timeline.json</w:t>
            </w:r>
          </w:p>
        </w:tc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DA1CA8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128³×100 步「统计—空间」闭环与可视化驱动发现（见上表案例）</w:t>
            </w:r>
          </w:p>
        </w:tc>
      </w:tr>
    </w:tbl>
    <w:p w14:paraId="2A7BA2AE"/>
    <w:p w14:paraId="7BF2F74F">
      <w:pPr>
        <w:pStyle w:val="4"/>
        <w:bidi w:val="0"/>
      </w:pPr>
      <w:r>
        <w:t>2.4 进阶统计量说明</w:t>
      </w:r>
    </w:p>
    <w:p w14:paraId="51E81944">
      <w:pPr>
        <w:bidi w:val="0"/>
      </w:pPr>
      <w:r>
        <w:t>为回应「仅 σ/偏度过于基础」的批评，本作品在 timeline.json 中扩展以下指标（见 tools/python/spatial_stats.py）：Moran's I——6 邻域 3D 权重，衡量全局空间自相关，I↑ 表示相似密度体素空间聚集（团块化直接证据）；两点相关 ξ(r)——对 XY 最大密度投影做 Wiener–Khinchin 估计，ξ 半长增大表示相关结构在投影面上延展更远；盒计数分形维数 D——对 P90 阈值亮脊二值掩膜做 box-counting，D↑ 暗示丝状结构占据更多尺度层级；超额峰度 κ−3——四阶尾翼敏感量，弥补偏度对右尾不敏感的问题；多尺度熵（8×8 粗粒化）——块平均后的 Shannon 熵，作为多尺度复杂度的轻量代理（完整样本熵留作后续）。上述指标与体渲染、刷选验证共用同一 128³ 气体场，可在答辩中形成「全域矩→空间相关→形态维数」多层证据。</w:t>
      </w:r>
    </w:p>
    <w:p w14:paraId="722C19B8">
      <w:pPr>
        <w:pStyle w:val="3"/>
        <w:bidi w:val="0"/>
      </w:pPr>
      <w:r>
        <w:t>3、时序密度对数直方图统计</w:t>
      </w:r>
    </w:p>
    <w:p w14:paraId="0691476F">
      <w:pPr>
        <w:pStyle w:val="4"/>
        <w:bidi w:val="0"/>
      </w:pPr>
      <w:r>
        <w:t>3.1 视图简介</w:t>
      </w:r>
    </w:p>
    <w:p w14:paraId="71B835E2">
      <w:pPr>
        <w:bidi w:val="0"/>
      </w:pPr>
      <w:r>
        <w:t>本题以 100 步完整log 等距直方图序列为核心。默认128 bins，边界 [7.7533, 14.5231]（百步全域 min/max，所有时间步共用同一组边界以保证可比）。归一化（重要）：每时间步N = 2,097,152（单步体素总数），直方图满足 hist[b] = count_b / Σ count（概率质量），故每步纵轴积分和为 1；图上纵轴标注Probability mass ×100（= count/N×100），横轴 ρ与 p01/p50/p99 等同单位。不是百步 pooled 的 2.1×10⁸ 样本混合归一化。跨时间步对比的是分布形状，而非绝对计数。分箱中心为相邻边界几何均值；横轴为log10 等距的 ρ 边界，图上以 log 轴展示。另提供64/128/256 bin敏感度对比图（task3_bin_sensitivity.png）；128 bin 时平均每箱约16,384样本，曲线仍显锯齿主因是log 域宽动态范围 + 多峰结构，而非样本不足（详见§3.3）。除 p01/p50/p99 外，预计算void 追踪（固定 t=0 低密度阈值的体积分数）、p25–p75 带，写入 timeline.json 的 histogramMeta。</w:t>
      </w:r>
    </w:p>
    <w:p w14:paraId="7FA36810">
      <w:pPr>
        <w:pStyle w:val="4"/>
        <w:bidi w:val="0"/>
      </w:pPr>
      <w:r>
        <w:t>3.2 案例分析</w:t>
      </w:r>
    </w:p>
    <w:p w14:paraId="798DD32D">
      <w:pPr>
        <w:bidi w:val="0"/>
      </w:pPr>
      <w:r>
        <w:t>（1）分布中心漂移（p50）与右尾增厚。metrics 三联图中σ上升+15.4%，p99−p01 由 2.098 扩至 2.414。peak_drift 图纵轴为线性密度 ρ、log10 刻度，轨迹为逐步精确p50（非直方图 argmax）；金色阴影为p25–p75 四分位带（全样本分位数，非 bootstrap 误差——128³ 总体下分位估计稳定）。p50 由 9.4504 降至 9.2745，与 p99 缓升并存，体现「中心下移 + 右尾抬高」。</w:t>
      </w:r>
    </w:p>
    <w:p w14:paraId="46B6E620">
      <w:pPr>
        <w:ind w:left="0" w:leftChars="0" w:firstLine="0" w:firstLineChars="0"/>
        <w:jc w:val="both"/>
      </w:pPr>
      <w:r>
        <w:drawing>
          <wp:inline distT="0" distB="0" distL="114300" distR="114300">
            <wp:extent cx="5439410" cy="1729740"/>
            <wp:effectExtent l="0" t="0" r="889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E3F8">
      <w:pPr>
        <w:pStyle w:val="179"/>
        <w:bidi w:val="0"/>
      </w:pPr>
      <w:r>
        <w:t>图15 σ、偏度与 p99−p01 分位跨度时序（三联横向拼接）</w:t>
      </w:r>
    </w:p>
    <w:p w14:paraId="3D380533">
      <w:pPr>
        <w:ind w:left="0" w:leftChars="0" w:firstLine="0" w:firstLineChars="0"/>
        <w:jc w:val="both"/>
      </w:pPr>
      <w:r>
        <w:drawing>
          <wp:inline distT="0" distB="0" distL="114300" distR="114300">
            <wp:extent cx="5399405" cy="1857375"/>
            <wp:effectExtent l="0" t="0" r="1079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535A">
      <w:pPr>
        <w:pStyle w:val="179"/>
        <w:bidi w:val="0"/>
      </w:pPr>
      <w:r>
        <w:t>图16 p50 中位密度轨迹（log10 纵轴）+ p25–p75 四分位带；横轴为时间步</w:t>
      </w:r>
    </w:p>
    <w:p w14:paraId="026D4566">
      <w:pPr>
        <w:bidi w:val="0"/>
      </w:pPr>
      <w:r>
        <w:t>（2）低密度尾（void）定量追踪。仅报告 p01 分位不足以刻画 void扩张：本作品增加固定 t=0 阈值的体积分数——ρ ≤ ρ_p10(t=0) 的体素占比由10.00%升至24.69%；ρ ≤ ρ_p01(t=0) 由1.00%升至6.18%，表明更多体素落入早期低密度范畴（宇宙空洞扩张的统计签名）。同步追踪 p01(t)、p10(t) 曲线下移（t=99 时 p01=8.3458）。图见 task3_void_evolution.png。</w:t>
      </w:r>
    </w:p>
    <w:p w14:paraId="46957FF8">
      <w:pPr>
        <w:ind w:left="0" w:leftChars="0" w:firstLine="0" w:firstLineChars="0"/>
        <w:jc w:val="both"/>
      </w:pPr>
      <w:r>
        <w:drawing>
          <wp:inline distT="0" distB="0" distL="114300" distR="114300">
            <wp:extent cx="5579745" cy="1918335"/>
            <wp:effectExtent l="0" t="0" r="825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5CB6">
      <w:pPr>
        <w:pStyle w:val="179"/>
        <w:bidi w:val="0"/>
      </w:pPr>
      <w:r>
        <w:t>图17 void 扩张：固定 t=0 阈值体积分数（左）与 p01/p10 分位下移（右）</w:t>
      </w:r>
    </w:p>
    <w:p w14:paraId="2D209DB7">
      <w:pPr>
        <w:bidi w:val="0"/>
      </w:pPr>
      <w:r>
        <w:t>（3）与赛题描述的对照验证。赛题指出：早期密度集中于均值附近，后期出现空洞与峰值两极分化。本工作以完整 100 步直方图序列而非个别时刻证明该趋势。task3_story_panel.png 故事板将五步直方图叠加、σ/span 迷你趋势与 t=99 四 KPI 合于一张拼接图，便于在答辩或录屏中一图讲清「定量证据链」。结合任务一体渲染，可将统计上的右尾增厚与空间上的filament亮脊对应起来，形成从「数字」到「形态」的可检验闭环。</w:t>
      </w:r>
    </w:p>
    <w:p w14:paraId="70ACF0C7">
      <w:pPr>
        <w:ind w:left="0" w:leftChars="0" w:firstLine="0" w:firstLineChars="0"/>
        <w:jc w:val="both"/>
      </w:pPr>
      <w:r>
        <w:drawing>
          <wp:inline distT="0" distB="0" distL="114300" distR="114300">
            <wp:extent cx="5509895" cy="330200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1FED">
      <w:pPr>
        <w:pStyle w:val="179"/>
        <w:bidi w:val="0"/>
      </w:pPr>
      <w:r>
        <w:t>图18 第三节专图：直方图叠加 + σ/span 趋势 + t=99 KPI 条（拼接）</w:t>
      </w:r>
    </w:p>
    <w:p w14:paraId="400467CF">
      <w:pPr>
        <w:pStyle w:val="178"/>
        <w:bidi w:val="0"/>
      </w:pPr>
      <w:r>
        <w:t>表10 直方图演化要点（t=0→99）</w:t>
      </w:r>
    </w:p>
    <w:tbl>
      <w:tblPr>
        <w:tblStyle w:val="4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5"/>
        <w:gridCol w:w="2215"/>
      </w:tblGrid>
      <w:tr w14:paraId="015C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CC2CB2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量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C78C2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t=0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BC4BB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t=99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BC72F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含义</w:t>
            </w:r>
          </w:p>
        </w:tc>
      </w:tr>
      <w:tr w14:paraId="262E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85D5F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σ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B45E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0.4318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E8FF7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0.4983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823F0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团块化、涨落扩大</w:t>
            </w:r>
          </w:p>
        </w:tc>
      </w:tr>
      <w:tr w14:paraId="0483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80937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偏度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C22B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0.7162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3D63D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0.7183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E1A03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右偏形态（+0.30%）</w:t>
            </w:r>
          </w:p>
        </w:tc>
      </w:tr>
      <w:tr w14:paraId="5D03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B2F3F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p999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19359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11.4782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185B61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11.5855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1A68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比值 ×1.009</w:t>
            </w:r>
          </w:p>
        </w:tc>
      </w:tr>
      <w:tr w14:paraId="37A9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9F6F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p50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095F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9.4504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8F59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9.2745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F1C44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主峰略移</w:t>
            </w:r>
          </w:p>
        </w:tc>
      </w:tr>
      <w:tr w14:paraId="342F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654074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p99−p01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DB36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2.098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E396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2.414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52B74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两极分化</w:t>
            </w:r>
          </w:p>
        </w:tc>
      </w:tr>
      <w:tr w14:paraId="718A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1FB4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void 体积 (ρ≤ρ_p10(t=0))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4F1D2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10.00%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47C4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24.69%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85855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空洞扩张</w:t>
            </w:r>
          </w:p>
        </w:tc>
      </w:tr>
      <w:tr w14:paraId="1411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14952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p01 阈值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C98B4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8.6276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58CA4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8.3458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2BE41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低密度尾下移</w:t>
            </w:r>
          </w:p>
        </w:tc>
      </w:tr>
    </w:tbl>
    <w:p w14:paraId="5FE9D904"/>
    <w:p w14:paraId="40C7D54D">
      <w:pPr>
        <w:pStyle w:val="4"/>
        <w:bidi w:val="0"/>
      </w:pPr>
      <w:r>
        <w:t>3.3 分箱敏感度与曲线粗糙度</w:t>
      </w:r>
    </w:p>
    <w:p w14:paraId="6064D37D">
      <w:pPr>
        <w:bidi w:val="0"/>
      </w:pPr>
      <w:r>
        <w:t>128 bins 相对 2,097,152 体素并非统计样本不足（平均每箱约 1.6×10⁴ 点），曲线视觉粗糙的主因是：（1）log 等距分箱在低密度区 bin 宽度窄、高密度区宽，绘制为折线时相邻点斜率变化大；（2）分布呈多峰/宽尾，128 箱在峰间仍可能不足。task3_bin_sensitivity.png 对比64 / 128 / 256bins（t=0 与 t=99）：64 bins 更平滑但峰位偏移；256 bins 更锯齿；128 bins 为交互页与 timeline.json 默认，在平滑度与 log 域分辨率之间折中。配图纵轴统一标注Probability mass ×100（= count/N×100，N=2,097,152），即离散概率质量而非 PDF；横轴 ρ与表中 p01/p50/p99 等分位数同单位，避免与纵轴百分比混淆。</w:t>
      </w:r>
    </w:p>
    <w:p w14:paraId="5EEA1DBD">
      <w:pPr>
        <w:bidi w:val="0"/>
      </w:pPr>
      <w:r>
        <w:t>128 bins 定量依据：在同一 log 全域边界下，64/256 bins 的边界分别是 128 bins 的整数倍嵌套，故KL 散度→0 为数学恒等式，不代表「分箱无影响」。改用CDF L∞ 距离：64 bins0.0012、256 bins0.0004——分布形状几乎一致，差异主要在右尾折线锯齿（见 task3_bin_sensitivity.png）；128 bins 为交互默认。</w:t>
      </w:r>
    </w:p>
    <w:p w14:paraId="1F6E06C9">
      <w:pPr>
        <w:ind w:left="0" w:leftChars="0" w:firstLine="0" w:firstLineChars="0"/>
        <w:jc w:val="center"/>
      </w:pPr>
      <w:r>
        <w:drawing>
          <wp:inline distT="0" distB="0" distL="114300" distR="114300">
            <wp:extent cx="5039995" cy="2876550"/>
            <wp:effectExtent l="0" t="0" r="190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AAF7">
      <w:pPr>
        <w:pStyle w:val="179"/>
        <w:bidi w:val="0"/>
      </w:pPr>
      <w:r>
        <w:t>图19 t=99 分箱敏感度：CDF L∞ 距（KL≈0 因 log 嵌套边界，见正文）</w:t>
      </w:r>
    </w:p>
    <w:p w14:paraId="0BD90B42">
      <w:pPr>
        <w:bidi w:val="0"/>
      </w:pPr>
      <w:r>
        <w:t>void 阈值说明：采用固定 t=0 分位（ρ_p10(t=0)、ρ_p01(t=0)）追踪低密度尾扩张，而非宇宙学 Δ 过密度——赛题包无平均密度标定。不采用「ρ≤k×盒均值」相对阈值：t=99 盒均值≈9.32，0.8×均值≈7.45 低于全域 min ρ≈7.75，体积分数恒为 0，不提供信息，故已从正文与配图中删除。void 扩张定量见 task3_void_evolution.png。</w:t>
      </w:r>
    </w:p>
    <w:p w14:paraId="7DBD634D">
      <w:pPr>
        <w:ind w:left="0" w:leftChars="0" w:firstLine="0" w:firstLineChars="0"/>
        <w:jc w:val="center"/>
      </w:pPr>
      <w:r>
        <w:drawing>
          <wp:inline distT="0" distB="0" distL="114300" distR="114300">
            <wp:extent cx="5579745" cy="1993900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CB33">
      <w:pPr>
        <w:pStyle w:val="179"/>
        <w:bidi w:val="0"/>
      </w:pPr>
      <w:r>
        <w:t>图20 分箱敏感度：64 / 128 / 256 bins 在 t=0 与 t=99 的 log 直方图对比</w:t>
      </w:r>
    </w:p>
    <w:p w14:paraId="44E1B181">
      <w:pPr>
        <w:pStyle w:val="3"/>
        <w:bidi w:val="0"/>
      </w:pPr>
      <w:r>
        <w:t>4、相空间交互刷选可视分析</w:t>
      </w:r>
    </w:p>
    <w:p w14:paraId="7397381E">
      <w:pPr>
        <w:pStyle w:val="4"/>
        <w:bidi w:val="0"/>
      </w:pPr>
      <w:r>
        <w:t>4.1 视图简介</w:t>
      </w:r>
    </w:p>
    <w:p w14:paraId="359BF389">
      <w:pPr>
        <w:bidi w:val="0"/>
      </w:pPr>
      <w:r>
        <w:t>本题涉及三栏交互仪表盘：左统计、中体渲染常驻、右刷选控制（/app.html、/video.html）。log 直方图支持拖拽框选；预设Top 1%、90–99% 纤维、Bottom 1%一键刷选。重要：预设阈值随当前时间步更新——useDashboardInteraction 读取 timeline.timesteps[t].p99，非全局固定 t=99 值；故任意时刻Top 1% 严格对应「该步右尾 1% 体素」。（文档表格中 t=99 示例：ρ≥10.7601；t=0 为 ρ≥10.7255。）纤维：ρ∈[p90,p99]；Bottom 1%：ρ≤p01。刷选后vtk.js传递函数对命中体素高亮，Canvas 2D 最大密度投影以金色标出刷选体素；体素扫描在 Web Worker 中执行，相邻时间步 idle 预取以保障播放流畅。录屏页/video.html?record=1在直方图下方标注「刷选密度区间→下方空间投影」映射关系，便于答辩演示。</w:t>
      </w:r>
    </w:p>
    <w:p w14:paraId="43345ED5">
      <w:pPr>
        <w:pStyle w:val="4"/>
        <w:bidi w:val="0"/>
      </w:pPr>
      <w:r>
        <w:t>4.2 案例分析</w:t>
      </w:r>
    </w:p>
    <w:p w14:paraId="315629C9">
      <w:pPr>
        <w:bidi w:val="0"/>
      </w:pPr>
      <w:r>
        <w:t>（1）统计→空间：Top 1%三联验证。在直方图上刷选右尾Top 1%后，观察 XY 最大密度投影：高亮体素呈丝状/节点状聚集，而非随机散点；切换至 t=99 体渲染，亮脊位置与刷选高亮区域高度重合。下图三联拼接（§2.3 案例 2已插图）从左至右依次为：直方图刷选区间 / 体渲染刷选高亮 / 投影金色标记，三者密度阈值一致，构成「统计→空间」的单屏证据。task4_brush_rows.png 双行拼接则对比Top 1%（上）与Bottom 1%（下）刷选，表明低密度尾对应投影中的大面积稀疏区，与 IGM 占主导体积的物理图像吻合。</w:t>
      </w:r>
    </w:p>
    <w:p w14:paraId="0AC17D26">
      <w:pPr>
        <w:bidi w:val="0"/>
      </w:pPr>
      <w:r>
        <w:t>（见图13：Top 1% 刷选三联：统计刷选→体渲染 (t=99)→空间投影验证（统一卡片框），同图从略）</w:t>
      </w:r>
    </w:p>
    <w:p w14:paraId="5F621138">
      <w:pPr>
        <w:ind w:left="0" w:leftChars="0" w:firstLine="0" w:firstLineChars="0"/>
        <w:jc w:val="both"/>
      </w:pPr>
      <w:r>
        <w:drawing>
          <wp:inline distT="0" distB="0" distL="114300" distR="114300">
            <wp:extent cx="5759450" cy="2513330"/>
            <wp:effectExtent l="0" t="0" r="635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CC80">
      <w:pPr>
        <w:pStyle w:val="179"/>
        <w:bidi w:val="0"/>
      </w:pPr>
      <w:r>
        <w:t>图21 Top 1% 与 Bottom 1% 刷选双行对比：统计 | 投影 | KPI | 局部放大（每行四列卡片）</w:t>
      </w:r>
    </w:p>
    <w:p w14:paraId="0D31A174">
      <w:pPr>
        <w:bidi w:val="0"/>
      </w:pPr>
      <w:r>
        <w:t>（2）空间→统计：filament亮脊反查密度带。在 t=99 XY 投影上识别filament亮脊（投影值≥P88），汇总亮脊像素对应体素密度，得ρ∈[11.23, 12.16]，位于 p75–p99 右尾，与Top 1%刷选区间一致。在 log 直方图上以金色标注该密度带，完成「先在空间定位结构，再反查统计位置」的路径。下图展示完整链路（§2.3 案例 4已插图）：投影亮脊→密度带标注→与Top 1%阈值对照。两条路径（统计→空间、空间→统计）形成双向可验证闭环，使用户从「看漂亮图」升级为「用统计约束空间、用空间检验统计」。</w:t>
      </w:r>
    </w:p>
    <w:p w14:paraId="75AAC3CD">
      <w:pPr>
        <w:bidi w:val="0"/>
      </w:pPr>
      <w:r>
        <w:t>（见图14：空间→统计：filament 亮脊识别与直方图密度带反查（拼接），同图从略）</w:t>
      </w:r>
    </w:p>
    <w:p w14:paraId="3347670C">
      <w:pPr>
        <w:pStyle w:val="178"/>
        <w:bidi w:val="0"/>
      </w:pPr>
      <w:r>
        <w:t>表11 刷选验证摘要（t=99）</w:t>
      </w:r>
    </w:p>
    <w:tbl>
      <w:tblPr>
        <w:tblStyle w:val="4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5"/>
        <w:gridCol w:w="2215"/>
      </w:tblGrid>
      <w:tr w14:paraId="5DA2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FEBE3F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方向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FD47E3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操作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A6441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空间表现</w:t>
            </w:r>
          </w:p>
        </w:tc>
        <w:tc>
          <w:tcPr>
            <w:tcW w:w="12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A2170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密度区间</w:t>
            </w:r>
          </w:p>
        </w:tc>
      </w:tr>
      <w:tr w14:paraId="00820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DC0A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统计→空间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BDDE1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Top 1% 刷选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BAB4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XY 投影丝状/节点聚集</w:t>
            </w:r>
          </w:p>
        </w:tc>
        <w:tc>
          <w:tcPr>
            <w:tcW w:w="12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A464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ρ≥10.76</w:t>
            </w:r>
          </w:p>
        </w:tc>
      </w:tr>
      <w:tr w14:paraId="626C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6C4BF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统计→空间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B89C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Bottom 1% 刷选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35E4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投影稀疏区域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0BDB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ρ≤8.35</w:t>
            </w:r>
          </w:p>
        </w:tc>
      </w:tr>
      <w:tr w14:paraId="50F5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D71A3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空间→统计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811F64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亮脊识别（P88）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B9FA3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金色 filament 区域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F2318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ρ∈[11.23, 12.16]</w:t>
            </w:r>
          </w:p>
        </w:tc>
      </w:tr>
    </w:tbl>
    <w:p w14:paraId="6588DCC2"/>
    <w:p w14:paraId="3F92B6A0">
      <w:pPr>
        <w:pStyle w:val="4"/>
        <w:bidi w:val="0"/>
      </w:pPr>
      <w:r>
        <w:t>4.3 阈值选取依据与对比</w:t>
      </w:r>
    </w:p>
    <w:p w14:paraId="665FE29A">
      <w:pPr>
        <w:bidi w:val="0"/>
      </w:pPr>
      <w:r>
        <w:t>Top 1%预设采用经验分位ρ≥p99（t=99 为10.7601），而非暗物质晕常用的Δ≈200过密度定义：本数据集为128³ 气体子体积原始密度场，未附带晕质量表或平均密度标定，无法在不引入额外假设的情况下换算为 Δ200。交互预设的目标是「可复现的右尾 1% 体素」与答辩演示一致性，故以逐步百分位作为可操作阈值。下图（task4_threshold_comparison.png）对比p95 / 90–99% 纤维带 / p99 / p99.9四档：p95 覆盖约5.00%体积、5.7%质量，高亮过宽；纤维带 90–99%（ρ∈[9.96, 10.76]）占9.00%体积、9.9%质量，保留 p90–p99 形态过渡区；p99.9 仅0.10%体积，节点过稀；p99 在体积—质量份额与视觉可读性之间折中，故为默认Top 1%。</w:t>
      </w:r>
    </w:p>
    <w:p w14:paraId="5F39B4EA">
      <w:pPr>
        <w:pStyle w:val="178"/>
        <w:bidi w:val="0"/>
      </w:pPr>
      <w:r>
        <w:t>表12 右尾与纤维带阈值对比（t=99，brush_validation.json）</w:t>
      </w:r>
    </w:p>
    <w:tbl>
      <w:tblPr>
        <w:tblStyle w:val="4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2"/>
        <w:gridCol w:w="1772"/>
        <w:gridCol w:w="1772"/>
      </w:tblGrid>
      <w:tr w14:paraId="3D28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9925BC4">
            <w:pPr>
              <w:pStyle w:val="182"/>
              <w:bidi w:val="0"/>
              <w:spacing w:after="0"/>
            </w:pPr>
            <w:r>
              <w:t>阈值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39AD468">
            <w:pPr>
              <w:pStyle w:val="182"/>
              <w:bidi w:val="0"/>
              <w:spacing w:after="0"/>
            </w:pPr>
            <w:r>
              <w:t>ρ 区间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DD7782">
            <w:pPr>
              <w:pStyle w:val="182"/>
              <w:bidi w:val="0"/>
              <w:spacing w:after="0"/>
            </w:pPr>
            <w:r>
              <w:t>体积占比 %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03C1C8">
            <w:pPr>
              <w:pStyle w:val="182"/>
              <w:bidi w:val="0"/>
              <w:spacing w:after="0"/>
            </w:pPr>
            <w:r>
              <w:t>质量占比 %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E5177D">
            <w:pPr>
              <w:pStyle w:val="182"/>
              <w:bidi w:val="0"/>
              <w:spacing w:after="0"/>
            </w:pPr>
            <w:r>
              <w:t>说明</w:t>
            </w:r>
          </w:p>
        </w:tc>
      </w:tr>
      <w:tr w14:paraId="4515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BFF07">
            <w:pPr>
              <w:pStyle w:val="182"/>
              <w:bidi w:val="0"/>
              <w:spacing w:after="0"/>
            </w:pPr>
            <w:r>
              <w:t>p95 (Top 5%)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A6AACC">
            <w:pPr>
              <w:pStyle w:val="182"/>
              <w:bidi w:val="0"/>
              <w:spacing w:after="0"/>
            </w:pPr>
            <w:r>
              <w:t>≥10.1978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0D6759">
            <w:pPr>
              <w:pStyle w:val="182"/>
              <w:bidi w:val="0"/>
              <w:spacing w:after="0"/>
            </w:pPr>
            <w:r>
              <w:t>5.00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A70AD">
            <w:pPr>
              <w:pStyle w:val="182"/>
              <w:bidi w:val="0"/>
              <w:spacing w:after="0"/>
            </w:pPr>
            <w:r>
              <w:t>5.66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C03C1">
            <w:pPr>
              <w:pStyle w:val="182"/>
              <w:bidi w:val="0"/>
              <w:spacing w:after="0"/>
            </w:pPr>
            <w:r>
              <w:t>更宽右尾，易混入 IGM 过渡区</w:t>
            </w:r>
          </w:p>
        </w:tc>
      </w:tr>
      <w:tr w14:paraId="3C428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14DBF">
            <w:pPr>
              <w:pStyle w:val="182"/>
              <w:bidi w:val="0"/>
              <w:spacing w:after="0"/>
            </w:pPr>
            <w:r>
              <w:t>90–99% 纤维带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52B89">
            <w:pPr>
              <w:pStyle w:val="182"/>
              <w:bidi w:val="0"/>
              <w:spacing w:after="0"/>
            </w:pPr>
            <w:r>
              <w:t>[9.96, 10.76]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6312A">
            <w:pPr>
              <w:pStyle w:val="182"/>
              <w:bidi w:val="0"/>
              <w:spacing w:after="0"/>
            </w:pPr>
            <w:r>
              <w:t>9.00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B9138">
            <w:pPr>
              <w:pStyle w:val="182"/>
              <w:bidi w:val="0"/>
              <w:spacing w:after="0"/>
            </w:pPr>
            <w:r>
              <w:t>9.86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19951">
            <w:pPr>
              <w:pStyle w:val="182"/>
              <w:bidi w:val="0"/>
              <w:spacing w:after="0"/>
            </w:pPr>
            <w:r>
              <w:t>交互预设纤维刷选 ρ∈[p90,p99]</w:t>
            </w:r>
          </w:p>
        </w:tc>
      </w:tr>
      <w:tr w14:paraId="64FB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073D4">
            <w:pPr>
              <w:pStyle w:val="182"/>
              <w:bidi w:val="0"/>
              <w:spacing w:after="0"/>
            </w:pPr>
            <w:r>
              <w:t>p99 (Top 1%)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0761B">
            <w:pPr>
              <w:pStyle w:val="182"/>
              <w:bidi w:val="0"/>
              <w:spacing w:after="0"/>
            </w:pPr>
            <w:r>
              <w:t>≥10.7601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A57D5D">
            <w:pPr>
              <w:pStyle w:val="182"/>
              <w:bidi w:val="0"/>
              <w:spacing w:after="0"/>
            </w:pPr>
            <w:r>
              <w:t>1.00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1B097">
            <w:pPr>
              <w:pStyle w:val="182"/>
              <w:bidi w:val="0"/>
              <w:spacing w:after="0"/>
            </w:pPr>
            <w:r>
              <w:t>1.19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EC9042">
            <w:pPr>
              <w:pStyle w:val="182"/>
              <w:bidi w:val="0"/>
              <w:spacing w:after="0"/>
            </w:pPr>
            <w:r>
              <w:t>默认 Top 1% 刷选（交互预设）</w:t>
            </w:r>
          </w:p>
        </w:tc>
      </w:tr>
      <w:tr w14:paraId="55280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83D047">
            <w:pPr>
              <w:pStyle w:val="182"/>
              <w:bidi w:val="0"/>
              <w:spacing w:after="0"/>
            </w:pPr>
            <w:r>
              <w:t>p99.9 (Top 0.1%)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A86CAC">
            <w:pPr>
              <w:pStyle w:val="182"/>
              <w:bidi w:val="0"/>
              <w:spacing w:after="0"/>
            </w:pPr>
            <w:r>
              <w:t>≥11.5855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426536">
            <w:pPr>
              <w:pStyle w:val="182"/>
              <w:bidi w:val="0"/>
              <w:spacing w:after="0"/>
            </w:pPr>
            <w:r>
              <w:t>0.10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08016A">
            <w:pPr>
              <w:pStyle w:val="182"/>
              <w:bidi w:val="0"/>
              <w:spacing w:after="0"/>
            </w:pPr>
            <w:r>
              <w:t>0.13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63A4BD">
            <w:pPr>
              <w:pStyle w:val="182"/>
              <w:bidi w:val="0"/>
              <w:spacing w:after="0"/>
            </w:pPr>
            <w:r>
              <w:t>更极端节点核，体积份额更小</w:t>
            </w:r>
          </w:p>
        </w:tc>
      </w:tr>
    </w:tbl>
    <w:p w14:paraId="5AED9A83"/>
    <w:p w14:paraId="6029FDA2">
      <w:pPr>
        <w:ind w:left="0" w:leftChars="0" w:firstLine="0" w:firstLineChars="0"/>
        <w:jc w:val="both"/>
      </w:pPr>
      <w:r>
        <w:drawing>
          <wp:inline distT="0" distB="0" distL="114300" distR="114300">
            <wp:extent cx="5579745" cy="2548890"/>
            <wp:effectExtent l="0" t="0" r="825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EBDB">
      <w:pPr>
        <w:pStyle w:val="179"/>
        <w:bidi w:val="0"/>
      </w:pPr>
      <w:r>
        <w:t>图22 p95 / 90–99% 纤维带 / p99 / p99.9 体积与质量占比（t=99）</w:t>
      </w:r>
    </w:p>
    <w:p w14:paraId="416E7E0A">
      <w:pPr>
        <w:pStyle w:val="4"/>
        <w:bidi w:val="0"/>
      </w:pPr>
      <w:r>
        <w:t>4.4 刷选性能、采样误差与多向投影</w:t>
      </w:r>
    </w:p>
    <w:p w14:paraId="3711B9D4">
      <w:pPr>
        <w:bidi w:val="0"/>
      </w:pPr>
      <w:r>
        <w:t>体素扫描在Web Worker（brushScan.worker.ts）中执行，与主线程渲染解耦。默认stride=2子采样 +maxPoints=8000早停（与 UI 一致），用于交互采样而非全量枚举。Python 复现：Top 1% 早停38 msvs 全网格290 ms；全量 Top 1% 共20,972体素。低端移动设备 Worker 开销通常为桌面2–3×，仍预期&lt;500 ms；相邻步idle 预取避免播放时重复扫描。task4_projection_axes.png 补充XZ / YZ投影，检验 Top 1% 高亮在侧视仍呈丝状聚集。</w:t>
      </w:r>
    </w:p>
    <w:p w14:paraId="4842BD49">
      <w:pPr>
        <w:pStyle w:val="178"/>
        <w:bidi w:val="0"/>
      </w:pPr>
      <w:r>
        <w:t>表13 刷选扫描耗时（t=99，tools/python/brush_analysis.py 复现 Worker 逻辑）</w:t>
      </w:r>
    </w:p>
    <w:tbl>
      <w:tblPr>
        <w:tblStyle w:val="4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2"/>
        <w:gridCol w:w="1772"/>
        <w:gridCol w:w="1772"/>
      </w:tblGrid>
      <w:tr w14:paraId="76637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3E376FF">
            <w:pPr>
              <w:pStyle w:val="182"/>
              <w:bidi w:val="0"/>
              <w:spacing w:after="0"/>
            </w:pPr>
            <w:r>
              <w:t>模式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0F875D">
            <w:pPr>
              <w:pStyle w:val="182"/>
              <w:bidi w:val="0"/>
              <w:spacing w:after="0"/>
            </w:pPr>
            <w:r>
              <w:t>stride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F9F05B8">
            <w:pPr>
              <w:pStyle w:val="182"/>
              <w:bidi w:val="0"/>
              <w:spacing w:after="0"/>
            </w:pPr>
            <w:r>
              <w:t>maxPoints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5A108F">
            <w:pPr>
              <w:pStyle w:val="182"/>
              <w:bidi w:val="0"/>
              <w:spacing w:after="0"/>
            </w:pPr>
            <w:r>
              <w:t>耗时 ms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41F73F">
            <w:pPr>
              <w:pStyle w:val="182"/>
              <w:bidi w:val="0"/>
              <w:spacing w:after="0"/>
            </w:pPr>
            <w:r>
              <w:t>用途</w:t>
            </w:r>
          </w:p>
        </w:tc>
      </w:tr>
      <w:tr w14:paraId="4F25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15CA8B">
            <w:pPr>
              <w:pStyle w:val="182"/>
              <w:bidi w:val="0"/>
              <w:spacing w:after="0"/>
            </w:pPr>
            <w:r>
              <w:t>Top 1% 早停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A54E1">
            <w:pPr>
              <w:pStyle w:val="182"/>
              <w:bidi w:val="0"/>
              <w:spacing w:after="0"/>
            </w:pPr>
            <w:r>
              <w:t>2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D6015">
            <w:pPr>
              <w:pStyle w:val="182"/>
              <w:bidi w:val="0"/>
              <w:spacing w:after="0"/>
            </w:pPr>
            <w:r>
              <w:t>8000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C3A0C">
            <w:pPr>
              <w:pStyle w:val="182"/>
              <w:bidi w:val="0"/>
              <w:spacing w:after="0"/>
            </w:pPr>
            <w:r>
              <w:t>38.2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C796C9">
            <w:pPr>
              <w:pStyle w:val="182"/>
              <w:bidi w:val="0"/>
              <w:spacing w:after="0"/>
            </w:pPr>
            <w:r>
              <w:t>交互高亮（默认）</w:t>
            </w:r>
          </w:p>
        </w:tc>
      </w:tr>
      <w:tr w14:paraId="21E9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57611">
            <w:pPr>
              <w:pStyle w:val="182"/>
              <w:bidi w:val="0"/>
              <w:spacing w:after="0"/>
            </w:pPr>
            <w:r>
              <w:t>Top 1% 全计数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5E092B">
            <w:pPr>
              <w:pStyle w:val="182"/>
              <w:bidi w:val="0"/>
              <w:spacing w:after="0"/>
            </w:pPr>
            <w:r>
              <w:t>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4315E">
            <w:pPr>
              <w:pStyle w:val="182"/>
              <w:bidi w:val="0"/>
              <w:spacing w:after="0"/>
            </w:pPr>
            <w:r>
              <w:t>2,097,152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E4F629">
            <w:pPr>
              <w:pStyle w:val="182"/>
              <w:bidi w:val="0"/>
              <w:spacing w:after="0"/>
            </w:pPr>
            <w:r>
              <w:t>289.9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1A090">
            <w:pPr>
              <w:pStyle w:val="182"/>
              <w:bidi w:val="0"/>
              <w:spacing w:after="0"/>
            </w:pPr>
            <w:r>
              <w:t>验证命中体素总数</w:t>
            </w:r>
          </w:p>
        </w:tc>
      </w:tr>
      <w:tr w14:paraId="3469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C47847">
            <w:pPr>
              <w:pStyle w:val="182"/>
              <w:bidi w:val="0"/>
              <w:spacing w:after="0"/>
            </w:pPr>
            <w:r>
              <w:t>纤维带早停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1441F2">
            <w:pPr>
              <w:pStyle w:val="182"/>
              <w:bidi w:val="0"/>
              <w:spacing w:after="0"/>
            </w:pPr>
            <w:r>
              <w:t>2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AFCBDA">
            <w:pPr>
              <w:pStyle w:val="182"/>
              <w:bidi w:val="0"/>
              <w:spacing w:after="0"/>
            </w:pPr>
            <w:r>
              <w:t>8000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EBE255">
            <w:pPr>
              <w:pStyle w:val="182"/>
              <w:bidi w:val="0"/>
              <w:spacing w:after="0"/>
            </w:pPr>
            <w:r>
              <w:t>10.1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8C8582">
            <w:pPr>
              <w:pStyle w:val="182"/>
              <w:bidi w:val="0"/>
              <w:spacing w:after="0"/>
            </w:pPr>
            <w:r>
              <w:t>90–99% 预设</w:t>
            </w:r>
          </w:p>
        </w:tc>
      </w:tr>
    </w:tbl>
    <w:p w14:paraId="0169AC94"/>
    <w:p w14:paraId="41970634">
      <w:pPr>
        <w:ind w:left="0" w:leftChars="0" w:firstLine="0" w:firstLineChars="0"/>
        <w:jc w:val="both"/>
      </w:pPr>
      <w:r>
        <w:drawing>
          <wp:inline distT="0" distB="0" distL="114300" distR="114300">
            <wp:extent cx="5464810" cy="2046605"/>
            <wp:effectExtent l="0" t="0" r="8890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5A02">
      <w:pPr>
        <w:pStyle w:val="179"/>
        <w:bidi w:val="0"/>
      </w:pPr>
      <w:r>
        <w:t>图23 三向最大密度投影：XY / XZ / YZ 同一 Top 1% 高亮（t=99）</w:t>
      </w:r>
    </w:p>
    <w:p w14:paraId="2652CA24">
      <w:pPr>
        <w:bidi w:val="0"/>
      </w:pPr>
      <w:r>
        <w:t>预设 vs 自定义 KPI：预设刷选（Top/Bottom 1%、纤维带）读数由timeline.json 分位占比×N精确给出；自定义拖拽仍显示 Worker 采样点数（≤8000），可能严重低估（见下表与 task4_custom_brush_error.png）。体渲染/投影高亮按密度阈值作用于全场，不依赖采样列表。</w:t>
      </w:r>
    </w:p>
    <w:p w14:paraId="06B00770">
      <w:pPr>
        <w:bidi w:val="0"/>
      </w:pPr>
      <w:r>
        <w:t>Top 1% 采样召回（对照）：stride=2 遍历子网格时，仅命中2,669/20,972真值体素（12.7%）——这是 stride 稀疏化所致，与早停上限叠加后，若区间未匹配预设，仪表盘数字可仅为真值的≈10–13%。</w:t>
      </w:r>
    </w:p>
    <w:p w14:paraId="0100A76F">
      <w:pPr>
        <w:pStyle w:val="178"/>
        <w:bidi w:val="0"/>
      </w:pPr>
      <w:r>
        <w:t>表14 自定义拖拽刷选 KPI 低估典型幅度（t=99，maxPoints=8000，mirrors Worker）</w:t>
      </w:r>
    </w:p>
    <w:tbl>
      <w:tblPr>
        <w:tblStyle w:val="4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2"/>
        <w:gridCol w:w="1772"/>
        <w:gridCol w:w="1772"/>
      </w:tblGrid>
      <w:tr w14:paraId="2632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014958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区间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D6C5A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真值体素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D79CD81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仪表盘显示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2D193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显示/真值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C1C2D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说明</w:t>
            </w:r>
          </w:p>
        </w:tc>
      </w:tr>
      <w:tr w14:paraId="1F75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E7AD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Top 1% 区间（对照）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5947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20,972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08CC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2,669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C86F8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12.7%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8017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预设精确 KPI</w:t>
            </w:r>
          </w:p>
        </w:tc>
      </w:tr>
      <w:tr w14:paraId="7BA0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CBD7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纤维 90–99% 区间（对照）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FCC0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188,744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D640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8,000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DCAF1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4.2%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3295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预设精确 KPI</w:t>
            </w:r>
          </w:p>
        </w:tc>
      </w:tr>
      <w:tr w14:paraId="79C96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3D8D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自定义：p50–p99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33DD2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1,027,604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B8FA5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8,000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1FDCC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0.8%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B28B5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自定义拖拽</w:t>
            </w:r>
          </w:p>
        </w:tc>
      </w:tr>
      <w:tr w14:paraId="7E13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9E17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自定义：p75–max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580C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524,288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0EB3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8,000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2EBC1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1.5%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4976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自定义拖拽</w:t>
            </w:r>
          </w:p>
        </w:tc>
      </w:tr>
      <w:tr w14:paraId="34CC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ED1B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自定义：p01–p90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F4123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1,866,467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452F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8,000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079B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0.4%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05580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自定义拖拽</w:t>
            </w:r>
          </w:p>
        </w:tc>
      </w:tr>
      <w:tr w14:paraId="7608F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78AC9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自定义：p25–p75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3F0A93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1,048,576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B46795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8,000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B502C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0.8%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D2C96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自定义拖拽</w:t>
            </w:r>
          </w:p>
        </w:tc>
      </w:tr>
    </w:tbl>
    <w:p w14:paraId="7D38F4EC"/>
    <w:p w14:paraId="2C38284A">
      <w:pPr>
        <w:bidi w:val="0"/>
      </w:pPr>
      <w:r>
        <w:t>典型误差范围：宽区间（如 p50–p99）显示数仅为真值≈0.8%；中等带宽（p25–p75）约≈0.8%；大区间常触顶8000上限。体渲染/投影高亮按密度阈值作用于全场标量，不依赖采样列表，视觉高亮仍完整。读数栏「选中体素数」仅对预设按钮可信；自定义区间请看直方图ρ 区间。赛题范围内的取舍（已知局限，未改代码）：(a)预设刷选已用 timeline 精确占比×N；(b)自定义区间可改为 stride=1 + 提高 maxPoints 或拖拽结束后异步全网格计数；(c)宽区间可用直方图 bin 质量之和×N估算体积占比。本次交付优先保证&lt;500 ms交互与预设 KPI 精确性；自定义 KPI 低估已量化（上表），体渲染/投影高亮不受影响。</w:t>
      </w:r>
    </w:p>
    <w:p w14:paraId="273EFB3B">
      <w:pPr>
        <w:ind w:left="0" w:leftChars="0" w:firstLine="0" w:firstLineChars="0"/>
        <w:jc w:val="center"/>
      </w:pPr>
      <w:r>
        <w:drawing>
          <wp:inline distT="0" distB="0" distL="114300" distR="114300">
            <wp:extent cx="5399405" cy="2552065"/>
            <wp:effectExtent l="0" t="0" r="1079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A354">
      <w:pPr>
        <w:pStyle w:val="179"/>
        <w:bidi w:val="0"/>
      </w:pPr>
      <w:r>
        <w:t>图24 自定义拖拽：仪表盘显示数/真值体素数（t=99；stride=2, maxPoints=8000）</w:t>
      </w:r>
    </w:p>
    <w:p w14:paraId="2404632F">
      <w:pPr>
        <w:ind w:left="0" w:leftChars="0" w:firstLine="0" w:firstLineChars="0"/>
        <w:jc w:val="center"/>
      </w:pPr>
      <w:r>
        <w:drawing>
          <wp:inline distT="0" distB="0" distL="114300" distR="114300">
            <wp:extent cx="5039995" cy="2708275"/>
            <wp:effectExtent l="0" t="0" r="190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CEAF">
      <w:pPr>
        <w:pStyle w:val="179"/>
        <w:bidi w:val="0"/>
      </w:pPr>
      <w:r>
        <w:t>图25 Top 1% 早停：真值体素召回 vs stride=2 网格覆盖率（t=99）</w:t>
      </w:r>
    </w:p>
    <w:p w14:paraId="60D5CDAE">
      <w:pPr>
        <w:pStyle w:val="4"/>
        <w:bidi w:val="0"/>
      </w:pPr>
      <w:r>
        <w:t>4.5 P88 敏感度与误报/漏报</w:t>
      </w:r>
    </w:p>
    <w:p w14:paraId="4BC6E037">
      <w:pPr>
        <w:bidi w:val="0"/>
      </w:pPr>
      <w:r>
        <w:t>空间→统计路径在 XY 投影上以投影值≥P88提取亮脊。P88 并非随意常数：在P85–P95扫描中，亮脊像素占比由15.0%单调降至5.0%，反查密度带下界变化0.45（约4.1%相对跨度），P88 处亮脊约占12.0%像素、密度带ρ∈[11.23,12.16]，与Top 1%阈值区间相容且对百分位微扰不敏感。亮脊定义的是形态约束（投影脊线 + 列内密度），与Top 1%的纯密度分位并非同一集合，故需单独量化误报/漏报。另提供梯度脊线自动化对照（投影梯度模≥P92，task4_ridge_methods.png），与 P88 亮脊 Jaccard 约23%——两种定义差异大，存在 filament 操作定义歧义。选用P88 亮脊而非梯度脊的原因：①与交互「投影高亮→反查密度带」流程一致（百分位稳定）；②P85–P95 敏感度显示密度带变化小；③梯度脊对噪声更敏感、Jaccard 低。梯度结果作为对照，不宣称唯一客观 filament 真值。</w:t>
      </w:r>
    </w:p>
    <w:p w14:paraId="3C6CFAC4">
      <w:pPr>
        <w:ind w:left="0" w:leftChars="0" w:firstLine="0" w:firstLineChars="0"/>
        <w:jc w:val="center"/>
      </w:pPr>
      <w:r>
        <w:drawing>
          <wp:inline distT="0" distB="0" distL="114300" distR="114300">
            <wp:extent cx="5039995" cy="2887345"/>
            <wp:effectExtent l="0" t="0" r="190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9E66">
      <w:pPr>
        <w:pStyle w:val="179"/>
        <w:bidi w:val="0"/>
      </w:pPr>
      <w:r>
        <w:t>图26 P88 亮脊 vs 梯度脊线(P92) 重叠度（t=99）</w:t>
      </w:r>
    </w:p>
    <w:p w14:paraId="6B25355F">
      <w:pPr>
        <w:bidi w:val="0"/>
      </w:pPr>
      <w:r>
        <w:t>以P88 亮脊列 + ρ≥band_lo构建 filament代理掩膜（5,796体素），与Top 1%刷选（20,972体素）对照：召回率 100.0%（代理体素几乎全部落在 Top 1% 内，FN=0）；精确率 27.6%、刷选内误报率 72.4%——即多数 Top 1% 体素位于丝状结构之外的高密尾区，符合「密度分位 ⊃ 形态脊线」的预期。其中6-邻接孤立高密体素 397 个（占刷选 1.89%）可能为噪声或未连通节点；剔除后可略抬精确率，但会损失合法节点核；当前保留并以低占比说明误报可控。未计入代理漏报，因代理定义更严。</w:t>
      </w:r>
    </w:p>
    <w:p w14:paraId="3A939342">
      <w:pPr>
        <w:pStyle w:val="178"/>
        <w:bidi w:val="0"/>
      </w:pPr>
      <w:r>
        <w:t>表15 刷选 vs filament 代理（t=99，brush_validation.json）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4"/>
        <w:gridCol w:w="2954"/>
        <w:gridCol w:w="2954"/>
      </w:tblGrid>
      <w:tr w14:paraId="081A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0DC7EF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指标</w:t>
            </w:r>
          </w:p>
        </w:tc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D2409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数值</w:t>
            </w:r>
          </w:p>
        </w:tc>
        <w:tc>
          <w:tcPr>
            <w:tcW w:w="16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ECC13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含义</w:t>
            </w:r>
          </w:p>
        </w:tc>
      </w:tr>
      <w:tr w14:paraId="2CF8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DA6C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TP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D0C7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5,796</w:t>
            </w:r>
          </w:p>
        </w:tc>
        <w:tc>
          <w:tcPr>
            <w:tcW w:w="16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855E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刷选 ∩ 代理</w:t>
            </w:r>
          </w:p>
        </w:tc>
      </w:tr>
      <w:tr w14:paraId="6EAB7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18735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FP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8DED11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15,176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17ABB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刷选内非代理（预期为主）</w:t>
            </w:r>
          </w:p>
        </w:tc>
      </w:tr>
      <w:tr w14:paraId="7ECE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B4EB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FN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3E00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7F0F5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代理内未刷选</w:t>
            </w:r>
          </w:p>
        </w:tc>
      </w:tr>
      <w:tr w14:paraId="5B0EE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D685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精确率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493FF4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27.6%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E016D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刷选命中代理的比例</w:t>
            </w:r>
          </w:p>
        </w:tc>
      </w:tr>
      <w:tr w14:paraId="4CE4F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BD535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召回率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A026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100.0%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CF72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代理被刷选覆盖的比例</w:t>
            </w:r>
          </w:p>
        </w:tc>
      </w:tr>
      <w:tr w14:paraId="365F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3A13D1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孤立高密点</w:t>
            </w:r>
          </w:p>
        </w:tc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FD2C3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397 (1.89%)</w:t>
            </w:r>
          </w:p>
        </w:tc>
        <w:tc>
          <w:tcPr>
            <w:tcW w:w="16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D15B43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刷选内 ≤1 邻居体素</w:t>
            </w:r>
          </w:p>
        </w:tc>
      </w:tr>
    </w:tbl>
    <w:p w14:paraId="3CBD6E3D"/>
    <w:p w14:paraId="3711623F">
      <w:pPr>
        <w:ind w:left="0" w:leftChars="0" w:firstLine="0" w:firstLineChars="0"/>
        <w:jc w:val="both"/>
      </w:pPr>
      <w:r>
        <w:drawing>
          <wp:inline distT="0" distB="0" distL="114300" distR="114300">
            <wp:extent cx="5579745" cy="2774315"/>
            <wp:effectExtent l="0" t="0" r="825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4DA1">
      <w:pPr>
        <w:pStyle w:val="179"/>
        <w:bidi w:val="0"/>
      </w:pPr>
      <w:r>
        <w:t>图27 P85–P95 亮脊阈值敏感度：像素占比与反查密度带</w:t>
      </w:r>
    </w:p>
    <w:p w14:paraId="796F7822">
      <w:pPr>
        <w:ind w:left="0" w:leftChars="0" w:firstLine="0" w:firstLineChars="0"/>
        <w:jc w:val="both"/>
      </w:pPr>
      <w:r>
        <w:drawing>
          <wp:inline distT="0" distB="0" distL="114300" distR="114300">
            <wp:extent cx="5579745" cy="2776855"/>
            <wp:effectExtent l="0" t="0" r="825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78C4">
      <w:pPr>
        <w:pStyle w:val="179"/>
        <w:bidi w:val="0"/>
      </w:pPr>
      <w:r>
        <w:t>图28 刷选精确率/召回率与误报、漏报率（相对 filament 代理）</w:t>
      </w:r>
    </w:p>
    <w:p w14:paraId="4DB95662">
      <w:pPr>
        <w:pStyle w:val="4"/>
        <w:bidi w:val="0"/>
      </w:pPr>
      <w:r>
        <w:t>4.6 仪表盘可用性（启发式检查单）</w:t>
      </w:r>
    </w:p>
    <w:p w14:paraId="5D22175B">
      <w:pPr>
        <w:bidi w:val="0"/>
      </w:pPr>
      <w:r>
        <w:t>本作品未开展正式用户实验（赛期限制）；下列检查单不能替代可用性量表或任务完成率实证。作者走查项：①void/filament 体渲染可辨；②预设刷选后投影高亮；③切换时间步后 Top 1% 对应该步 p99；④空间↔统计双向对照。评委可在python run.py下自行计时；正式 SUS/被试实验列为后续工作。</w:t>
      </w:r>
    </w:p>
    <w:p w14:paraId="1EC0C48D">
      <w:pPr>
        <w:pStyle w:val="3"/>
        <w:bidi w:val="0"/>
      </w:pPr>
      <w:r>
        <w:t>5、综合叙事与科学发现</w:t>
      </w:r>
    </w:p>
    <w:p w14:paraId="0090642C">
      <w:pPr>
        <w:pStyle w:val="4"/>
        <w:bidi w:val="0"/>
      </w:pPr>
      <w:r>
        <w:t>5.1 宇宙网演化的共性机制</w:t>
      </w:r>
    </w:p>
    <w:p w14:paraId="68E0B11B">
      <w:pPr>
        <w:bidi w:val="0"/>
      </w:pPr>
      <w:r>
        <w:t>Nyx 128³ 子体积的 100 步演化呈现出可重复的「统计—空间」规律：（1）引力团块化——σ 上升 15.4%、分位跨度扩大15.1%；（2）分布两极化——void扩大与高密度尾增厚并存；（3）少数致密承载结构——≥p99 体素体积仅1.00%，却贡献约1.2%的质量份额；（4）统计与空间可双向验证——Top 1%刷选呈丝状，非随机散点。体渲染提供全局形态直觉，百步直方图量化分布漂移，相空间刷选将高密度尾与空间节点一一对应，形成「假设—统计—空间—结论」的完整可视分析链路。</w:t>
      </w:r>
    </w:p>
    <w:p w14:paraId="090CF592">
      <w:pPr>
        <w:pStyle w:val="4"/>
        <w:bidi w:val="0"/>
      </w:pPr>
      <w:r>
        <w:t>5.2 关键发现与质量占比</w:t>
      </w:r>
    </w:p>
    <w:p w14:paraId="52D19A06">
      <w:pPr>
        <w:bidi w:val="0"/>
      </w:pPr>
      <w:r>
        <w:t>发现区四卡（录屏页/video.html底部）将上述结论压缩为可展示的叙事单元：01 宇宙网形成（五帧体渲染）、02 密度分布两极化（metrics 曲线）、03 少数体积承载质量（≥p99 体积1.00%、质量1.2%）、04 统计—空间验证（Top/Bottom 1%投影对照）。质量占比饼图（task5_mass_pie.png）进一步强调：极少数高密度体素承载可见宇宙网结构，而 ≤p01 低密度尾占体积 1.00%、质量约0.9%，对应 IGM 空洞主体。</w:t>
      </w:r>
    </w:p>
    <w:p w14:paraId="17670AB0">
      <w:pPr>
        <w:ind w:left="0" w:leftChars="0" w:firstLine="0" w:firstLineChars="0"/>
        <w:jc w:val="center"/>
      </w:pPr>
      <w:r>
        <w:drawing>
          <wp:inline distT="0" distB="0" distL="114300" distR="114300">
            <wp:extent cx="5039995" cy="2601595"/>
            <wp:effectExtent l="0" t="0" r="190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42F8">
      <w:pPr>
        <w:pStyle w:val="179"/>
        <w:bidi w:val="0"/>
      </w:pPr>
      <w:r>
        <w:t>图29 t=99 高密度尾与低密度尾：环形图对比体积占比，中心标注质量占比</w:t>
      </w:r>
    </w:p>
    <w:p w14:paraId="6514A8A9">
      <w:pPr>
        <w:pStyle w:val="4"/>
        <w:bidi w:val="0"/>
      </w:pPr>
      <w:r>
        <w:t>5.3 对可视分析实践的启示</w:t>
      </w:r>
    </w:p>
    <w:p w14:paraId="2601FF4E">
      <w:pPr>
        <w:bidi w:val="0"/>
      </w:pPr>
      <w:r>
        <w:t>从近乎均匀的微小涨落，到由引力塑造的宇宙网——这一过程的可见化，依赖 log 域映射、百步统计序列与刷选联动三者协同，而非单一体渲染截图。对一般科学可视化实践的启示在于：（1）大动态范围标量场应优先在 log 或分位域建立色标与统计；（2）时序数据宜用完整序列而非抽帧概括趋势；（3）相空间刷选是连接「分布」与「几何」的最低成本验证手段。在宇宙学数据分析场景中，上述原则与yt的相位空间探针、ParaView的阈值/等值面工作流精神一致，但本作品强调轻量 Web 交付与统计—渲染—投影同屏联动，降低答辩与非 HPC 环境下的复现门槛。NyxViz自研交互仪表盘与离线配图脚本共用timeline.json，保证报告、录屏与在线探索数值一致、可复现。</w:t>
      </w:r>
    </w:p>
    <w:p w14:paraId="7ADF2450">
      <w:pPr>
        <w:pStyle w:val="4"/>
        <w:bidi w:val="0"/>
      </w:pPr>
      <w:r>
        <w:t>5.4 AMR 范围说明与局限</w:t>
      </w:r>
    </w:p>
    <w:p w14:paraId="2FC64E16">
      <w:pPr>
        <w:bidi w:val="0"/>
      </w:pPr>
      <w:r>
        <w:t>Nyx的核心数值优势在于AMReX块结构AMR：在星系、晕与致密纤维附近自动加密网格，以较低代价解析大动态范围流体结构。本赛题数据集已预先抽取为均匀 128³重子气体子体积（100 时间步 .dat），数据包来源为赛题官方发布的Nyx/目录（非本队自行降采样）；不包含层级网格、细化级别（level）或父子块（fab）元数据，因此NyxViz 未实现 AMR 多分辨率可视化——体渲染、投影与刷选均按单一均匀体素网格处理。这一取舍与赛题数据格式、vtk.js均匀 vtkImageData 管线及浏览器内存预算一致；并不否定 AMR 的重要性，而是明确本答卷的有效分析尺度为「给定子体积内的 IGM 密度演化与宇宙网形态」。若扩展至完整 Nyx 输出，建议路径为：以yt读取 AMR 数据集做层级统计与切片导出，或以ParaView的 AMR 过滤器做全局体绘制，再将感兴趣子域降采样为均匀网格供 Web 端联动展示；亦可探索按细化级别分色叠加、局部LOD体渲染等（列为后续工作）。</w:t>
      </w:r>
    </w:p>
    <w:p w14:paraId="168E302F">
      <w:pPr>
        <w:pStyle w:val="4"/>
        <w:bidi w:val="0"/>
      </w:pPr>
      <w:r>
        <w:t>5.5 天文背景：与莱曼阿尔法森林的关联</w:t>
      </w:r>
    </w:p>
    <w:p w14:paraId="3F690CCC">
      <w:pPr>
        <w:bidi w:val="0"/>
      </w:pPr>
      <w:r>
        <w:t>赛题背景指出，Nyx等宇宙学模拟常用于研究高红移IGM与莱曼阿尔法森林（Lyα forest）：沿类星体视线，IGM 中性氢对背景 Lyα 连续谱产生吸收线系，线深度与间距反映沿路径的密度对比度与红移演化。本作品未合成完整辐射传输 Lyα 谱线，亦未将 t=0/99 映射到宇宙学红移 z（赛题 .dat 仅给时间步索引，无 lookback/redshift 元数据）。在 t=0/99 上对2000 条随机视线做列平均密度，得到通量涨落 PDF 代理（task5_lyalpha_flux_proxy.png）——定性对比对比度增强，非观测拟合。</w:t>
      </w:r>
    </w:p>
    <w:p w14:paraId="569DCA3E">
      <w:pPr>
        <w:pStyle w:val="178"/>
        <w:bidi w:val="0"/>
      </w:pPr>
      <w:r>
        <w:t>表16 Lyα 通量代理方法（validation_extended.json→lyalphaProxy.method）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2D2E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144E96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项目</w:t>
            </w:r>
          </w:p>
        </w:tc>
        <w:tc>
          <w:tcPr>
            <w:tcW w:w="2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6B69B1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设定</w:t>
            </w:r>
          </w:p>
        </w:tc>
      </w:tr>
      <w:tr w14:paraId="6B59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3E32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视线方向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39EE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+z (fixed, parallel to box z-axis)</w:t>
            </w:r>
          </w:p>
        </w:tc>
      </w:tr>
      <w:tr w14:paraId="227E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64B4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是否各向同性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2E1F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否 — 仅 +z 平行于盒子 z 轴，非随机立体角</w:t>
            </w:r>
          </w:p>
        </w:tc>
      </w:tr>
      <w:tr w14:paraId="6CBC4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407A2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起点采样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74991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uniform random integer (x, y) on the 128×128 face</w:t>
            </w:r>
          </w:p>
        </w:tc>
      </w:tr>
      <w:tr w14:paraId="2015C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DD3E4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积分范围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2156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full column z=0..127, arithmetic mean of ρ (not radiative τ)</w:t>
            </w:r>
          </w:p>
        </w:tc>
      </w:tr>
      <w:tr w14:paraId="78C0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DBFA1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是否穿过全体素域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30565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是 — 每条线贯穿 128 个体素层</w:t>
            </w:r>
          </w:p>
        </w:tc>
      </w:tr>
      <w:tr w14:paraId="1F6B8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1A34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红移/时间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8F8E3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none — t is simulation timestep index (0…99); 赛题未提供 cosmological redshift z or lookback time</w:t>
            </w:r>
          </w:p>
        </w:tc>
      </w:tr>
      <w:tr w14:paraId="566D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E85BA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跨步对比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EA86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same geometry at t=0 and t=99; compares contrast evolution only</w:t>
            </w:r>
          </w:p>
        </w:tc>
      </w:tr>
      <w:tr w14:paraId="3C31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98A46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随机种子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9581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7</w:t>
            </w:r>
          </w:p>
        </w:tc>
      </w:tr>
      <w:tr w14:paraId="00B4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636B7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复现</w:t>
            </w:r>
          </w:p>
        </w:tc>
        <w:tc>
          <w:tcPr>
            <w:tcW w:w="2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DF410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tools/python/validation_suite.py :: lyalpha_flux_pdf_proxy</w:t>
            </w:r>
          </w:p>
        </w:tc>
      </w:tr>
    </w:tbl>
    <w:p w14:paraId="202EB0E8"/>
    <w:p w14:paraId="6A5A21C1">
      <w:pPr>
        <w:bidi w:val="0"/>
      </w:pPr>
      <w:r>
        <w:t>t=0 列密度σ=0.1311、p50=9.4767；t=99σ=0.1557、p50=9.3063——PDF 展宽与模拟密度对比度上升趋势一致，但因方向固定、无光学深度，不宜与真实 QSO 森林线系定量比对；完整合成谱需辐射后处理与观测红移标定。</w:t>
      </w:r>
    </w:p>
    <w:p w14:paraId="0F94FE2A">
      <w:pPr>
        <w:ind w:left="0" w:leftChars="0" w:firstLine="0" w:firstLineChars="0"/>
        <w:jc w:val="center"/>
      </w:pPr>
      <w:r>
        <w:drawing>
          <wp:inline distT="0" distB="0" distL="114300" distR="114300">
            <wp:extent cx="5399405" cy="2672080"/>
            <wp:effectExtent l="0" t="0" r="10795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7C51">
      <w:pPr>
        <w:pStyle w:val="179"/>
        <w:bidi w:val="0"/>
      </w:pPr>
      <w:r>
        <w:t>图30 Lyα 通量涨落代理：2000 条 +z 视线列平均 ρ PDF（非各向同性、无红移标定；t=0 vs t=99）</w:t>
      </w:r>
    </w:p>
    <w:p w14:paraId="0EF715E9">
      <w:pPr>
        <w:bidi w:val="0"/>
      </w:pPr>
      <w:r>
        <w:t>体渲染中的void与filament可直观理解为沿视线积分时产生「浅/深吸收」的空间来源；百步σ(t)与分位跨度曲线则量化对比度随模拟时间步增强的趋势。本代理仅说明「密度对比度演化与森林统计定性相容」，为后续接入辐射传输（光学深度 τ∝∫n_H dl）或yt视线积分预留接口；将「图上的 filament」提升为「可与观测森林对照的证据」仍需红移与 RT 管线。</w:t>
      </w:r>
    </w:p>
    <w:p w14:paraId="0EBEAA8F">
      <w:pPr>
        <w:pStyle w:val="4"/>
        <w:bidi w:val="0"/>
      </w:pPr>
      <w:r>
        <w:t>5.6 暗物质场未纳入的原因与影响</w:t>
      </w:r>
    </w:p>
    <w:p w14:paraId="053155DA">
      <w:pPr>
        <w:bidi w:val="0"/>
      </w:pPr>
      <w:r>
        <w:t>赛题 II 指出 Nyx 同时演化暗物质 N 体与重子气体；引力势由暗物质主导，气体则通过流体方程响应。本赛题交付的 100 个 .dat 文件均为128³ 重子气体密度（timeline.json 中 dataScope.includedFields 仅含 baryon_gas_density），未包含暗物质粒子坐标、暗物质密度网格或二者配对元数据，因此 NyxViz无法在答卷内直接对比 「DM 团块 vs 气体 filament」的共演化差异。这一限制的影响在于：我们观察到的气体宇宙网分化，在物理上由 DM 势阱驱动，但本作品的证据链限定在重子流体可观测代理（密度场统计、气体刷选、Lyα 敏感对比度）层面。若扩展数据集，建议以yt同时加载 DM 与 gas 组件，比较二者 power spectrum / 两点相关差异，或在 ParaView 中叠加 DM 等值面与气体质心流线——可作为后续与赛题官方数据对齐的增强方向。</w:t>
      </w:r>
    </w:p>
    <w:p w14:paraId="4FA27EF7">
      <w:pPr>
        <w:pStyle w:val="4"/>
        <w:bidi w:val="0"/>
      </w:pPr>
      <w:r>
        <w:t>5.7 本地复现与一键交付</w:t>
      </w:r>
    </w:p>
    <w:p w14:paraId="524C2A5D">
      <w:pPr>
        <w:bidi w:val="0"/>
      </w:pPr>
      <w:r>
        <w:t>本地 Demo：赛题答卷以可本地复现为主（未部署公网服务器——赛题数据体积与许可限制）。评委可在 Windows/macOS/Linux 执行python run.py（自动 precompute、缺图补全、启动 Vite 并打开http://127.0.0.1:5173/app.html）。若无 Python/Node 环境，可先阅读§2.3刷选三联静态图与下文§5.8录屏说明，或观看随答卷提交的答辩 mp4（大会单独通道）。一键复现（Windows PowerShell）：powershell -File scripts/reproduce.ps1，顺序执行：npm install→precompute→figures→export-docx→submission-pack；体渲染截图需另跑npm run build; $env:CAPTURE_SCALE=2; npm run capture-volumes。等价命令见npm run deliver；工具链跨 Node/Python/Playwright，入口收敛为run.py与reproduce.ps1。</w:t>
      </w:r>
    </w:p>
    <w:p w14:paraId="68A50A1D">
      <w:pPr>
        <w:pStyle w:val="4"/>
        <w:bidi w:val="0"/>
      </w:pPr>
      <w:r>
        <w:t>5.8 交互体验与答辩附件（补充）</w:t>
      </w:r>
    </w:p>
    <w:p w14:paraId="34FBE2A7">
      <w:pPr>
        <w:bidi w:val="0"/>
      </w:pPr>
      <w:r>
        <w:t>本 Word 以静态拼接图为主；刷选三栏实时联动无法完全由纸面替代，建议：（1）静态替代：§2.3Top 1% 三联图（task4_brush_triptych.png）冻结「直方图→体渲染→投影」同一状态；（2）本地交互：/app.html 或/video.html?record=1（1920×1080 录屏布局，见 docs/competition/VIDEO_SCRIPT.md）；（3）答辩 mp4/GIF：按大会要求上传30–60 sOBS 录屏（推荐流程：Top 1% 预设→体渲染高亮→XY 投影金斑→切换纤维带 90–99%）；亦可导出 GIF 作附录，但本 docx不嵌入动图文件（体积与 Word 兼容性）。录屏分镜脚本见仓库docs/competition/VIDEO_SCRIPT.md。</w:t>
      </w:r>
    </w:p>
    <w:p w14:paraId="545E64B3">
      <w:pPr>
        <w:bidi w:val="0"/>
      </w:pPr>
      <w:r>
        <w:t>（见图21：刷选双行对比（Top 1% / Bottom 1%）：无本地环境时的静态交互替代示意，同图从略）</w:t>
      </w:r>
    </w:p>
    <w:p w14:paraId="2C54D573">
      <w:pPr>
        <w:jc w:val="center"/>
      </w:pPr>
      <w:r>
        <w:drawing>
          <wp:inline distT="0" distB="0" distL="114300" distR="114300">
            <wp:extent cx="4185920" cy="7065645"/>
            <wp:effectExtent l="0" t="0" r="508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706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D819">
      <w:pPr>
        <w:pStyle w:val="179"/>
        <w:bidi w:val="0"/>
      </w:pPr>
      <w:r>
        <w:t>图31 交互仪表盘信息图海报（hero + strip + story + brush + pie + flow 纵向拼接）</w:t>
      </w:r>
    </w:p>
    <w:p w14:paraId="60FAB8D8">
      <w:pPr>
        <w:pStyle w:val="3"/>
        <w:bidi w:val="0"/>
      </w:pPr>
      <w:r>
        <w:t>附录</w:t>
      </w:r>
    </w:p>
    <w:p w14:paraId="76227E40">
      <w:pPr>
        <w:pStyle w:val="4"/>
        <w:bidi w:val="0"/>
      </w:pPr>
      <w:r>
        <w:t>1 分析流程</w:t>
      </w:r>
    </w:p>
    <w:p w14:paraId="48C4BDB6">
      <w:pPr>
        <w:bidi w:val="0"/>
      </w:pPr>
      <w:r>
        <w:t>本作品聚焦 Nyx 气体密度时空演化分析，提出从粗粒度到细粒度的可视分析方案：用户先通过体渲染概览全局 void—filament—node 布局，再借助百步 log 直方图与 σ/分位跨度曲线量化分布漂移，最后以 Top/Bottom 1% 刷选将统计尾区与空间结构一一对应。七步流程图（Nyx 数据→预计算→体渲染→统计→刷选→验证→结论）如下。</w:t>
      </w:r>
    </w:p>
    <w:p w14:paraId="66140146">
      <w:pPr>
        <w:ind w:left="0" w:leftChars="0" w:firstLine="0" w:firstLineChars="0"/>
        <w:jc w:val="both"/>
      </w:pPr>
      <w:r>
        <w:drawing>
          <wp:inline distT="0" distB="0" distL="114300" distR="114300">
            <wp:extent cx="5759450" cy="1333500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4A39">
      <w:pPr>
        <w:pStyle w:val="179"/>
        <w:bidi w:val="0"/>
      </w:pPr>
      <w:r>
        <w:t>图32 系统分析流程：七步闭环（横向流程图拼接）</w:t>
      </w:r>
    </w:p>
    <w:p w14:paraId="34D0AFA7">
      <w:pPr>
        <w:pStyle w:val="4"/>
        <w:bidi w:val="0"/>
      </w:pPr>
      <w:r>
        <w:t>2 可视设计</w:t>
      </w:r>
    </w:p>
    <w:p w14:paraId="1A9BB100">
      <w:pPr>
        <w:pStyle w:val="5"/>
        <w:bidi w:val="0"/>
      </w:pPr>
      <w:r>
        <w:t>2.1 体渲染视图</w:t>
      </w:r>
    </w:p>
    <w:p w14:paraId="69FEA8EE">
      <w:pPr>
        <w:bidi w:val="0"/>
      </w:pPr>
      <w:r>
        <w:t>（1）视图设计：基于vtk.jsFullScreenRenderWindow 嵌入 React 容器，128³ 体素光线投射；cosmic 传递函数见正文§1.2与task1_transfer_function.png；交互页默认getGlobalTfDomain（百步 p01–p99 包络）+ 固定tfParams，拖动时间轴时 α(ρ) 映射不变；capture 条带另用 Evolution Profile，见 §1.2（5）。presentation 采样 sampleDistance=0.65，GPU 三线性纹理插值 + Phong（Ka/Kd/Ks=0.12/0.75/0.4）。左下角OrientationMarkerWidget显示 XYZ 正方向三轴（X 红 / Y 绿 / Z 蓝）。（2）交互设计：鼠标拖拽旋转、滚轮缩放；时间轴切换时间步；刷选命中体素通过传递函数二次高亮。（3）可复现参数：docs/figures/render_spec.json 导出相机、光源与 TF 控制点。</w:t>
      </w:r>
    </w:p>
    <w:p w14:paraId="587B99F1">
      <w:pPr>
        <w:pStyle w:val="5"/>
        <w:bidi w:val="0"/>
      </w:pPr>
      <w:r>
        <w:t>2.2 log 直方图与时序指标</w:t>
      </w:r>
    </w:p>
    <w:p w14:paraId="77F81343">
      <w:pPr>
        <w:bidi w:val="0"/>
      </w:pPr>
      <w:r>
        <w:t>（1）视图设计：D3.js SVG 直方图，128 bin 与离线预计算一致；迷你趋势图展示σ(t)、p99−p01(t)、Top 1%尾区变化。（2）交互设计：拖拽 brush 框选密度区间；点击预设按钮（Top 1%/纤维/Bottom 1%）；框选结果同步至体渲染与投影视图。</w:t>
      </w:r>
    </w:p>
    <w:p w14:paraId="40ED6BBE">
      <w:pPr>
        <w:pStyle w:val="5"/>
        <w:bidi w:val="0"/>
      </w:pPr>
      <w:r>
        <w:t>2.3 刷选与密度投影</w:t>
      </w:r>
    </w:p>
    <w:p w14:paraId="38474122">
      <w:pPr>
        <w:bidi w:val="0"/>
      </w:pPr>
      <w:r>
        <w:t>（1）视图设计：Web Worker 扫描刷选体素索引；Canvas 2D 最大密度投影与体渲染同色标；金色 overlay 标记刷选或filament亮脊。（2）交互设计：刷选区间实时更新高亮；清除按钮恢复默认传递函数；读数栏显示ρ区间与选中体积占比。</w:t>
      </w:r>
    </w:p>
    <w:p w14:paraId="34F3724D">
      <w:pPr>
        <w:pStyle w:val="5"/>
        <w:bidi w:val="0"/>
      </w:pPr>
      <w:r>
        <w:t>2.4 录屏页布局</w:t>
      </w:r>
    </w:p>
    <w:p w14:paraId="3BDB01E4">
      <w:pPr>
        <w:bidi w:val="0"/>
      </w:pPr>
      <w:r>
        <w:t>（1）视图设计：1920×1080 三栏布局——左：直方图 + KPI + 迷你趋势；中：体渲染画布（vd-vtk-canvas-wrap）+ 底栏全宽 log 密度色标；右：刷选直方图 + 四格空间投影预览 + 预设按钮；底部发现区四卡 + 页脚叙事。体渲染区左下角显示 XYZ 方向 gizmo（位于色条上方），cameraZoom≈1.1略放大主结构。（2）交互设计：与/app.html共用 store；?record=1隐藏导航链并弱化背景星尘，便于 OBS 录屏。</w:t>
      </w:r>
    </w:p>
    <w:p w14:paraId="3F1D9408">
      <w:pPr>
        <w:pStyle w:val="4"/>
        <w:bidi w:val="0"/>
      </w:pPr>
      <w:r>
        <w:t>3 数据预计算与配图</w:t>
      </w:r>
    </w:p>
    <w:p w14:paraId="1699F481">
      <w:pPr>
        <w:pStyle w:val="5"/>
        <w:bidi w:val="0"/>
      </w:pPr>
      <w:r>
        <w:t>3.1 timeline.json 字段</w:t>
      </w:r>
    </w:p>
    <w:p w14:paraId="147237FB">
      <w:pPr>
        <w:pStyle w:val="178"/>
        <w:bidi w:val="0"/>
      </w:pPr>
      <w:r>
        <w:t>表17 timeline.json 每时间步主要字段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1"/>
        <w:gridCol w:w="4431"/>
      </w:tblGrid>
      <w:tr w14:paraId="4554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EFADCB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字段</w:t>
            </w:r>
          </w:p>
        </w:tc>
        <w:tc>
          <w:tcPr>
            <w:tcW w:w="2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E5218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含义</w:t>
            </w:r>
          </w:p>
        </w:tc>
      </w:tr>
      <w:tr w14:paraId="57BD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34922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mean / std</w:t>
            </w:r>
          </w:p>
        </w:tc>
        <w:tc>
          <w:tcPr>
            <w:tcW w:w="2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ECF3E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全域均值与标准差</w:t>
            </w:r>
          </w:p>
        </w:tc>
      </w:tr>
      <w:tr w14:paraId="2C06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BD71E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p01 / p50 / p99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47D63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分位数</w:t>
            </w:r>
          </w:p>
        </w:tc>
      </w:tr>
      <w:tr w14:paraId="2D84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31CBB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skewness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1BE2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偏度（三阶矩）</w:t>
            </w:r>
          </w:p>
        </w:tc>
      </w:tr>
      <w:tr w14:paraId="0112B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89794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excessKurtosis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4EAC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超额峰度 κ−3</w:t>
            </w:r>
          </w:p>
        </w:tc>
      </w:tr>
      <w:tr w14:paraId="3B27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66B1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moransI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951A1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Moran's I 空间自相关（6 邻域 3D）</w:t>
            </w:r>
          </w:p>
        </w:tc>
      </w:tr>
      <w:tr w14:paraId="72EE7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39B2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xiR1 / xiR10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82310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两点相关 ξ 在 r=1、10 像素（XY 投影）</w:t>
            </w:r>
          </w:p>
        </w:tc>
      </w:tr>
      <w:tr w14:paraId="5985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44DD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xiHalfLength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EF639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ξ(r)&lt;0.5 半长（本数据集中两时刻均≈4px）</w:t>
            </w:r>
          </w:p>
        </w:tc>
      </w:tr>
      <w:tr w14:paraId="673AC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556F3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fractalDimP90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F1E1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P90 亮脊盒计数分形维数</w:t>
            </w:r>
          </w:p>
        </w:tc>
      </w:tr>
      <w:tr w14:paraId="4AC3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3D65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multiscaleEntropy8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90F88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8×8 粗粒化 Shannon 熵</w:t>
            </w:r>
          </w:p>
        </w:tc>
      </w:tr>
      <w:tr w14:paraId="6C948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E09CC6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tailMassAboveP99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4F297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≥p99 体素体积占比</w:t>
            </w:r>
          </w:p>
        </w:tc>
      </w:tr>
      <w:tr w14:paraId="0614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6C98A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massFractionAboveP99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266197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≥p99 体素质量占比</w:t>
            </w:r>
          </w:p>
        </w:tc>
      </w:tr>
      <w:tr w14:paraId="62E7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CAA27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histogram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7F93D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128-bin 概率质量 hist[b]=count_b/Σcount（单步 N=2,097,152）</w:t>
            </w:r>
          </w:p>
        </w:tc>
      </w:tr>
      <w:tr w14:paraId="54E2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7C4E5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voidFractionBelowT0P10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FE700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ρ≤ρ_p10(t=0) 的体素体积分数</w:t>
            </w:r>
          </w:p>
        </w:tc>
      </w:tr>
      <w:tr w14:paraId="5639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A463FE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voidFractionBelowT0P01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E41E3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ρ≤ρ_p01(t=0) 的体素体积分数</w:t>
            </w:r>
          </w:p>
        </w:tc>
      </w:tr>
      <w:tr w14:paraId="51EA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66D894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p25 / p75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37FBDF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四分位带（peak_drift 图）</w:t>
            </w:r>
          </w:p>
        </w:tc>
      </w:tr>
      <w:tr w14:paraId="6D5C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BADD9C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histogramMeta</w:t>
            </w:r>
          </w:p>
        </w:tc>
        <w:tc>
          <w:tcPr>
            <w:tcW w:w="2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541DE2">
            <w:pPr>
              <w:pStyle w:val="182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归一化公式、void 参考阈值、分箱说明</w:t>
            </w:r>
          </w:p>
        </w:tc>
      </w:tr>
    </w:tbl>
    <w:p w14:paraId="5C4657AB"/>
    <w:p w14:paraId="1E959777">
      <w:pPr>
        <w:pStyle w:val="5"/>
        <w:bidi w:val="0"/>
      </w:pPr>
      <w:r>
        <w:t>3.2 拼接图清单</w:t>
      </w:r>
    </w:p>
    <w:p w14:paraId="4E428646">
      <w:pPr>
        <w:bidi w:val="0"/>
      </w:pPr>
      <w:r>
        <w:t>generate_figures.py 生成的主要拼接图：task1_transfer_function（传递函数曲线）、task1_vol_strip（五帧横排）、task2_evolution_story（2×2 四联）、task3_evolution_metrics（三联）、task4_brush_triptych（三联）、task4_brush_rows（双行）、task4_threshold_comparison / task4_custom_brush_error / task4_projection_axes / task4_p88_sensitivity / task4_brush_precision（刷选验证补强）、task6_story_poster（长卷代表图）、task0_story_flow（七步流程）。体渲染单帧由 tools/node/capture_volumes.mjs（Playwright）截取。一键再生：npm run submission-pack。</w:t>
      </w:r>
    </w:p>
    <w:p w14:paraId="20048C64">
      <w:pPr>
        <w:pStyle w:val="5"/>
        <w:bidi w:val="0"/>
      </w:pPr>
      <w:r>
        <w:t>3.3 空间统计 bootstrap 复现</w:t>
      </w:r>
    </w:p>
    <w:p w14:paraId="2DD1DF79">
      <w:pPr>
        <w:bidi w:val="0"/>
      </w:pPr>
      <w:r>
        <w:t>validation_suite.py :: bootstrap_spatial_ci 在 t=0、t=99 各执行n=40次子窗口抽样（seed=42）。每步从 128³ 域内均匀随机选取64³子体积（空间块 bootstrap：各 replicate 独立随机平移原点；非像素级有放回重采样），在子体积上计算 Moran's I 与 XY 投影 ξ(r) 剖面。输出写入 public/stats/validation_extended.json 的 bootstrapSpatial.method、xiProfileBootstrap、moransIGlobal、xiR1Global。配图 task2_bootstrap_ci.png、task2_two_point_xi.png 由 generate_figures.py 读取同一 JSON。未做 Bonferroni/FDR——因全文不对 Moran's I / ξ 作显著性主张，仅作与 Δ 的对照参考。</w:t>
      </w:r>
    </w:p>
    <w:p w14:paraId="26E4BC49">
      <w:pPr>
        <w:pStyle w:val="5"/>
        <w:bidi w:val="0"/>
      </w:pPr>
      <w:r>
        <w:t>3.4 原始数据格式与轴向重排</w:t>
      </w:r>
    </w:p>
    <w:p w14:paraId="42930054">
      <w:pPr>
        <w:bidi w:val="0"/>
      </w:pPr>
      <w:r>
        <w:t>赛题每步文件 NNNN.dat 为2,097,152字节（128³×4），无文件头。单精度浮点采用IEEE-754 小端字节序；Python 以 np.fromfile(path, dtype='&lt;f4') 读取，TypeScript 以 fetch + Float32Array 直接映射同一字节序（Windows/x86 与赛题一致）。存储为z 最快变维（常记作 z→y→x）：相邻内存地址首先遍历 z，再 y，再 x。逻辑体素 (x,y,z) 与扁平下标关系为i = z + N·y + N²·x（N=128）。该顺序等价于将三维数组视为 volume[x,y,z] 并按 C 风格（行优先）展平，其中最内维为 z——与部分文献所称「列优先」在 z 维上的遍历一致。</w:t>
      </w:r>
    </w:p>
    <w:p w14:paraId="6DD2E8C8">
      <w:pPr>
        <w:pStyle w:val="178"/>
        <w:bidi w:val="0"/>
      </w:pPr>
      <w:r>
        <w:t>表18 读取链路与轴向约定</w:t>
      </w:r>
    </w:p>
    <w:tbl>
      <w:tblPr>
        <w:tblStyle w:val="4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2"/>
        <w:gridCol w:w="3075"/>
        <w:gridCol w:w="2893"/>
      </w:tblGrid>
      <w:tr w14:paraId="3D662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C217D42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环节</w:t>
            </w:r>
          </w:p>
        </w:tc>
        <w:tc>
          <w:tcPr>
            <w:tcW w:w="173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6D90D70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实现</w:t>
            </w:r>
          </w:p>
        </w:tc>
        <w:tc>
          <w:tcPr>
            <w:tcW w:w="16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A5320D8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轴向约定</w:t>
            </w:r>
          </w:p>
        </w:tc>
      </w:tr>
      <w:tr w14:paraId="53D8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B4A7B29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磁盘 → 内存</w:t>
            </w:r>
          </w:p>
        </w:tc>
        <w:tc>
          <w:tcPr>
            <w:tcW w:w="173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92494A9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fromfile / Float32Array</w:t>
            </w:r>
          </w:p>
        </w:tc>
        <w:tc>
          <w:tcPr>
            <w:tcW w:w="16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C9A07F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z-fast 一维缓冲，长度 128³</w:t>
            </w:r>
          </w:p>
        </w:tc>
      </w:tr>
      <w:tr w14:paraId="5A2E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4C8D0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Python 分析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82F30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reshape((128,128,128), order='C')</w:t>
            </w: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C59F9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`volume[x,y,z]`，与 flat_index 一致</w:t>
            </w:r>
          </w:p>
        </w:tc>
      </w:tr>
      <w:tr w14:paraId="2FF2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B07EC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TS 体素访问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88DBD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nyxLoader.flatIndex(x,y,z)</w:t>
            </w: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9430F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同上，用于刷选扫描与投影</w:t>
            </w:r>
          </w:p>
        </w:tc>
      </w:tr>
      <w:tr w14:paraId="3D0A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2D062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vtk.js 体渲染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94F4B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vtkConvert.worker Z_TO_VTK 查表重排</w:t>
            </w: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BE661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输出 x-fast：`vtkIdx = x + N·(y + N·z)`</w:t>
            </w:r>
          </w:p>
        </w:tc>
      </w:tr>
      <w:tr w14:paraId="6430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88D797D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一致性校验</w:t>
            </w:r>
          </w:p>
        </w:tc>
        <w:tc>
          <w:tcPr>
            <w:tcW w:w="173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569CF33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tools/python/verify_loader.py</w:t>
            </w:r>
          </w:p>
        </w:tc>
        <w:tc>
          <w:tcPr>
            <w:tcW w:w="16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C90A208">
            <w:pPr>
              <w:pStyle w:val="182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reshape 与 flat_index 逐点比对</w:t>
            </w:r>
          </w:p>
        </w:tc>
      </w:tr>
    </w:tbl>
    <w:p w14:paraId="50DAB55A"/>
    <w:p w14:paraId="7A7CB690">
      <w:pPr>
        <w:bidi w:val="0"/>
      </w:pPr>
      <w:r>
        <w:t>为何体渲染需 x-fast 而统计/刷选保留 z-fast？vtkImageData 点标量按x 最快线性存储；误用 z-fast 缓冲会导致体渲染伪影。投影、刷选 Worker 与 Python 预计算均在z-fast（flatIndex / reshape(C)）上访问，与磁盘 .dat 顺序一致，保证「统计—刷选—配图」体素级对齐。体渲染路径：vtkConvert.worker 在独立 Worker中执行 z-fast→x-fast 重映射：启动时预计算128³ 查表 Z_TO_VTK（一次性），每时间步对N=2,097,152标量做 O(N) 索引写入（约 8 MB 读写，典型5–20 ms，不阻塞主线程 UI）；结果缓存供时间轴复用。与主线程 numpy.transpose(...).copy() 相比，Worker 方案避免播放时 UI 卡顿，且刷选/统计模块无需跟随 vtk 轴向——两套布局各司其职、经 verify_loader.py 校验一致。</w:t>
      </w:r>
    </w:p>
    <w:p w14:paraId="31B7B158">
      <w:pPr>
        <w:pStyle w:val="4"/>
        <w:bidi w:val="0"/>
      </w:pPr>
      <w:r>
        <w:t>4 工具与环境</w:t>
      </w:r>
    </w:p>
    <w:p w14:paraId="36C0E215">
      <w:pPr>
        <w:bidi w:val="0"/>
      </w:pPr>
      <w:r>
        <w:t>前端：Vite、React、TypeScript、vtk.js、D3.js；预计算与静态图：Python（precompute.py、generate_figures.py、viz_style.py、projection_render.py、verify_loader.py）；体渲染截图：Playwright；自研 NyxViz 交互仪表盘（/app.html、/video.html、/）。天文领域常见工具yt、ParaView用于 AMR 级分析与 HPC 体视；本仓库聚焦赛题子体积的 Web 联动与作品说明可复现配图。全部统计数字可由 public/stats/timeline.json 复现，配图脚本与在线页面共用同一数据源。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2A523"/>
    <w:multiLevelType w:val="singleLevel"/>
    <w:tmpl w:val="C042A523"/>
    <w:lvl w:ilvl="0" w:tentative="0">
      <w:start w:val="1"/>
      <w:numFmt w:val="bullet"/>
      <w:pStyle w:val="24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C65EB986"/>
    <w:multiLevelType w:val="singleLevel"/>
    <w:tmpl w:val="C65EB986"/>
    <w:lvl w:ilvl="0" w:tentative="0">
      <w:start w:val="1"/>
      <w:numFmt w:val="bullet"/>
      <w:pStyle w:val="1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F4E2CD0F"/>
    <w:multiLevelType w:val="singleLevel"/>
    <w:tmpl w:val="F4E2CD0F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03031C35"/>
    <w:multiLevelType w:val="singleLevel"/>
    <w:tmpl w:val="03031C35"/>
    <w:lvl w:ilvl="0" w:tentative="0">
      <w:start w:val="1"/>
      <w:numFmt w:val="decimal"/>
      <w:pStyle w:val="21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1505233E"/>
    <w:multiLevelType w:val="singleLevel"/>
    <w:tmpl w:val="1505233E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63D7C869"/>
    <w:multiLevelType w:val="singleLevel"/>
    <w:tmpl w:val="63D7C869"/>
    <w:lvl w:ilvl="0" w:tentative="0">
      <w:start w:val="1"/>
      <w:numFmt w:val="bullet"/>
      <w:pStyle w:val="19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E080C"/>
    <w:rsid w:val="49290B4D"/>
    <w:rsid w:val="69047024"/>
    <w:rsid w:val="71C6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560" w:firstLineChars="200"/>
      <w:jc w:val="both"/>
    </w:pPr>
    <w:rPr>
      <w:rFonts w:ascii="Times New Roman" w:hAnsi="Times New Roman" w:eastAsia="宋体" w:cs="Times New Roman"/>
      <w:color w:val="000000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76"/>
    <w:qFormat/>
    <w:uiPriority w:val="0"/>
    <w:pPr>
      <w:keepNext/>
      <w:keepLines/>
      <w:spacing w:before="120" w:beforeLines="0" w:beforeAutospacing="0" w:after="120" w:afterLines="0" w:afterAutospacing="0" w:line="240" w:lineRule="auto"/>
      <w:ind w:firstLine="0" w:firstLineChars="0"/>
      <w:jc w:val="center"/>
      <w:outlineLvl w:val="0"/>
    </w:pPr>
    <w:rPr>
      <w:rFonts w:eastAsia="黑体"/>
      <w:kern w:val="44"/>
      <w:sz w:val="28"/>
    </w:rPr>
  </w:style>
  <w:style w:type="paragraph" w:styleId="4">
    <w:name w:val="heading 2"/>
    <w:basedOn w:val="5"/>
    <w:next w:val="1"/>
    <w:link w:val="177"/>
    <w:unhideWhenUsed/>
    <w:qFormat/>
    <w:uiPriority w:val="0"/>
    <w:pPr>
      <w:spacing w:before="120" w:after="120" w:line="240" w:lineRule="auto"/>
      <w:outlineLvl w:val="1"/>
    </w:pPr>
  </w:style>
  <w:style w:type="paragraph" w:styleId="5">
    <w:name w:val="heading 3"/>
    <w:basedOn w:val="1"/>
    <w:next w:val="1"/>
    <w:link w:val="173"/>
    <w:unhideWhenUsed/>
    <w:qFormat/>
    <w:uiPriority w:val="0"/>
    <w:pPr>
      <w:keepNext/>
      <w:keepLines/>
      <w:spacing w:before="120" w:beforeLines="0" w:beforeAutospacing="0" w:after="120" w:afterLines="0" w:afterAutospacing="0" w:line="240" w:lineRule="auto"/>
      <w:ind w:firstLine="0" w:firstLineChars="0"/>
      <w:jc w:val="left"/>
      <w:outlineLvl w:val="2"/>
    </w:pPr>
    <w:rPr>
      <w:rFonts w:eastAsia="黑体"/>
    </w:rPr>
  </w:style>
  <w:style w:type="paragraph" w:styleId="6">
    <w:name w:val="heading 4"/>
    <w:basedOn w:val="1"/>
    <w:next w:val="1"/>
    <w:link w:val="164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link w:val="165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link w:val="166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link w:val="167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link w:val="168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link w:val="169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1">
    <w:name w:val="Default Paragraph Font"/>
    <w:semiHidden/>
    <w:qFormat/>
    <w:uiPriority w:val="0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4">
    <w:name w:val="List Number"/>
    <w:basedOn w:val="1"/>
    <w:uiPriority w:val="0"/>
    <w:pPr>
      <w:numPr>
        <w:ilvl w:val="0"/>
        <w:numId w:val="2"/>
      </w:numPr>
    </w:pPr>
  </w:style>
  <w:style w:type="paragraph" w:styleId="1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6">
    <w:name w:val="List Bullet"/>
    <w:basedOn w:val="1"/>
    <w:uiPriority w:val="0"/>
    <w:pPr>
      <w:numPr>
        <w:ilvl w:val="0"/>
        <w:numId w:val="3"/>
      </w:numPr>
    </w:pPr>
  </w:style>
  <w:style w:type="paragraph" w:styleId="17">
    <w:name w:val="annotation text"/>
    <w:basedOn w:val="1"/>
    <w:qFormat/>
    <w:uiPriority w:val="0"/>
    <w:pPr>
      <w:jc w:val="left"/>
    </w:pPr>
  </w:style>
  <w:style w:type="paragraph" w:styleId="18">
    <w:name w:val="Body Text 3"/>
    <w:basedOn w:val="1"/>
    <w:link w:val="160"/>
    <w:qFormat/>
    <w:uiPriority w:val="0"/>
    <w:pPr>
      <w:spacing w:after="120" w:afterLines="0" w:afterAutospacing="0"/>
    </w:pPr>
    <w:rPr>
      <w:sz w:val="16"/>
    </w:rPr>
  </w:style>
  <w:style w:type="paragraph" w:styleId="19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0">
    <w:name w:val="Body Text"/>
    <w:basedOn w:val="1"/>
    <w:link w:val="158"/>
    <w:qFormat/>
    <w:uiPriority w:val="0"/>
    <w:rPr>
      <w:rFonts w:ascii="Times New Roman" w:hAnsi="Times New Roman" w:eastAsia="Time" w:cs="宋体"/>
      <w:szCs w:val="21"/>
      <w:lang w:eastAsia="en-US"/>
    </w:rPr>
  </w:style>
  <w:style w:type="paragraph" w:styleId="21">
    <w:name w:val="List Number 3"/>
    <w:basedOn w:val="1"/>
    <w:uiPriority w:val="0"/>
    <w:pPr>
      <w:numPr>
        <w:ilvl w:val="0"/>
        <w:numId w:val="5"/>
      </w:numPr>
    </w:pPr>
  </w:style>
  <w:style w:type="paragraph" w:styleId="22">
    <w:name w:val="List 2"/>
    <w:basedOn w:val="1"/>
    <w:qFormat/>
    <w:uiPriority w:val="0"/>
    <w:pPr>
      <w:ind w:left="100" w:leftChars="200" w:hanging="200" w:hangingChars="200"/>
    </w:pPr>
  </w:style>
  <w:style w:type="paragraph" w:styleId="23">
    <w:name w:val="List Continue"/>
    <w:basedOn w:val="1"/>
    <w:uiPriority w:val="0"/>
    <w:pPr>
      <w:spacing w:after="120" w:afterLines="0" w:afterAutospacing="0"/>
      <w:ind w:left="420" w:leftChars="200"/>
    </w:pPr>
  </w:style>
  <w:style w:type="paragraph" w:styleId="24">
    <w:name w:val="List Bullet 2"/>
    <w:basedOn w:val="1"/>
    <w:qFormat/>
    <w:uiPriority w:val="0"/>
    <w:pPr>
      <w:numPr>
        <w:ilvl w:val="0"/>
        <w:numId w:val="6"/>
      </w:numPr>
    </w:pPr>
  </w:style>
  <w:style w:type="paragraph" w:styleId="25">
    <w:name w:val="toc 3"/>
    <w:basedOn w:val="1"/>
    <w:next w:val="1"/>
    <w:qFormat/>
    <w:uiPriority w:val="0"/>
    <w:pPr>
      <w:ind w:left="840" w:leftChars="400"/>
    </w:pPr>
  </w:style>
  <w:style w:type="paragraph" w:styleId="26">
    <w:name w:val="Plain Text"/>
    <w:basedOn w:val="1"/>
    <w:qFormat/>
    <w:uiPriority w:val="0"/>
    <w:rPr>
      <w:rFonts w:ascii="宋体" w:hAnsi="Courier New"/>
    </w:rPr>
  </w:style>
  <w:style w:type="paragraph" w:styleId="27">
    <w:name w:val="Balloon Text"/>
    <w:basedOn w:val="1"/>
    <w:qFormat/>
    <w:uiPriority w:val="0"/>
    <w:rPr>
      <w:sz w:val="18"/>
    </w:rPr>
  </w:style>
  <w:style w:type="paragraph" w:styleId="28">
    <w:name w:val="footer"/>
    <w:basedOn w:val="1"/>
    <w:link w:val="17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9">
    <w:name w:val="header"/>
    <w:basedOn w:val="1"/>
    <w:link w:val="14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0">
    <w:name w:val="toc 1"/>
    <w:basedOn w:val="1"/>
    <w:next w:val="1"/>
    <w:qFormat/>
    <w:uiPriority w:val="0"/>
    <w:pPr>
      <w:ind w:firstLine="0" w:firstLineChars="0"/>
    </w:pPr>
  </w:style>
  <w:style w:type="paragraph" w:styleId="31">
    <w:name w:val="Subtitle"/>
    <w:basedOn w:val="1"/>
    <w:link w:val="156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32">
    <w:name w:val="List"/>
    <w:basedOn w:val="1"/>
    <w:uiPriority w:val="0"/>
    <w:pPr>
      <w:ind w:left="200" w:hanging="200" w:hangingChars="200"/>
    </w:pPr>
  </w:style>
  <w:style w:type="paragraph" w:styleId="33">
    <w:name w:val="toc 2"/>
    <w:basedOn w:val="1"/>
    <w:next w:val="1"/>
    <w:qFormat/>
    <w:uiPriority w:val="0"/>
    <w:pPr>
      <w:ind w:left="420" w:leftChars="200" w:firstLine="0" w:firstLineChars="0"/>
    </w:pPr>
  </w:style>
  <w:style w:type="paragraph" w:styleId="34">
    <w:name w:val="Body Text 2"/>
    <w:basedOn w:val="1"/>
    <w:link w:val="159"/>
    <w:uiPriority w:val="0"/>
    <w:pPr>
      <w:spacing w:after="120" w:afterLines="0" w:afterAutospacing="0" w:line="480" w:lineRule="auto"/>
    </w:pPr>
  </w:style>
  <w:style w:type="paragraph" w:styleId="35">
    <w:name w:val="List Continue 2"/>
    <w:basedOn w:val="1"/>
    <w:uiPriority w:val="0"/>
    <w:pPr>
      <w:spacing w:after="120" w:afterLines="0" w:afterAutospacing="0"/>
      <w:ind w:left="840" w:leftChars="400"/>
    </w:pPr>
  </w:style>
  <w:style w:type="paragraph" w:styleId="3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3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8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39">
    <w:name w:val="Title"/>
    <w:basedOn w:val="1"/>
    <w:link w:val="155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40">
    <w:name w:val="annotation subject"/>
    <w:basedOn w:val="17"/>
    <w:next w:val="17"/>
    <w:qFormat/>
    <w:uiPriority w:val="0"/>
    <w:rPr>
      <w:b/>
    </w:rPr>
  </w:style>
  <w:style w:type="table" w:styleId="42">
    <w:name w:val="Table Grid"/>
    <w:basedOn w:val="4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3">
    <w:name w:val="Light Shading"/>
    <w:basedOn w:val="41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41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41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41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41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41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41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41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41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41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41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41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41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41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41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41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41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41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2">
    <w:name w:val="Strong"/>
    <w:basedOn w:val="141"/>
    <w:qFormat/>
    <w:uiPriority w:val="0"/>
    <w:rPr>
      <w:b/>
    </w:rPr>
  </w:style>
  <w:style w:type="character" w:styleId="143">
    <w:name w:val="page number"/>
    <w:basedOn w:val="141"/>
    <w:qFormat/>
    <w:uiPriority w:val="0"/>
  </w:style>
  <w:style w:type="character" w:styleId="144">
    <w:name w:val="FollowedHyperlink"/>
    <w:basedOn w:val="141"/>
    <w:qFormat/>
    <w:uiPriority w:val="0"/>
    <w:rPr>
      <w:color w:val="800080"/>
      <w:u w:val="single"/>
    </w:rPr>
  </w:style>
  <w:style w:type="character" w:styleId="145">
    <w:name w:val="Emphasis"/>
    <w:basedOn w:val="141"/>
    <w:qFormat/>
    <w:uiPriority w:val="0"/>
    <w:rPr>
      <w:i/>
    </w:rPr>
  </w:style>
  <w:style w:type="character" w:styleId="146">
    <w:name w:val="Hyperlink"/>
    <w:basedOn w:val="141"/>
    <w:qFormat/>
    <w:uiPriority w:val="0"/>
    <w:rPr>
      <w:color w:val="0000FF"/>
      <w:u w:val="single"/>
    </w:rPr>
  </w:style>
  <w:style w:type="character" w:styleId="147">
    <w:name w:val="HTML Code"/>
    <w:basedOn w:val="141"/>
    <w:qFormat/>
    <w:uiPriority w:val="0"/>
    <w:rPr>
      <w:rFonts w:ascii="Courier New" w:hAnsi="Courier New"/>
      <w:sz w:val="20"/>
    </w:rPr>
  </w:style>
  <w:style w:type="character" w:styleId="148">
    <w:name w:val="annotation reference"/>
    <w:basedOn w:val="141"/>
    <w:qFormat/>
    <w:uiPriority w:val="0"/>
    <w:rPr>
      <w:sz w:val="21"/>
    </w:rPr>
  </w:style>
  <w:style w:type="character" w:customStyle="1" w:styleId="149">
    <w:name w:val="Header Char"/>
    <w:link w:val="29"/>
    <w:qFormat/>
    <w:uiPriority w:val="99"/>
    <w:rPr>
      <w:sz w:val="18"/>
    </w:rPr>
  </w:style>
  <w:style w:type="character" w:customStyle="1" w:styleId="150">
    <w:name w:val="Footer Char"/>
    <w:link w:val="28"/>
    <w:qFormat/>
    <w:uiPriority w:val="99"/>
    <w:rPr>
      <w:sz w:val="18"/>
    </w:rPr>
  </w:style>
  <w:style w:type="paragraph" w:styleId="15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2">
    <w:name w:val="Heading 1 Char"/>
    <w:link w:val="3"/>
    <w:qFormat/>
    <w:uiPriority w:val="9"/>
    <w:rPr>
      <w:rFonts w:eastAsia="黑体"/>
      <w:kern w:val="44"/>
      <w:sz w:val="28"/>
    </w:rPr>
  </w:style>
  <w:style w:type="character" w:customStyle="1" w:styleId="153">
    <w:name w:val="Heading 2 Char"/>
    <w:link w:val="4"/>
    <w:qFormat/>
    <w:uiPriority w:val="9"/>
  </w:style>
  <w:style w:type="character" w:customStyle="1" w:styleId="154">
    <w:name w:val="Heading 3 Char"/>
    <w:link w:val="5"/>
    <w:qFormat/>
    <w:uiPriority w:val="9"/>
    <w:rPr>
      <w:rFonts w:eastAsia="黑体"/>
    </w:rPr>
  </w:style>
  <w:style w:type="character" w:customStyle="1" w:styleId="155">
    <w:name w:val="Title Char"/>
    <w:link w:val="39"/>
    <w:qFormat/>
    <w:uiPriority w:val="10"/>
    <w:rPr>
      <w:rFonts w:ascii="Arial" w:hAnsi="Arial"/>
      <w:b/>
      <w:sz w:val="32"/>
    </w:rPr>
  </w:style>
  <w:style w:type="character" w:customStyle="1" w:styleId="156">
    <w:name w:val="Subtitle Char"/>
    <w:link w:val="31"/>
    <w:uiPriority w:val="11"/>
    <w:rPr>
      <w:rFonts w:ascii="Arial" w:hAnsi="Arial"/>
      <w:b/>
      <w:kern w:val="28"/>
      <w:sz w:val="32"/>
    </w:rPr>
  </w:style>
  <w:style w:type="paragraph" w:styleId="157">
    <w:name w:val="List Paragraph"/>
    <w:basedOn w:val="1"/>
    <w:qFormat/>
    <w:uiPriority w:val="34"/>
    <w:pPr>
      <w:ind w:left="720"/>
      <w:contextualSpacing/>
    </w:pPr>
  </w:style>
  <w:style w:type="character" w:customStyle="1" w:styleId="158">
    <w:name w:val="Body Text Char"/>
    <w:link w:val="20"/>
    <w:uiPriority w:val="99"/>
    <w:rPr>
      <w:rFonts w:ascii="Times New Roman" w:hAnsi="Times New Roman" w:eastAsia="Time" w:cs="宋体"/>
      <w:szCs w:val="21"/>
      <w:lang w:eastAsia="en-US"/>
    </w:rPr>
  </w:style>
  <w:style w:type="character" w:customStyle="1" w:styleId="159">
    <w:name w:val="Body Text 2 Char"/>
    <w:link w:val="34"/>
    <w:qFormat/>
    <w:uiPriority w:val="99"/>
  </w:style>
  <w:style w:type="character" w:customStyle="1" w:styleId="160">
    <w:name w:val="Body Text 3 Char"/>
    <w:link w:val="18"/>
    <w:uiPriority w:val="99"/>
    <w:rPr>
      <w:sz w:val="16"/>
    </w:rPr>
  </w:style>
  <w:style w:type="character" w:customStyle="1" w:styleId="161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2">
    <w:name w:val="Quote"/>
    <w:basedOn w:val="1"/>
    <w:next w:val="1"/>
    <w:link w:val="16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3">
    <w:name w:val="Quote Char"/>
    <w:basedOn w:val="141"/>
    <w:link w:val="16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4">
    <w:name w:val="Heading 4 Char"/>
    <w:link w:val="6"/>
    <w:semiHidden/>
    <w:uiPriority w:val="9"/>
    <w:rPr>
      <w:rFonts w:ascii="Arial" w:hAnsi="Arial" w:eastAsia="黑体"/>
      <w:b/>
      <w:sz w:val="28"/>
    </w:rPr>
  </w:style>
  <w:style w:type="character" w:customStyle="1" w:styleId="165">
    <w:name w:val="Heading 5 Char"/>
    <w:link w:val="7"/>
    <w:semiHidden/>
    <w:qFormat/>
    <w:uiPriority w:val="9"/>
    <w:rPr>
      <w:b/>
      <w:sz w:val="28"/>
    </w:rPr>
  </w:style>
  <w:style w:type="character" w:customStyle="1" w:styleId="166">
    <w:name w:val="Heading 6 Char"/>
    <w:link w:val="8"/>
    <w:semiHidden/>
    <w:qFormat/>
    <w:uiPriority w:val="9"/>
    <w:rPr>
      <w:rFonts w:ascii="Arial" w:hAnsi="Arial" w:eastAsia="黑体"/>
      <w:b/>
      <w:sz w:val="24"/>
    </w:rPr>
  </w:style>
  <w:style w:type="character" w:customStyle="1" w:styleId="167">
    <w:name w:val="Heading 7 Char"/>
    <w:link w:val="9"/>
    <w:semiHidden/>
    <w:qFormat/>
    <w:uiPriority w:val="9"/>
    <w:rPr>
      <w:b/>
      <w:sz w:val="24"/>
    </w:rPr>
  </w:style>
  <w:style w:type="character" w:customStyle="1" w:styleId="168">
    <w:name w:val="Heading 8 Char"/>
    <w:link w:val="10"/>
    <w:semiHidden/>
    <w:qFormat/>
    <w:uiPriority w:val="9"/>
    <w:rPr>
      <w:rFonts w:ascii="Arial" w:hAnsi="Arial" w:eastAsia="黑体"/>
      <w:sz w:val="24"/>
    </w:rPr>
  </w:style>
  <w:style w:type="character" w:customStyle="1" w:styleId="169">
    <w:name w:val="Heading 9 Char"/>
    <w:link w:val="11"/>
    <w:semiHidden/>
    <w:qFormat/>
    <w:uiPriority w:val="9"/>
    <w:rPr>
      <w:rFonts w:ascii="Arial" w:hAnsi="Arial" w:eastAsia="黑体"/>
      <w:sz w:val="21"/>
    </w:rPr>
  </w:style>
  <w:style w:type="paragraph" w:styleId="170">
    <w:name w:val="Intense Quote"/>
    <w:basedOn w:val="1"/>
    <w:next w:val="1"/>
    <w:link w:val="17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1">
    <w:name w:val="Intense Quote Char"/>
    <w:basedOn w:val="141"/>
    <w:link w:val="17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2">
    <w:name w:val="标题 1 Char"/>
    <w:link w:val="3"/>
    <w:qFormat/>
    <w:uiPriority w:val="0"/>
    <w:rPr>
      <w:rFonts w:eastAsia="黑体"/>
      <w:kern w:val="44"/>
      <w:sz w:val="28"/>
    </w:rPr>
  </w:style>
  <w:style w:type="character" w:customStyle="1" w:styleId="173">
    <w:name w:val="标题 3 字符"/>
    <w:link w:val="5"/>
    <w:semiHidden/>
    <w:qFormat/>
    <w:uiPriority w:val="0"/>
    <w:rPr>
      <w:rFonts w:eastAsia="黑体"/>
    </w:rPr>
  </w:style>
  <w:style w:type="character" w:customStyle="1" w:styleId="174">
    <w:name w:val="标题 2 Char"/>
    <w:link w:val="4"/>
    <w:qFormat/>
    <w:uiPriority w:val="0"/>
  </w:style>
  <w:style w:type="character" w:customStyle="1" w:styleId="175">
    <w:name w:val="页脚 字符"/>
    <w:link w:val="28"/>
    <w:qFormat/>
    <w:uiPriority w:val="99"/>
    <w:rPr>
      <w:sz w:val="18"/>
    </w:rPr>
  </w:style>
  <w:style w:type="character" w:customStyle="1" w:styleId="176">
    <w:name w:val="标题 1 字符"/>
    <w:link w:val="3"/>
    <w:qFormat/>
    <w:uiPriority w:val="0"/>
    <w:rPr>
      <w:rFonts w:eastAsia="黑体"/>
      <w:kern w:val="44"/>
      <w:sz w:val="28"/>
    </w:rPr>
  </w:style>
  <w:style w:type="character" w:customStyle="1" w:styleId="177">
    <w:name w:val="标题 2 字符"/>
    <w:link w:val="4"/>
    <w:semiHidden/>
    <w:qFormat/>
    <w:uiPriority w:val="0"/>
  </w:style>
  <w:style w:type="paragraph" w:customStyle="1" w:styleId="178">
    <w:name w:val="表标题"/>
    <w:basedOn w:val="1"/>
    <w:next w:val="1"/>
    <w:qFormat/>
    <w:uiPriority w:val="0"/>
    <w:pPr>
      <w:ind w:firstLine="0" w:firstLineChars="0"/>
      <w:jc w:val="center"/>
    </w:pPr>
    <w:rPr>
      <w:rFonts w:eastAsia="楷体_GB2312"/>
      <w:szCs w:val="21"/>
    </w:rPr>
  </w:style>
  <w:style w:type="paragraph" w:customStyle="1" w:styleId="179">
    <w:name w:val="图标题"/>
    <w:basedOn w:val="1"/>
    <w:qFormat/>
    <w:uiPriority w:val="0"/>
    <w:pPr>
      <w:ind w:firstLine="0" w:firstLineChars="0"/>
      <w:jc w:val="center"/>
    </w:pPr>
    <w:rPr>
      <w:rFonts w:eastAsia="楷体_GB2312"/>
      <w:szCs w:val="21"/>
    </w:rPr>
  </w:style>
  <w:style w:type="table" w:customStyle="1" w:styleId="18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1">
    <w:name w:val="代码"/>
    <w:basedOn w:val="1"/>
    <w:qFormat/>
    <w:uiPriority w:val="0"/>
    <w:pPr>
      <w:wordWrap w:val="0"/>
      <w:ind w:firstLine="0" w:firstLineChars="0"/>
    </w:pPr>
  </w:style>
  <w:style w:type="paragraph" w:customStyle="1" w:styleId="182">
    <w:name w:val="表格"/>
    <w:basedOn w:val="1"/>
    <w:qFormat/>
    <w:uiPriority w:val="0"/>
    <w:pPr>
      <w:ind w:firstLine="0" w:firstLineChars="0"/>
      <w:jc w:val="center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3350</Words>
  <Characters>5724</Characters>
  <Lines>0</Lines>
  <Paragraphs>0</Paragraphs>
  <TotalTime>21</TotalTime>
  <ScaleCrop>false</ScaleCrop>
  <LinksUpToDate>false</LinksUpToDate>
  <CharactersWithSpaces>6101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zhk</cp:lastModifiedBy>
  <dcterms:modified xsi:type="dcterms:W3CDTF">2026-06-05T07:21:39Z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eyJoZGlkIjoiMjRmYjc5YzRhZTBkMzc2Y2I0MWRkMjBjZTllYzliZWIiLCJ1c2VySWQiOiI1NDM0MTIyMTQifQ==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B9D50709A755477CB13850DD62025182_12</vt:lpwstr>
  </property>
</Properties>
</file>