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22A8E">
      <w:pPr>
        <w:rPr>
          <w:b/>
          <w:bCs/>
          <w:sz w:val="32"/>
          <w:szCs w:val="36"/>
        </w:rPr>
      </w:pPr>
      <w:bookmarkStart w:id="0" w:name="_GoBack"/>
      <w:bookmarkEnd w:id="0"/>
      <w:r>
        <w:rPr>
          <w:b/>
          <w:bCs/>
          <w:sz w:val="32"/>
          <w:szCs w:val="36"/>
        </w:rPr>
        <w:t>训练策略与方法</w:t>
      </w:r>
    </w:p>
    <w:p w14:paraId="36F76D8B">
      <w:pPr>
        <w:jc w:val="both"/>
        <w:rPr>
          <w:rFonts w:ascii="Times New Roman" w:hAnsi="Times New Roman" w:cs="Times New Roman"/>
        </w:rPr>
      </w:pPr>
      <w:r>
        <w:rPr>
          <w:rFonts w:ascii="Times New Roman" w:hAnsi="Times New Roman" w:cs="Times New Roman"/>
        </w:rPr>
        <w:t>在本研究中，我们采用了一套针对 3D CBCT 半监督分割任务优化的训练策略体系。总体流程以 Mean Teacher 框架为核心，结合非对称一致性增广策略（asymmetric strong–weak consistency）以及温度缩放的 KL 一致性（temperature-scaled KL consistency），通过在有标签与无标签数据上施加多层次一致性约束，使学生网络在训练过程中逐渐逼近教师网络的稳定预测，从而显著提升模型在有限标注数据条件下的性能。</w:t>
      </w:r>
    </w:p>
    <w:p w14:paraId="003A63B9">
      <w:pPr>
        <w:jc w:val="both"/>
        <w:rPr>
          <w:rFonts w:hint="eastAsia" w:hAnsi="sans-serif" w:eastAsia="sans-serif" w:cs="sans-serif"/>
          <w:i w:val="0"/>
          <w:kern w:val="0"/>
          <w:sz w:val="24"/>
          <w:szCs w:val="24"/>
          <w:lang w:val="en-US" w:eastAsia="zh-CN" w:bidi="ar"/>
          <w14:ligatures w14:val="standardContextual"/>
        </w:rPr>
      </w:pPr>
      <m:oMathPara>
        <m:oMath>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Total</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CE</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Dice</m:t>
              </m:r>
              <m:ctrlPr>
                <w:rPr>
                  <w:rFonts w:ascii="Cambria Math" w:hAnsi="Cambria Math" w:eastAsia="sans-serif"/>
                  <w:sz w:val="24"/>
                </w:rPr>
              </m:ctrlPr>
            </m:sub>
          </m:sSub>
        </m:oMath>
      </m:oMathPara>
    </w:p>
    <w:p w14:paraId="0B141A79">
      <w:pPr>
        <w:pStyle w:val="31"/>
        <w:numPr>
          <w:ilvl w:val="0"/>
          <w:numId w:val="1"/>
        </w:numPr>
        <w:rPr>
          <w:rFonts w:ascii="Times New Roman" w:hAnsi="Times New Roman" w:cs="Times New Roman"/>
          <w:b/>
          <w:bCs/>
          <w:sz w:val="24"/>
          <w:szCs w:val="28"/>
        </w:rPr>
      </w:pPr>
      <w:r>
        <w:rPr>
          <w:rFonts w:ascii="Times New Roman" w:hAnsi="Times New Roman" w:cs="Times New Roman"/>
          <w:b/>
          <w:bCs/>
          <w:sz w:val="24"/>
          <w:szCs w:val="28"/>
        </w:rPr>
        <w:t>Mean Teacher 框架（Mean Teacher Framework）</w:t>
      </w:r>
    </w:p>
    <w:p w14:paraId="2087F831">
      <w:pPr>
        <w:jc w:val="both"/>
        <w:rPr>
          <w:rFonts w:ascii="Times New Roman" w:hAnsi="Times New Roman" w:cs="Times New Roman"/>
        </w:rPr>
      </w:pPr>
      <w:r>
        <w:rPr>
          <w:rFonts w:ascii="Times New Roman" w:hAnsi="Times New Roman" w:cs="Times New Roman"/>
        </w:rPr>
        <w:t>整个训练体系的基础结构为标准的 Mean Teacher（MT）框架。MT 框架由教师网络（teacher）与学生网络（student）组成，两者具有相同的结构，但参数更新方式不同：</w:t>
      </w:r>
    </w:p>
    <w:p w14:paraId="062FB92F">
      <w:pPr>
        <w:jc w:val="both"/>
        <w:rPr>
          <w:rFonts w:ascii="Times New Roman" w:hAnsi="Times New Roman" w:cs="Times New Roman"/>
        </w:rPr>
      </w:pPr>
      <w:r>
        <w:rPr>
          <w:rFonts w:ascii="Times New Roman" w:hAnsi="Times New Roman" w:cs="Times New Roman"/>
          <w:b/>
          <w:bCs/>
        </w:rPr>
        <w:t>学生网络（student）</w:t>
      </w:r>
      <w:r>
        <w:rPr>
          <w:rFonts w:ascii="Times New Roman" w:hAnsi="Times New Roman" w:cs="Times New Roman"/>
        </w:rPr>
        <w:br w:type="textWrapping"/>
      </w:r>
      <w:r>
        <w:rPr>
          <w:rFonts w:ascii="Times New Roman" w:hAnsi="Times New Roman" w:cs="Times New Roman"/>
        </w:rPr>
        <w:t>接受前向训练并直接参与梯度反向传播；有标签数据通过 DiceCE（Dice + CrossEntropy）监督学习目标；无标签数据依赖一致性损失进行训练。</w:t>
      </w:r>
    </w:p>
    <w:p w14:paraId="6FDFF3EC">
      <w:pPr>
        <w:jc w:val="both"/>
        <w:rPr>
          <w:rFonts w:ascii="Times New Roman" w:hAnsi="Times New Roman" w:cs="Times New Roman"/>
        </w:rPr>
      </w:pPr>
      <w:r>
        <w:rPr>
          <w:rFonts w:ascii="Times New Roman" w:hAnsi="Times New Roman" w:cs="Times New Roman"/>
          <w:b/>
          <w:bCs/>
        </w:rPr>
        <w:t>教师网络（teacher）</w:t>
      </w:r>
      <w:r>
        <w:rPr>
          <w:rFonts w:ascii="Times New Roman" w:hAnsi="Times New Roman" w:cs="Times New Roman"/>
        </w:rPr>
        <w:br w:type="textWrapping"/>
      </w:r>
      <w:r>
        <w:rPr>
          <w:rFonts w:ascii="Times New Roman" w:hAnsi="Times New Roman" w:cs="Times New Roman"/>
        </w:rPr>
        <w:t>不参与反向传播，而是通过对学生网络参数执行 指数滑动平均</w:t>
      </w:r>
      <w:r>
        <w:rPr>
          <w:rFonts w:hint="eastAsia" w:ascii="Times New Roman" w:hAnsi="Times New Roman" w:cs="Times New Roman"/>
        </w:rPr>
        <w:t>（</w:t>
      </w:r>
      <w:r>
        <w:rPr>
          <w:rFonts w:ascii="Times New Roman" w:hAnsi="Times New Roman" w:cs="Times New Roman"/>
        </w:rPr>
        <w:t>EMA, Exponential Moving Average）来进行更新，更新方式为</w:t>
      </w:r>
      <w:r>
        <w:rPr>
          <w:rFonts w:hint="eastAsia" w:ascii="Times New Roman" w:hAnsi="Times New Roman" w:cs="Times New Roman"/>
        </w:rPr>
        <w:t>：</w:t>
      </w:r>
    </w:p>
    <w:p w14:paraId="3B33D4B5">
      <w:pPr>
        <w:jc w:val="center"/>
        <w:rPr>
          <w:rFonts w:hint="eastAsia" w:ascii="Times New Roman" w:hAnsi="Times New Roman" w:cs="Times New Roman"/>
        </w:rPr>
      </w:pPr>
      <w:r>
        <w:rPr>
          <w:rFonts w:ascii="Times New Roman" w:hAnsi="Times New Roman" w:cs="Times New Roman"/>
          <w:position w:val="-6"/>
        </w:rPr>
        <w:object>
          <v:shape id="_x0000_i1025" o:spt="75" type="#_x0000_t75" style="height:15.05pt;width:175.9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14:paraId="01EDEA11">
      <w:pPr>
        <w:jc w:val="both"/>
        <w:rPr>
          <w:rFonts w:ascii="Times New Roman" w:hAnsi="Times New Roman" w:cs="Times New Roman"/>
        </w:rPr>
      </w:pPr>
      <w:r>
        <w:rPr>
          <w:rFonts w:hint="eastAsia" w:ascii="Times New Roman" w:hAnsi="Times New Roman" w:cs="Times New Roman"/>
        </w:rPr>
        <w:t>教师网络由于 EMA 的稳定特性，可以获得平滑且更可靠的预测，因此适合作为半监督一致性约束的“软标签”来源。</w:t>
      </w:r>
    </w:p>
    <w:p w14:paraId="746FBD98">
      <w:pPr>
        <w:jc w:val="both"/>
        <w:rPr>
          <w:rFonts w:ascii="Times New Roman" w:hAnsi="Times New Roman" w:cs="Times New Roman"/>
          <w:b/>
          <w:bCs/>
        </w:rPr>
      </w:pPr>
      <w:r>
        <w:rPr>
          <w:rFonts w:ascii="Times New Roman" w:hAnsi="Times New Roman" w:cs="Times New Roman"/>
          <w:b/>
          <w:bCs/>
        </w:rPr>
        <w:t>监督与无监督分支结构一致</w:t>
      </w:r>
    </w:p>
    <w:p w14:paraId="548E146D">
      <w:pPr>
        <w:jc w:val="both"/>
        <w:rPr>
          <w:rFonts w:ascii="Times New Roman" w:hAnsi="Times New Roman" w:cs="Times New Roman"/>
        </w:rPr>
      </w:pPr>
      <w:r>
        <w:rPr>
          <w:rFonts w:ascii="Times New Roman" w:hAnsi="Times New Roman" w:cs="Times New Roman"/>
        </w:rPr>
        <w:t>在有标签数据路径中，学生网络学习明确监督信号；在无标签路径中，教师网络对相同输入（弱增广）生成伪标签，学生网络对经过强增广的样本进行预测并计算一致性损失。</w:t>
      </w:r>
    </w:p>
    <w:p w14:paraId="6CCE7FBC">
      <w:pPr>
        <w:jc w:val="both"/>
        <w:rPr>
          <w:rFonts w:hint="eastAsia" w:ascii="Times New Roman" w:hAnsi="Times New Roman" w:cs="Times New Roman"/>
        </w:rPr>
      </w:pPr>
      <w:r>
        <w:rPr>
          <w:rFonts w:ascii="Times New Roman" w:hAnsi="Times New Roman" w:cs="Times New Roman"/>
        </w:rPr>
        <w:t>由于 3D CBCT 数据往往标注成本极高，完全监督方法难以获得足够的训练样本，因此采用 Mean Teacher 框架能够有效利用大量无标签数据，增强模型泛化性。</w:t>
      </w:r>
    </w:p>
    <w:p w14:paraId="37ACFCD1">
      <w:pPr>
        <w:pStyle w:val="31"/>
        <w:numPr>
          <w:ilvl w:val="0"/>
          <w:numId w:val="1"/>
        </w:numPr>
        <w:jc w:val="both"/>
        <w:rPr>
          <w:rFonts w:ascii="Times New Roman" w:hAnsi="Times New Roman" w:cs="Times New Roman"/>
          <w:b/>
          <w:bCs/>
          <w:sz w:val="24"/>
          <w:szCs w:val="28"/>
        </w:rPr>
      </w:pPr>
      <w:r>
        <w:rPr>
          <w:rFonts w:ascii="Times New Roman" w:hAnsi="Times New Roman" w:cs="Times New Roman"/>
          <w:b/>
          <w:bCs/>
          <w:sz w:val="24"/>
          <w:szCs w:val="28"/>
        </w:rPr>
        <w:t>一致性损失（Consistency Loss）中的增强不对称策略</w:t>
      </w:r>
    </w:p>
    <w:p w14:paraId="1FB3C917">
      <w:pPr>
        <w:jc w:val="both"/>
        <w:rPr>
          <w:rFonts w:ascii="Times New Roman" w:hAnsi="Times New Roman" w:cs="Times New Roman"/>
        </w:rPr>
      </w:pPr>
      <w:r>
        <w:rPr>
          <w:rFonts w:ascii="Times New Roman" w:hAnsi="Times New Roman" w:cs="Times New Roman"/>
        </w:rPr>
        <w:t>在一致性约束部分，我们采用强弱增广不对称策略</w:t>
      </w:r>
    </w:p>
    <w:p w14:paraId="27191E7F">
      <w:pPr>
        <w:jc w:val="both"/>
        <w:rPr>
          <w:rFonts w:hint="eastAsia" w:ascii="Times New Roman" w:hAnsi="Times New Roman" w:cs="Times New Roman"/>
          <w:b/>
          <w:bCs/>
        </w:rPr>
      </w:pPr>
      <w:r>
        <w:rPr>
          <w:rFonts w:ascii="Times New Roman" w:hAnsi="Times New Roman" w:cs="Times New Roman"/>
          <w:b/>
          <w:bCs/>
        </w:rPr>
        <w:t>教师分支采用弱增强</w:t>
      </w:r>
    </w:p>
    <w:p w14:paraId="06FEE7A0">
      <w:pPr>
        <w:jc w:val="both"/>
        <w:rPr>
          <w:rFonts w:ascii="Times New Roman" w:hAnsi="Times New Roman" w:cs="Times New Roman"/>
        </w:rPr>
      </w:pPr>
      <w:r>
        <w:rPr>
          <w:rFonts w:ascii="Times New Roman" w:hAnsi="Times New Roman" w:cs="Times New Roman"/>
        </w:rPr>
        <w:t>对于无标签样本，教师网络获得的输入只施加轻度扰动，如：</w:t>
      </w:r>
    </w:p>
    <w:p w14:paraId="7C088A70">
      <w:pPr>
        <w:jc w:val="both"/>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随机裁剪或翻转；</w:t>
      </w:r>
    </w:p>
    <w:p w14:paraId="6EB3D60F">
      <w:pPr>
        <w:jc w:val="both"/>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轻度噪声；</w:t>
      </w:r>
    </w:p>
    <w:p w14:paraId="0427E288">
      <w:pPr>
        <w:jc w:val="both"/>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简单几何变化。</w:t>
      </w:r>
    </w:p>
    <w:p w14:paraId="092A303C">
      <w:pPr>
        <w:jc w:val="both"/>
        <w:rPr>
          <w:rFonts w:ascii="Times New Roman" w:hAnsi="Times New Roman" w:cs="Times New Roman"/>
        </w:rPr>
      </w:pPr>
      <w:r>
        <w:rPr>
          <w:rFonts w:ascii="Times New Roman" w:hAnsi="Times New Roman" w:cs="Times New Roman"/>
        </w:rPr>
        <w:t>弱增强的目的在于保持教师预测的稳定性，从而产生高质量的伪标签。</w:t>
      </w:r>
    </w:p>
    <w:p w14:paraId="038A1181">
      <w:pPr>
        <w:jc w:val="both"/>
        <w:rPr>
          <w:rFonts w:ascii="Times New Roman" w:hAnsi="Times New Roman" w:cs="Times New Roman"/>
          <w:b/>
          <w:bCs/>
        </w:rPr>
      </w:pPr>
      <w:r>
        <w:rPr>
          <w:rFonts w:ascii="Times New Roman" w:hAnsi="Times New Roman" w:cs="Times New Roman"/>
          <w:b/>
          <w:bCs/>
        </w:rPr>
        <w:t>学生分支采用强增强</w:t>
      </w:r>
    </w:p>
    <w:p w14:paraId="36651674">
      <w:pPr>
        <w:jc w:val="both"/>
        <w:rPr>
          <w:rFonts w:ascii="Times New Roman" w:hAnsi="Times New Roman" w:cs="Times New Roman"/>
        </w:rPr>
      </w:pPr>
      <w:r>
        <w:rPr>
          <w:rFonts w:ascii="Times New Roman" w:hAnsi="Times New Roman" w:cs="Times New Roman"/>
        </w:rPr>
        <w:t>最终计算学生网络在强增强后预测结果与教师网络预测结果之间的差异，使强弱增广后的预测保持一致。这一策略能够有效提升无标签数据的利用效率，使模型在数据扰动下仍保持稳定的语义理解能力，从而提升分割精度。</w:t>
      </w:r>
    </w:p>
    <w:p w14:paraId="784B1F49">
      <w:pPr>
        <w:pStyle w:val="31"/>
        <w:numPr>
          <w:ilvl w:val="0"/>
          <w:numId w:val="1"/>
        </w:numPr>
        <w:jc w:val="both"/>
        <w:rPr>
          <w:rFonts w:ascii="Times New Roman" w:hAnsi="Times New Roman" w:cs="Times New Roman"/>
          <w:b/>
          <w:bCs/>
          <w:sz w:val="24"/>
          <w:szCs w:val="28"/>
        </w:rPr>
      </w:pPr>
      <w:r>
        <w:rPr>
          <w:rFonts w:ascii="Times New Roman" w:hAnsi="Times New Roman" w:cs="Times New Roman"/>
          <w:b/>
          <w:bCs/>
          <w:sz w:val="24"/>
          <w:szCs w:val="28"/>
        </w:rPr>
        <w:t>温度缩放 + KL 一致性（temperature-scaled KL consistency）</w:t>
      </w:r>
    </w:p>
    <w:p w14:paraId="0A2C7C06">
      <w:pPr>
        <w:jc w:val="both"/>
        <w:rPr>
          <w:rFonts w:hint="eastAsia" w:ascii="Times New Roman" w:hAnsi="Times New Roman" w:cs="Times New Roman"/>
        </w:rPr>
      </w:pPr>
      <w:r>
        <w:rPr>
          <w:rFonts w:ascii="Times New Roman" w:hAnsi="Times New Roman" w:cs="Times New Roman"/>
        </w:rPr>
        <w:t>为进一步增强伪标签与学生预测之间的稳定约束，我们引入了温度缩放（Temperature Scaling）与 KL 散度一致性损失。</w:t>
      </w:r>
    </w:p>
    <w:p w14:paraId="725D58F5">
      <w:pPr>
        <w:jc w:val="both"/>
        <w:rPr>
          <w:rFonts w:ascii="Times New Roman" w:hAnsi="Times New Roman" w:cs="Times New Roman"/>
          <w:b/>
          <w:bCs/>
        </w:rPr>
      </w:pPr>
      <w:r>
        <w:rPr>
          <w:rFonts w:ascii="Times New Roman" w:hAnsi="Times New Roman" w:cs="Times New Roman"/>
          <w:b/>
          <w:bCs/>
        </w:rPr>
        <w:t>温度缩放（T-scaling）</w:t>
      </w:r>
    </w:p>
    <w:p w14:paraId="5FEC6ECD">
      <w:pPr>
        <w:jc w:val="both"/>
        <w:rPr>
          <w:rFonts w:ascii="Times New Roman" w:hAnsi="Times New Roman" w:cs="Times New Roman"/>
        </w:rPr>
      </w:pPr>
      <w:r>
        <w:rPr>
          <w:rFonts w:hint="eastAsia" w:ascii="Times New Roman" w:hAnsi="Times New Roman" w:cs="Times New Roman"/>
        </w:rPr>
        <w:t>对教师和学生的 logits 进行温度除法：</w:t>
      </w:r>
    </w:p>
    <w:p w14:paraId="665D587A">
      <w:pPr>
        <w:jc w:val="center"/>
        <w:rPr>
          <w:rFonts w:ascii="Times New Roman" w:hAnsi="Times New Roman" w:cs="Times New Roman"/>
        </w:rPr>
      </w:pPr>
      <w:r>
        <w:rPr>
          <w:rFonts w:ascii="Times New Roman" w:hAnsi="Times New Roman" w:cs="Times New Roman"/>
          <w:position w:val="-24"/>
        </w:rPr>
        <w:object>
          <v:shape id="_x0000_i1026" o:spt="75" type="#_x0000_t75" style="height:31.3pt;width:276.1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p>
    <w:p w14:paraId="3F12CC8A">
      <w:pPr>
        <w:rPr>
          <w:rFonts w:ascii="Times New Roman" w:hAnsi="Times New Roman" w:cs="Times New Roman"/>
        </w:rPr>
      </w:pPr>
      <w:r>
        <w:rPr>
          <w:rFonts w:ascii="Times New Roman" w:hAnsi="Times New Roman" w:cs="Times New Roman"/>
        </w:rPr>
        <w:t>温度缩放的作用：</w:t>
      </w:r>
    </w:p>
    <w:p w14:paraId="2E378BAE">
      <w:pPr>
        <w:pStyle w:val="31"/>
        <w:numPr>
          <w:ilvl w:val="0"/>
          <w:numId w:val="2"/>
        </w:numPr>
        <w:rPr>
          <w:rFonts w:ascii="Times New Roman" w:hAnsi="Times New Roman" w:cs="Times New Roman"/>
        </w:rPr>
      </w:pPr>
      <w:r>
        <w:rPr>
          <w:rFonts w:ascii="Times New Roman" w:hAnsi="Times New Roman" w:cs="Times New Roman"/>
        </w:rPr>
        <w:t>提高 softmax 输出的置信度；</w:t>
      </w:r>
    </w:p>
    <w:p w14:paraId="1284FBCD">
      <w:pPr>
        <w:pStyle w:val="31"/>
        <w:numPr>
          <w:ilvl w:val="0"/>
          <w:numId w:val="2"/>
        </w:numPr>
        <w:rPr>
          <w:rFonts w:ascii="Times New Roman" w:hAnsi="Times New Roman" w:cs="Times New Roman"/>
        </w:rPr>
      </w:pPr>
      <w:r>
        <w:rPr>
          <w:rFonts w:ascii="Times New Roman" w:hAnsi="Times New Roman" w:cs="Times New Roman"/>
        </w:rPr>
        <w:t>使伪标签的类别分布更明确；</w:t>
      </w:r>
    </w:p>
    <w:p w14:paraId="1EA2E34F">
      <w:pPr>
        <w:pStyle w:val="31"/>
        <w:numPr>
          <w:ilvl w:val="0"/>
          <w:numId w:val="2"/>
        </w:numPr>
        <w:rPr>
          <w:rFonts w:ascii="Times New Roman" w:hAnsi="Times New Roman" w:cs="Times New Roman"/>
        </w:rPr>
      </w:pPr>
      <w:r>
        <w:rPr>
          <w:rFonts w:ascii="Times New Roman" w:hAnsi="Times New Roman" w:cs="Times New Roman"/>
        </w:rPr>
        <w:t>加强决策边界对齐效果；</w:t>
      </w:r>
    </w:p>
    <w:p w14:paraId="78852190">
      <w:pPr>
        <w:pStyle w:val="31"/>
        <w:numPr>
          <w:ilvl w:val="0"/>
          <w:numId w:val="2"/>
        </w:numPr>
        <w:rPr>
          <w:rFonts w:ascii="Times New Roman" w:hAnsi="Times New Roman" w:cs="Times New Roman"/>
        </w:rPr>
      </w:pPr>
      <w:r>
        <w:rPr>
          <w:rFonts w:ascii="Times New Roman" w:hAnsi="Times New Roman" w:cs="Times New Roman"/>
        </w:rPr>
        <w:t>在处理多类别分割时，使模型在不确定区域获得更清晰的指导信号。</w:t>
      </w:r>
    </w:p>
    <w:p w14:paraId="46B52D56">
      <w:pPr>
        <w:rPr>
          <w:rFonts w:ascii="Times New Roman" w:hAnsi="Times New Roman" w:cs="Times New Roman"/>
          <w:b/>
          <w:bCs/>
        </w:rPr>
      </w:pPr>
      <w:r>
        <w:rPr>
          <w:rFonts w:ascii="Times New Roman" w:hAnsi="Times New Roman" w:cs="Times New Roman"/>
          <w:b/>
          <w:bCs/>
        </w:rPr>
        <w:t>KL 一致性损失</w:t>
      </w:r>
    </w:p>
    <w:p w14:paraId="0E398631">
      <w:pPr>
        <w:rPr>
          <w:rFonts w:ascii="Times New Roman" w:hAnsi="Times New Roman" w:cs="Times New Roman"/>
        </w:rPr>
      </w:pPr>
      <w:r>
        <w:rPr>
          <w:rFonts w:ascii="Times New Roman" w:hAnsi="Times New Roman" w:cs="Times New Roman"/>
        </w:rPr>
        <w:t>在温度缩放后，计算教师与学生输出概率分布之间的 KL 散度：</w:t>
      </w:r>
    </w:p>
    <w:p w14:paraId="2A3BD00D">
      <w:pPr>
        <w:jc w:val="center"/>
        <w:rPr>
          <w:rFonts w:ascii="Times New Roman" w:hAnsi="Times New Roman" w:cs="Times New Roman"/>
        </w:rPr>
      </w:pPr>
      <w:r>
        <w:rPr>
          <w:rFonts w:ascii="Times New Roman" w:hAnsi="Times New Roman" w:cs="Times New Roman"/>
          <w:position w:val="-12"/>
        </w:rPr>
        <w:object>
          <v:shape id="_x0000_i1027" o:spt="75" type="#_x0000_t75" style="height:18.8pt;width:65.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p>
    <w:p w14:paraId="64D1BD27">
      <w:pPr>
        <w:rPr>
          <w:rFonts w:hint="eastAsia" w:ascii="Times New Roman" w:hAnsi="Times New Roman" w:cs="Times New Roman"/>
        </w:rPr>
      </w:pPr>
      <w:r>
        <w:rPr>
          <w:rFonts w:ascii="Times New Roman" w:hAnsi="Times New Roman" w:cs="Times New Roman"/>
        </w:rPr>
        <w:t>与</w:t>
      </w:r>
      <w:r>
        <w:rPr>
          <w:rFonts w:hint="eastAsia" w:ascii="Times New Roman" w:hAnsi="Times New Roman" w:cs="Times New Roman"/>
        </w:rPr>
        <w:t>传统的伪标签不同，该</w:t>
      </w:r>
      <w:r>
        <w:rPr>
          <w:rFonts w:ascii="Times New Roman" w:hAnsi="Times New Roman" w:cs="Times New Roman"/>
        </w:rPr>
        <w:t>方法并没有把教师模型的预测硬化成伪标签（hard label）来当作真实监督信号使用，而是采用了一致性正则化的方式，让学生模型在强数据增强下的预测分布去对齐教师模型在弱增强下给出的软概率分布（soft label）</w:t>
      </w:r>
      <w:r>
        <w:rPr>
          <w:rFonts w:hint="eastAsia" w:ascii="Times New Roman" w:hAnsi="Times New Roman" w:cs="Times New Roman"/>
        </w:rPr>
        <w:t>这也可以称之为一种伪标签范式,即soft pseudo-label，该方法使得：</w:t>
      </w:r>
    </w:p>
    <w:p w14:paraId="52FD7EC4">
      <w:pPr>
        <w:pStyle w:val="31"/>
        <w:numPr>
          <w:ilvl w:val="0"/>
          <w:numId w:val="3"/>
        </w:numPr>
        <w:rPr>
          <w:rFonts w:ascii="Times New Roman" w:hAnsi="Times New Roman" w:cs="Times New Roman"/>
        </w:rPr>
      </w:pPr>
      <w:r>
        <w:rPr>
          <w:rFonts w:ascii="Times New Roman" w:hAnsi="Times New Roman" w:cs="Times New Roman"/>
        </w:rPr>
        <w:t>学生更容易学习类别间的相对关系；</w:t>
      </w:r>
    </w:p>
    <w:p w14:paraId="1BC80E47">
      <w:pPr>
        <w:pStyle w:val="31"/>
        <w:numPr>
          <w:ilvl w:val="0"/>
          <w:numId w:val="3"/>
        </w:numPr>
        <w:rPr>
          <w:rFonts w:ascii="Times New Roman" w:hAnsi="Times New Roman" w:cs="Times New Roman"/>
        </w:rPr>
      </w:pPr>
      <w:r>
        <w:rPr>
          <w:rFonts w:ascii="Times New Roman" w:hAnsi="Times New Roman" w:cs="Times New Roman"/>
        </w:rPr>
        <w:t>在无标签数据上提供更平滑、更稳定的优化信号；</w:t>
      </w:r>
    </w:p>
    <w:p w14:paraId="72473128">
      <w:pPr>
        <w:pStyle w:val="31"/>
        <w:numPr>
          <w:ilvl w:val="0"/>
          <w:numId w:val="3"/>
        </w:numPr>
        <w:rPr>
          <w:rFonts w:ascii="Times New Roman" w:hAnsi="Times New Roman" w:cs="Times New Roman"/>
        </w:rPr>
      </w:pPr>
      <w:r>
        <w:rPr>
          <w:rFonts w:ascii="Times New Roman" w:hAnsi="Times New Roman" w:cs="Times New Roman"/>
        </w:rPr>
        <w:t>有助于减少训练初期伪标签误差对模型造成的影响。</w:t>
      </w:r>
    </w:p>
    <w:p w14:paraId="3035C24B">
      <w:pPr>
        <w:rPr>
          <w:rFonts w:ascii="Times New Roman" w:hAnsi="Times New Roman" w:cs="Times New Roman"/>
        </w:rPr>
      </w:pPr>
      <w:r>
        <w:rPr>
          <w:rFonts w:ascii="Times New Roman" w:hAnsi="Times New Roman" w:cs="Times New Roman"/>
        </w:rPr>
        <w:t>因此，KL 一致性是对 Mean Teacher 策略的重要扩展，能显著提升半监督学习表现</w:t>
      </w:r>
    </w:p>
    <w:p w14:paraId="61431AF0">
      <w:pPr>
        <w:rPr>
          <w:rFonts w:hint="eastAsia" w:ascii="Times New Roman" w:hAnsi="Times New Roman" w:cs="Times New Roman"/>
          <w:b/>
          <w:bCs/>
          <w:sz w:val="24"/>
          <w:szCs w:val="28"/>
        </w:rPr>
      </w:pPr>
      <w:r>
        <w:rPr>
          <w:rFonts w:ascii="Times New Roman" w:hAnsi="Times New Roman" w:cs="Times New Roman"/>
          <w:b/>
          <w:bCs/>
          <w:sz w:val="24"/>
          <w:szCs w:val="28"/>
        </w:rPr>
        <w:t>4. 综合效果</w:t>
      </w:r>
    </w:p>
    <w:p w14:paraId="41DAB3DD">
      <w:pPr>
        <w:rPr>
          <w:rFonts w:ascii="Times New Roman" w:hAnsi="Times New Roman" w:cs="Times New Roman"/>
        </w:rPr>
      </w:pPr>
      <w:r>
        <w:rPr>
          <w:rFonts w:ascii="Times New Roman" w:hAnsi="Times New Roman" w:cs="Times New Roman"/>
        </w:rPr>
        <w:t>通过上述训练策略，本研究在不依赖额外人工三维标注转换的前提下，仅采用该训练脚本即可完成</w:t>
      </w:r>
      <w:r>
        <w:rPr>
          <w:rFonts w:hint="eastAsia" w:ascii="Times New Roman" w:hAnsi="Times New Roman" w:cs="Times New Roman"/>
        </w:rPr>
        <w:t>数据集</w:t>
      </w:r>
      <w:r>
        <w:rPr>
          <w:rFonts w:ascii="Times New Roman" w:hAnsi="Times New Roman" w:cs="Times New Roman"/>
        </w:rPr>
        <w:t>训练。与此同时，由于无需频繁修改输入格式或进行复杂预处理工作，整个训练流程更加高效、简洁，避免了大量重复的实验调试成本。</w:t>
      </w:r>
    </w:p>
    <w:p w14:paraId="0D1EC870">
      <w:pPr>
        <w:rPr>
          <w:rFonts w:ascii="Times New Roman" w:hAnsi="Times New Roman" w:cs="Times New Roman"/>
        </w:rPr>
      </w:pPr>
    </w:p>
    <w:p w14:paraId="1F260940">
      <w:pPr>
        <w:rPr>
          <w:rFonts w:ascii="Times New Roman" w:hAnsi="Times New Roman" w:cs="Times New Roman"/>
        </w:rPr>
      </w:pPr>
    </w:p>
    <w:p w14:paraId="71807C99">
      <w:pPr>
        <w:rPr>
          <w:rFonts w:ascii="Times New Roman" w:hAnsi="Times New Roman" w:cs="Times New Roman"/>
        </w:rPr>
      </w:pPr>
    </w:p>
    <w:p w14:paraId="45D51B96">
      <w:pPr>
        <w:rPr>
          <w:rFonts w:ascii="Times New Roman" w:hAnsi="Times New Roman" w:cs="Times New Roman"/>
        </w:rPr>
      </w:pPr>
    </w:p>
    <w:p w14:paraId="189BE250">
      <w:pPr>
        <w:rPr>
          <w:rFonts w:hint="eastAsia" w:ascii="Times New Roman" w:hAnsi="Times New Roman" w:cs="Times New Roman"/>
        </w:rPr>
      </w:pPr>
    </w:p>
    <w:p w14:paraId="6F3436AC">
      <w:pPr>
        <w:rPr>
          <w:rFonts w:hint="eastAsia"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6103A"/>
    <w:multiLevelType w:val="multilevel"/>
    <w:tmpl w:val="0676103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F01188F"/>
    <w:multiLevelType w:val="multilevel"/>
    <w:tmpl w:val="1F01188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2C72092"/>
    <w:multiLevelType w:val="multilevel"/>
    <w:tmpl w:val="42C7209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17C"/>
    <w:rsid w:val="00086FAF"/>
    <w:rsid w:val="001B4F0C"/>
    <w:rsid w:val="002E4908"/>
    <w:rsid w:val="00541E37"/>
    <w:rsid w:val="006868C7"/>
    <w:rsid w:val="00691031"/>
    <w:rsid w:val="00696AAA"/>
    <w:rsid w:val="00840B89"/>
    <w:rsid w:val="0096417C"/>
    <w:rsid w:val="009F13F4"/>
    <w:rsid w:val="00A952FE"/>
    <w:rsid w:val="00D8612C"/>
    <w:rsid w:val="00D94D5D"/>
    <w:rsid w:val="00DC35C6"/>
    <w:rsid w:val="00EE6DDD"/>
    <w:rsid w:val="00F22739"/>
    <w:rsid w:val="00FA4210"/>
    <w:rsid w:val="3ABA13DA"/>
    <w:rsid w:val="41CA3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rFonts w:ascii="Times New Roman" w:hAnsi="Times New Roman" w:cs="Times New Roman"/>
      <w:sz w:val="24"/>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1318</Words>
  <Characters>1633</Characters>
  <Lines>38</Lines>
  <Paragraphs>41</Paragraphs>
  <TotalTime>38</TotalTime>
  <ScaleCrop>false</ScaleCrop>
  <LinksUpToDate>false</LinksUpToDate>
  <CharactersWithSpaces>1691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2025-11-27T04:30:00Z</dcterms:created>
  <dc:creator>弘量 牟</dc:creator>
  <cp:lastModifiedBy>zhkangzhkang</cp:lastModifiedBy>
  <dcterms:modified xsi:type="dcterms:W3CDTF">2025-12-22T10:06:26Z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eyJoZGlkIjoiMDcyODJmM2RlNTlkYzNiOGEzNjMzODE5OTQ0OWQwZjAiLCJ1c2VySWQiOiI1MTUwNjI3In0=</vt:lpwstr>
  </property>
  <property fmtid="{D5CDD505-2E9C-101B-9397-08002B2CF9AE}" pid="4" name="KSOProductBuildVer">
    <vt:lpwstr>2052-12.1.0.24034</vt:lpwstr>
  </property>
  <property fmtid="{D5CDD505-2E9C-101B-9397-08002B2CF9AE}" pid="5" name="ICV">
    <vt:lpwstr>D19810C7C46844C6B62A68E3EA64B3DC_13</vt:lpwstr>
  </property>
</Properties>
</file>