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20"/>
      </w:pPr>
      <w:r>
        <w:rPr>
          <w:rFonts w:ascii="Calibri" w:hAnsi="Calibri" w:eastAsia="Microsoft YaHei"/>
          <w:b/>
          <w:color w:val="2E74B5"/>
          <w:sz w:val="21"/>
        </w:rPr>
        <w:t>挑战杯揭榜挂帅赛道 · 阶段性技术汇报</w:t>
      </w:r>
    </w:p>
    <w:p>
      <w:pPr>
        <w:pStyle w:val="Title"/>
        <w:jc w:val="left"/>
      </w:pPr>
      <w:r>
        <w:rPr>
          <w:rFonts w:ascii="Calibri" w:hAnsi="Calibri" w:eastAsia="Microsoft YaHei"/>
        </w:rPr>
        <w:t>XA-202620 面向政企场景的</w:t>
        <w:br/>
        <w:t>大模型智能体安全关键技术研究</w:t>
      </w:r>
    </w:p>
    <w:p>
      <w:pPr>
        <w:pStyle w:val="Subtitle"/>
      </w:pPr>
      <w:r>
        <w:rPr>
          <w:rFonts w:ascii="Calibri" w:hAnsi="Calibri" w:eastAsia="Microsoft YaHei"/>
          <w:color w:val="6B7280"/>
          <w:sz w:val="25"/>
        </w:rPr>
        <w:t>供应链安全模块静态审查阶段性汇报</w:t>
        <w:br/>
        <w:t>——基于 Cisco Skill Scanner 与 SkillTrustBench 官方 556 条固定子集</w:t>
      </w:r>
    </w:p>
    <w:tbl>
      <w:tblPr>
        <w:tblW w:type="dxa" w:w="9360"/>
        <w:tblLayout w:type="fixed"/>
        <w:tblLook w:firstColumn="1" w:firstRow="1" w:lastColumn="0" w:lastRow="0" w:noHBand="0" w:noVBand="1" w:val="04A0"/>
        <w:jc w:val="left"/>
        <w:tblInd w:type="dxa" w:w="120"/>
        <w:tblBorders>
          <w:top w:val="single" w:sz="5" w:space="0" w:color="D9E2F0"/>
          <w:left w:val="single" w:sz="5" w:space="0" w:color="D9E2F0"/>
          <w:bottom w:val="single" w:sz="5" w:space="0" w:color="D9E2F0"/>
          <w:right w:val="single" w:sz="5" w:space="0" w:color="D9E2F0"/>
          <w:insideH w:val="single" w:sz="5" w:space="0" w:color="D9E2F0"/>
          <w:insideV w:val="single" w:sz="5" w:space="0" w:color="D9E2F0"/>
        </w:tblBorders>
      </w:tblPr>
      <w:tblGrid>
        <w:gridCol w:w="1800"/>
        <w:gridCol w:w="7560"/>
      </w:tblGrid>
      <w:tr>
        <w:trPr/>
        <w:tc>
          <w:tcPr>
            <w:tcW w:type="dxa" w:w="1800"/>
            <w:tcMar>
              <w:top w:w="80" w:type="dxa"/>
              <w:start w:w="120" w:type="dxa"/>
              <w:bottom w:w="80" w:type="dxa"/>
              <w:end w:w="120" w:type="dxa"/>
            </w:tcMar>
            <w:vAlign w:val="center"/>
            <w:shd w:fill="DCE6F1"/>
          </w:tcPr>
          <w:p>
            <w:pPr>
              <w:spacing w:before="60" w:after="60"/>
              <w:jc w:val="center"/>
            </w:pPr>
            <w:r>
              <w:rPr>
                <w:rFonts w:ascii="Calibri" w:hAnsi="Calibri" w:eastAsia="Microsoft YaHei"/>
                <w:b/>
                <w:color w:val="17365D"/>
                <w:sz w:val="20"/>
              </w:rPr>
              <w:t>汇报人</w:t>
            </w:r>
          </w:p>
        </w:tc>
        <w:tc>
          <w:tcPr>
            <w:tcW w:type="dxa" w:w="7560"/>
            <w:tcMar>
              <w:top w:w="80" w:type="dxa"/>
              <w:start w:w="120" w:type="dxa"/>
              <w:bottom w:w="80" w:type="dxa"/>
              <w:end w:w="120" w:type="dxa"/>
            </w:tcMar>
            <w:vAlign w:val="center"/>
            <w:shd w:fill="FBFCFE"/>
          </w:tcPr>
          <w:p>
            <w:pPr>
              <w:spacing w:before="60" w:after="60"/>
            </w:pPr>
            <w:r>
              <w:rPr>
                <w:rFonts w:ascii="Calibri" w:hAnsi="Calibri" w:eastAsia="SimSun"/>
                <w:color w:val="1F2937"/>
                <w:sz w:val="20"/>
              </w:rPr>
              <w:t>陶泽泓</w:t>
            </w:r>
          </w:p>
        </w:tc>
      </w:tr>
      <w:tr>
        <w:trPr/>
        <w:tc>
          <w:tcPr>
            <w:tcW w:type="dxa" w:w="1800"/>
            <w:tcMar>
              <w:top w:w="80" w:type="dxa"/>
              <w:start w:w="120" w:type="dxa"/>
              <w:bottom w:w="80" w:type="dxa"/>
              <w:end w:w="120" w:type="dxa"/>
            </w:tcMar>
            <w:vAlign w:val="center"/>
            <w:shd w:fill="DCE6F1"/>
          </w:tcPr>
          <w:p>
            <w:pPr>
              <w:spacing w:before="60" w:after="60"/>
              <w:jc w:val="center"/>
            </w:pPr>
            <w:r>
              <w:rPr>
                <w:rFonts w:ascii="Calibri" w:hAnsi="Calibri" w:eastAsia="Microsoft YaHei"/>
                <w:b/>
                <w:color w:val="17365D"/>
                <w:sz w:val="20"/>
              </w:rPr>
              <w:t>模块定位</w:t>
            </w:r>
          </w:p>
        </w:tc>
        <w:tc>
          <w:tcPr>
            <w:tcW w:type="dxa" w:w="7560"/>
            <w:tcMar>
              <w:top w:w="80" w:type="dxa"/>
              <w:start w:w="120" w:type="dxa"/>
              <w:bottom w:w="80" w:type="dxa"/>
              <w:end w:w="120" w:type="dxa"/>
            </w:tcMar>
            <w:vAlign w:val="center"/>
            <w:shd w:fill="FBFCFE"/>
          </w:tcPr>
          <w:p>
            <w:pPr>
              <w:spacing w:before="60" w:after="60"/>
            </w:pPr>
            <w:r>
              <w:rPr>
                <w:rFonts w:ascii="Calibri" w:hAnsi="Calibri" w:eastAsia="SimSun"/>
                <w:color w:val="1F2937"/>
                <w:sz w:val="20"/>
              </w:rPr>
              <w:t>智能体 Skill / MCP 供应链安全</w:t>
            </w:r>
          </w:p>
        </w:tc>
      </w:tr>
      <w:tr>
        <w:trPr/>
        <w:tc>
          <w:tcPr>
            <w:tcW w:type="dxa" w:w="1800"/>
            <w:tcMar>
              <w:top w:w="80" w:type="dxa"/>
              <w:start w:w="120" w:type="dxa"/>
              <w:bottom w:w="80" w:type="dxa"/>
              <w:end w:w="120" w:type="dxa"/>
            </w:tcMar>
            <w:vAlign w:val="center"/>
            <w:shd w:fill="DCE6F1"/>
          </w:tcPr>
          <w:p>
            <w:pPr>
              <w:spacing w:before="60" w:after="60"/>
              <w:jc w:val="center"/>
            </w:pPr>
            <w:r>
              <w:rPr>
                <w:rFonts w:ascii="Calibri" w:hAnsi="Calibri" w:eastAsia="Microsoft YaHei"/>
                <w:b/>
                <w:color w:val="17365D"/>
                <w:sz w:val="20"/>
              </w:rPr>
              <w:t>当前阶段</w:t>
            </w:r>
          </w:p>
        </w:tc>
        <w:tc>
          <w:tcPr>
            <w:tcW w:type="dxa" w:w="7560"/>
            <w:tcMar>
              <w:top w:w="80" w:type="dxa"/>
              <w:start w:w="120" w:type="dxa"/>
              <w:bottom w:w="80" w:type="dxa"/>
              <w:end w:w="120" w:type="dxa"/>
            </w:tcMar>
            <w:vAlign w:val="center"/>
            <w:shd w:fill="FBFCFE"/>
          </w:tcPr>
          <w:p>
            <w:pPr>
              <w:spacing w:before="60" w:after="60"/>
            </w:pPr>
            <w:r>
              <w:rPr>
                <w:rFonts w:ascii="Calibri" w:hAnsi="Calibri" w:eastAsia="SimSun"/>
                <w:color w:val="1F2937"/>
                <w:sz w:val="20"/>
              </w:rPr>
              <w:t>Cisco 静态底座接入与权威公开基准评测</w:t>
            </w:r>
          </w:p>
        </w:tc>
      </w:tr>
      <w:tr>
        <w:trPr/>
        <w:tc>
          <w:tcPr>
            <w:tcW w:type="dxa" w:w="1800"/>
            <w:tcMar>
              <w:top w:w="80" w:type="dxa"/>
              <w:start w:w="120" w:type="dxa"/>
              <w:bottom w:w="80" w:type="dxa"/>
              <w:end w:w="120" w:type="dxa"/>
            </w:tcMar>
            <w:vAlign w:val="center"/>
            <w:shd w:fill="DCE6F1"/>
          </w:tcPr>
          <w:p>
            <w:pPr>
              <w:spacing w:before="60" w:after="60"/>
              <w:jc w:val="center"/>
            </w:pPr>
            <w:r>
              <w:rPr>
                <w:rFonts w:ascii="Calibri" w:hAnsi="Calibri" w:eastAsia="Microsoft YaHei"/>
                <w:b/>
                <w:color w:val="17365D"/>
                <w:sz w:val="20"/>
              </w:rPr>
              <w:t>报告日期</w:t>
            </w:r>
          </w:p>
        </w:tc>
        <w:tc>
          <w:tcPr>
            <w:tcW w:type="dxa" w:w="7560"/>
            <w:tcMar>
              <w:top w:w="80" w:type="dxa"/>
              <w:start w:w="120" w:type="dxa"/>
              <w:bottom w:w="80" w:type="dxa"/>
              <w:end w:w="120" w:type="dxa"/>
            </w:tcMar>
            <w:vAlign w:val="center"/>
            <w:shd w:fill="FBFCFE"/>
          </w:tcPr>
          <w:p>
            <w:pPr>
              <w:spacing w:before="60" w:after="60"/>
            </w:pPr>
            <w:r>
              <w:rPr>
                <w:rFonts w:ascii="Calibri" w:hAnsi="Calibri" w:eastAsia="SimSun"/>
                <w:color w:val="1F2937"/>
                <w:sz w:val="20"/>
              </w:rPr>
              <w:t>2026 年 8 月 14 日</w:t>
            </w:r>
          </w:p>
        </w:tc>
      </w:tr>
      <w:tr>
        <w:trPr/>
        <w:tc>
          <w:tcPr>
            <w:tcW w:type="dxa" w:w="1800"/>
            <w:tcMar>
              <w:top w:w="80" w:type="dxa"/>
              <w:start w:w="120" w:type="dxa"/>
              <w:bottom w:w="80" w:type="dxa"/>
              <w:end w:w="120" w:type="dxa"/>
            </w:tcMar>
            <w:vAlign w:val="center"/>
            <w:shd w:fill="DCE6F1"/>
          </w:tcPr>
          <w:p>
            <w:pPr>
              <w:spacing w:before="60" w:after="60"/>
              <w:jc w:val="center"/>
            </w:pPr>
            <w:r>
              <w:rPr>
                <w:rFonts w:ascii="Calibri" w:hAnsi="Calibri" w:eastAsia="Microsoft YaHei"/>
                <w:b/>
                <w:color w:val="17365D"/>
                <w:sz w:val="20"/>
              </w:rPr>
              <w:t>实验结论</w:t>
            </w:r>
          </w:p>
        </w:tc>
        <w:tc>
          <w:tcPr>
            <w:tcW w:type="dxa" w:w="7560"/>
            <w:tcMar>
              <w:top w:w="80" w:type="dxa"/>
              <w:start w:w="120" w:type="dxa"/>
              <w:bottom w:w="80" w:type="dxa"/>
              <w:end w:w="120" w:type="dxa"/>
            </w:tcMar>
            <w:vAlign w:val="center"/>
            <w:shd w:fill="FBFCFE"/>
          </w:tcPr>
          <w:p>
            <w:pPr>
              <w:spacing w:before="60" w:after="60"/>
            </w:pPr>
            <w:r>
              <w:rPr>
                <w:rFonts w:ascii="Calibri" w:hAnsi="Calibri" w:eastAsia="SimSun"/>
                <w:color w:val="1F2937"/>
                <w:sz w:val="20"/>
              </w:rPr>
              <w:t>accepted_with_caveats（有条件接受）</w:t>
            </w:r>
          </w:p>
        </w:tc>
      </w:tr>
    </w:tbl>
    <w:p>
      <w:pPr>
        <w:spacing w:after="40"/>
      </w:pPr>
    </w:p>
    <w:tbl>
      <w:tblPr>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tcMar>
              <w:top w:w="80" w:type="dxa"/>
              <w:start w:w="120" w:type="dxa"/>
              <w:bottom w:w="80" w:type="dxa"/>
              <w:end w:w="120" w:type="dxa"/>
            </w:tcMar>
            <w:vAlign w:val="center"/>
            <w:shd w:fill="EEF4FA"/>
          </w:tcPr>
          <w:p>
            <w:pPr>
              <w:spacing w:before="60" w:after="60" w:line="264" w:lineRule="auto"/>
            </w:pPr>
            <w:r>
              <w:rPr>
                <w:rFonts w:ascii="Calibri" w:hAnsi="Calibri" w:eastAsia="Microsoft YaHei"/>
                <w:b/>
                <w:color w:val="2E74B5"/>
                <w:sz w:val="22"/>
              </w:rPr>
              <w:t xml:space="preserve">核心判断  </w:t>
            </w:r>
            <w:r>
              <w:rPr>
                <w:rFonts w:ascii="Calibri" w:hAnsi="Calibri" w:eastAsia="SimSun"/>
                <w:color w:val="1F2937"/>
                <w:sz w:val="22"/>
              </w:rPr>
              <w:t>系统已形成可运行、可追溯、可批量复现的静态准入门，但当前 Cisco 静态结果不能独立承担最终安全裁决。应以漏报切片补强、上下文降误报和最小动态验证闭环作为下一阶段重点。</w:t>
            </w:r>
          </w:p>
        </w:tc>
      </w:tr>
    </w:tbl>
    <w:p>
      <w:pPr>
        <w:spacing w:after="40"/>
      </w:pPr>
    </w:p>
    <w:p>
      <w:pPr>
        <w:spacing w:before="200" w:after="0"/>
      </w:pPr>
      <w:r>
        <w:rPr>
          <w:rFonts w:ascii="Calibri" w:hAnsi="Calibri" w:eastAsia="Microsoft YaHei"/>
          <w:i/>
          <w:color w:val="6B7280"/>
          <w:sz w:val="18"/>
        </w:rPr>
        <w:t>内部汇报材料 · 数据与指标均可由逐样本结果复算</w:t>
      </w:r>
    </w:p>
    <w:p>
      <w:r>
        <w:br w:type="page"/>
      </w:r>
    </w:p>
    <w:p>
      <w:pPr>
        <w:pStyle w:val="Heading1"/>
        <w:keepNext/>
        <w:keepLines/>
      </w:pPr>
      <w:r>
        <w:t>摘  要</w:t>
      </w:r>
    </w:p>
    <w:p>
      <w:r>
        <w:rPr>
          <w:rFonts w:ascii="Calibri" w:hAnsi="Calibri" w:eastAsia="SimSun"/>
        </w:rPr>
        <w:t>本报告面向 XA-202620 赛题中“供应链安全”方向，汇报 Cisco Skill Scanner 静态审查底座的接入、评测与下一阶段开发计划。项目选用腾讯朱雀实验室与香港中文大学（深圳）联合发布的 SkillTrustBench 公开基准，固定其官方 10% 子集 556 条，在 Windows 11 本地环境中关闭 LLM、云上传与行为执行，仅启用静态分析、字节码分析和流水线文本/结构检查。</w:t>
      </w:r>
    </w:p>
    <w:p>
      <w:r>
        <w:rPr>
          <w:rFonts w:ascii="Calibri" w:hAnsi="Calibri" w:eastAsia="SimSun"/>
        </w:rPr>
        <w:t>本轮 556/556 条样本均得到终态，其中 546 条完成 Cisco 扫描，7 条发生运行时错误，3 条真实恶意样本被 Windows Defender 阻断读取；10 条失败均按 UNKNOWN/abstain 处理，没有伪装成安全结果。最终覆盖率 98.20%，严格三分类 macro F1 为 0.4977，恶意严格召回率 72.28%；在“REVIEW/BLOCK 均视为识别到风险”的统一门禁口径下，风险筛查 precision 为 87.94%、recall 为 76.67%、loose F1 为 81.92%，正常样本误报率为 24.70%。</w:t>
      </w:r>
    </w:p>
    <w:p>
      <w:r>
        <w:rPr>
          <w:rFonts w:ascii="Calibri" w:hAnsi="Calibri" w:eastAsia="SimSun"/>
        </w:rPr>
        <w:t>结果表明：现有系统已完成从第三方扫描器到统一证据模型、准入策略、批量评测、失败闭锁和可复现追踪的工程闭环，但静态规则对 wild real-world、crypto_wallet 以及 T06/T09/T05 风险仍存在明显漏报；同时，网络请求、文件访问等通用能力规则存在上下文不足导致的误报。下一阶段应优先围绕 91 条风险筛查漏报做规则补强，并用无害模拟样本建立进程、网络、文件和敏感环境变量四类动态事件的最小验证闭环。</w:t>
      </w:r>
    </w:p>
    <w:p>
      <w:pPr>
        <w:pStyle w:val="Heading2"/>
        <w:keepNext/>
        <w:keepLines/>
      </w:pPr>
      <w:r>
        <w:t>汇报结论摘要</w:t>
      </w:r>
    </w:p>
    <w:p>
      <w:pPr>
        <w:pStyle w:val="ListBullet"/>
      </w:pPr>
      <w:r>
        <w:rPr>
          <w:rFonts w:ascii="Calibri" w:hAnsi="Calibri" w:eastAsia="SimSun"/>
        </w:rPr>
        <w:t>工程结论：Cisco Skill Scanner 已可作为本系统静态审查底座稳定运行；当前单条中位耗时约 4.0 秒，覆盖率约 98%。</w:t>
      </w:r>
    </w:p>
    <w:p>
      <w:pPr>
        <w:pStyle w:val="ListBullet"/>
      </w:pPr>
      <w:r>
        <w:rPr>
          <w:rFonts w:ascii="Calibri" w:hAnsi="Calibri" w:eastAsia="SimSun"/>
        </w:rPr>
        <w:t>能力结论：风险门禁 loose F1 达 81.92%，说明 REVIEW/BLOCK 的筛查价值已形成；严格三分类 macro F1 仅 0.4977，说明 normal、suspicious、malicious 的精细区分仍不足。</w:t>
      </w:r>
    </w:p>
    <w:p>
      <w:pPr>
        <w:pStyle w:val="ListBullet"/>
      </w:pPr>
      <w:r>
        <w:rPr>
          <w:rFonts w:ascii="Calibri" w:hAnsi="Calibri" w:eastAsia="SimSun"/>
        </w:rPr>
        <w:t>安全结论：所有异常均失败闭锁为 UNKNOWN，未关闭 Windows Defender、未执行样本、未安装依赖、未上传云端，避免了“为了跑分绕过安全控制”。</w:t>
      </w:r>
    </w:p>
    <w:p>
      <w:pPr>
        <w:pStyle w:val="ListBullet"/>
      </w:pPr>
      <w:r>
        <w:rPr>
          <w:rFonts w:ascii="Calibri" w:hAnsi="Calibri" w:eastAsia="SimSun"/>
        </w:rPr>
        <w:t>下一步结论：先补漏报和上下文判断，再补最小动态验证；不把 Cisco 分数直接当作系统创新，也不宣称复现官方 Cisco 榜单成绩。</w:t>
      </w:r>
    </w:p>
    <w:p>
      <w:pPr>
        <w:pStyle w:val="Heading1"/>
        <w:keepNext/>
        <w:keepLines/>
      </w:pPr>
      <w:r>
        <w:t>1 研究背景与阶段目标</w:t>
      </w:r>
    </w:p>
    <w:p>
      <w:pPr>
        <w:pStyle w:val="Heading2"/>
        <w:keepNext/>
        <w:keepLines/>
      </w:pPr>
      <w:r>
        <w:t>1.1 问题背景</w:t>
      </w:r>
    </w:p>
    <w:p>
      <w:r>
        <w:rPr>
          <w:rFonts w:ascii="Calibri" w:hAnsi="Calibri" w:eastAsia="SimSun"/>
        </w:rPr>
        <w:t>大模型智能体通过 Skill、MCP Server、插件和外部依赖获得工具能力，也同时引入新的软件供应链风险。攻击者可能把恶意指令、隐蔽网络访问、凭据读取、持久化逻辑或不安全依赖嵌入工具包。对于政企场景，仅依赖模型输出过滤无法覆盖这些风险，需要在工具接入前建立可审计、可追溯的供应链准入机制。</w:t>
      </w:r>
    </w:p>
    <w:p>
      <w:pPr>
        <w:pStyle w:val="Heading2"/>
        <w:keepNext/>
        <w:keepLines/>
      </w:pPr>
      <w:r>
        <w:t>1.2 本阶段目标</w:t>
      </w:r>
    </w:p>
    <w:p>
      <w:pPr>
        <w:numPr>
          <w:ilvl w:val="0"/>
          <w:numId w:val="10"/>
        </w:numPr>
        <w:spacing w:after="160" w:line="280" w:lineRule="auto"/>
        <w:keepNext/>
        <w:keepLines/>
      </w:pPr>
      <w:r>
        <w:rPr>
          <w:rFonts w:ascii="Calibri" w:hAnsi="Calibri" w:eastAsia="SimSun"/>
        </w:rPr>
        <w:t>验证 Cisco Skill Scanner 和 MCP Scanner 在本地环境中的可运行性，并明确两者适用对象。</w:t>
      </w:r>
    </w:p>
    <w:p>
      <w:pPr>
        <w:numPr>
          <w:ilvl w:val="0"/>
          <w:numId w:val="10"/>
        </w:numPr>
        <w:spacing w:after="160" w:line="280" w:lineRule="auto"/>
        <w:keepNext/>
        <w:keepLines/>
      </w:pPr>
      <w:r>
        <w:rPr>
          <w:rFonts w:ascii="Calibri" w:hAnsi="Calibri" w:eastAsia="SimSun"/>
        </w:rPr>
        <w:t>先完成 Skill 侧静态审查主链路：原始扫描输出适配、统一 Finding、策略映射、四态决策、失败闭锁和批量评测。</w:t>
      </w:r>
    </w:p>
    <w:p>
      <w:pPr>
        <w:numPr>
          <w:ilvl w:val="0"/>
          <w:numId w:val="10"/>
        </w:numPr>
        <w:spacing w:after="160" w:line="280" w:lineRule="auto"/>
        <w:keepNext/>
        <w:keepLines/>
      </w:pPr>
      <w:r>
        <w:rPr>
          <w:rFonts w:ascii="Calibri" w:hAnsi="Calibri" w:eastAsia="SimSun"/>
        </w:rPr>
        <w:t>使用公开、可固定版本的基准数据集形成可复现的外部证据，而不是只用少量自造样本展示。</w:t>
      </w:r>
    </w:p>
    <w:p>
      <w:pPr>
        <w:numPr>
          <w:ilvl w:val="0"/>
          <w:numId w:val="10"/>
        </w:numPr>
        <w:spacing w:after="160" w:line="280" w:lineRule="auto"/>
      </w:pPr>
      <w:r>
        <w:rPr>
          <w:rFonts w:ascii="Calibri" w:hAnsi="Calibri" w:eastAsia="SimSun"/>
        </w:rPr>
        <w:t>为后续动态审计和统一平台对接预留标准化结果接口。</w:t>
      </w:r>
    </w:p>
    <w:p>
      <w:pPr>
        <w:pStyle w:val="Heading2"/>
        <w:keepNext/>
        <w:keepLines/>
      </w:pPr>
      <w:r>
        <w:t>1.3 模块边界</w:t>
      </w:r>
    </w:p>
    <w:tbl>
      <w:tblPr>
        <w:tblW w:type="dxa" w:w="9360"/>
        <w:jc w:val="left"/>
        <w:tblLayout w:type="fixed"/>
        <w:tblLook w:firstColumn="1" w:firstRow="1" w:lastColumn="0" w:lastRow="0" w:noHBand="0" w:noVBand="1" w:val="04A0"/>
        <w:tblInd w:type="dxa" w:w="120"/>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eastAsia="Microsoft YaHei"/>
                <w:b/>
                <w:color w:val="A66A00"/>
                <w:sz w:val="22"/>
              </w:rPr>
              <w:t xml:space="preserve">当前边界  </w:t>
            </w:r>
            <w:r>
              <w:rPr>
                <w:rFonts w:ascii="Calibri" w:hAnsi="Calibri" w:eastAsia="SimSun"/>
                <w:color w:val="1F2937"/>
                <w:sz w:val="22"/>
              </w:rPr>
              <w:t>SkillTrustBench 用于评估 Skill 静态扫描能力；Cisco MCP Scanner 面向 MCP server/config，不强行套用到 Skill 数据集。当前报告只评价本地离线静态门禁，不包含真实恶意样本动态执行，也不等同于完整系统最终成绩。</w:t>
            </w:r>
          </w:p>
        </w:tc>
      </w:tr>
    </w:tbl>
    <w:p>
      <w:pPr>
        <w:spacing w:after="40"/>
      </w:pPr>
    </w:p>
    <w:p>
      <w:pPr>
        <w:pStyle w:val="Heading1"/>
        <w:keepNext/>
        <w:keepLines/>
      </w:pPr>
      <w:r>
        <w:t>2 技术方案与工程实现</w:t>
      </w:r>
    </w:p>
    <w:p>
      <w:pPr>
        <w:pStyle w:val="Heading2"/>
        <w:keepNext/>
        <w:keepLines/>
      </w:pPr>
      <w:r>
        <w:t>2.1 静态审查主链路</w:t>
      </w:r>
    </w:p>
    <w:p>
      <w:pPr>
        <w:numPr>
          <w:ilvl w:val="0"/>
          <w:numId w:val="11"/>
        </w:numPr>
        <w:spacing w:after="160" w:line="280" w:lineRule="auto"/>
        <w:keepNext/>
        <w:keepLines/>
      </w:pPr>
      <w:r>
        <w:rPr>
          <w:rFonts w:ascii="Calibri" w:hAnsi="Calibri" w:eastAsia="SimSun"/>
        </w:rPr>
        <w:t>安全导入：固定数据集 revision 和文件哈希，审计 ZIP 路径穿越、符号链接、成员数量与解压规模，只解压指定 case。</w:t>
      </w:r>
    </w:p>
    <w:p>
      <w:pPr>
        <w:numPr>
          <w:ilvl w:val="0"/>
          <w:numId w:val="11"/>
        </w:numPr>
        <w:spacing w:after="160" w:line="280" w:lineRule="auto"/>
        <w:keepNext/>
        <w:keepLines/>
      </w:pPr>
      <w:r>
        <w:rPr>
          <w:rFonts w:ascii="Calibri" w:hAnsi="Calibri" w:eastAsia="SimSun"/>
        </w:rPr>
        <w:t>第三方扫描：以独立子进程调用 Cisco Skill Scanner，仅允许 static_analyzer、bytecode、pipeline 三类本地分析器。</w:t>
      </w:r>
    </w:p>
    <w:p>
      <w:pPr>
        <w:numPr>
          <w:ilvl w:val="0"/>
          <w:numId w:val="11"/>
        </w:numPr>
        <w:spacing w:after="160" w:line="280" w:lineRule="auto"/>
        <w:keepNext/>
        <w:keepLines/>
      </w:pPr>
      <w:r>
        <w:rPr>
          <w:rFonts w:ascii="Calibri" w:hAnsi="Calibri" w:eastAsia="SimSun"/>
        </w:rPr>
        <w:t>证据归一：将厂商原始结果转换为统一 Finding，只保留规则 ID、类别、严重度、分析器和位置等脱敏信息。</w:t>
      </w:r>
    </w:p>
    <w:p>
      <w:pPr>
        <w:numPr>
          <w:ilvl w:val="0"/>
          <w:numId w:val="11"/>
        </w:numPr>
        <w:spacing w:after="160" w:line="280" w:lineRule="auto"/>
        <w:keepNext/>
        <w:keepLines/>
      </w:pPr>
      <w:r>
        <w:rPr>
          <w:rFonts w:ascii="Calibri" w:hAnsi="Calibri" w:eastAsia="SimSun"/>
        </w:rPr>
        <w:t>策略决策：通过冻结的 Aegis Chain 策略输出 ALLOW、REVIEW、BLOCK 或 UNKNOWN，并记录策略版本与 SHA-256。</w:t>
      </w:r>
    </w:p>
    <w:p>
      <w:pPr>
        <w:numPr>
          <w:ilvl w:val="0"/>
          <w:numId w:val="11"/>
        </w:numPr>
        <w:spacing w:after="160" w:line="280" w:lineRule="auto"/>
      </w:pPr>
      <w:r>
        <w:rPr>
          <w:rFonts w:ascii="Calibri" w:hAnsi="Calibri" w:eastAsia="SimSun"/>
        </w:rPr>
        <w:t>评测追踪：逐 case 保存终态、预测、耗时和树哈希；支持断点续扫、指标复算和失败诊断。</w:t>
      </w:r>
    </w:p>
    <w:p>
      <w:pPr>
        <w:pStyle w:val="Caption"/>
        <w:keepNext/>
        <w:keepLines/>
      </w:pPr>
      <w:r>
        <w:t>表 1  四态准入决策与评测映射</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00"/>
        <w:gridCol w:w="1800"/>
        <w:gridCol w:w="4260"/>
        <w:gridCol w:w="1800"/>
      </w:tblGrid>
      <w:tr>
        <w:trPr>
          <w:tblHeader w:val="true"/>
        </w:trPr>
        <w:tc>
          <w:tcPr>
            <w:tcW w:type="dxa" w:w="15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系统决策</w:t>
            </w:r>
          </w:p>
        </w:tc>
        <w:tc>
          <w:tcPr>
            <w:tcW w:type="dxa" w:w="18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三分类映射</w:t>
            </w:r>
          </w:p>
        </w:tc>
        <w:tc>
          <w:tcPr>
            <w:tcW w:type="dxa" w:w="42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运营含义</w:t>
            </w:r>
          </w:p>
        </w:tc>
        <w:tc>
          <w:tcPr>
            <w:tcW w:type="dxa" w:w="18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是否自动放行</w:t>
            </w:r>
          </w:p>
        </w:tc>
      </w:tr>
      <w:tr>
        <w:trPr/>
        <w:tc>
          <w:tcPr>
            <w:tcW w:type="dxa" w:w="15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ALLOW</w:t>
            </w:r>
          </w:p>
        </w:tc>
        <w:tc>
          <w:tcPr>
            <w:tcW w:type="dxa" w:w="18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normal</w:t>
            </w:r>
          </w:p>
        </w:tc>
        <w:tc>
          <w:tcPr>
            <w:tcW w:type="dxa" w:w="42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未发现达到门槛的风险证据</w:t>
            </w:r>
          </w:p>
        </w:tc>
        <w:tc>
          <w:tcPr>
            <w:tcW w:type="dxa" w:w="18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是</w:t>
            </w:r>
          </w:p>
        </w:tc>
      </w:tr>
      <w:tr>
        <w:trPr/>
        <w:tc>
          <w:tcPr>
            <w:tcW w:type="dxa" w:w="15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REVIEW</w:t>
            </w:r>
          </w:p>
        </w:tc>
        <w:tc>
          <w:tcPr>
            <w:tcW w:type="dxa" w:w="18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suspicious</w:t>
            </w:r>
          </w:p>
        </w:tc>
        <w:tc>
          <w:tcPr>
            <w:tcW w:type="dxa" w:w="42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存在风险信号，进入人工复核</w:t>
            </w:r>
          </w:p>
        </w:tc>
        <w:tc>
          <w:tcPr>
            <w:tcW w:type="dxa" w:w="18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否</w:t>
            </w:r>
          </w:p>
        </w:tc>
      </w:tr>
      <w:tr>
        <w:trPr/>
        <w:tc>
          <w:tcPr>
            <w:tcW w:type="dxa" w:w="15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BLOCK</w:t>
            </w:r>
          </w:p>
        </w:tc>
        <w:tc>
          <w:tcPr>
            <w:tcW w:type="dxa" w:w="18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malicious</w:t>
            </w:r>
          </w:p>
        </w:tc>
        <w:tc>
          <w:tcPr>
            <w:tcW w:type="dxa" w:w="42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命中高风险规则，阻断接入</w:t>
            </w:r>
          </w:p>
        </w:tc>
        <w:tc>
          <w:tcPr>
            <w:tcW w:type="dxa" w:w="18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否</w:t>
            </w:r>
          </w:p>
        </w:tc>
      </w:tr>
      <w:tr>
        <w:trPr/>
        <w:tc>
          <w:tcPr>
            <w:tcW w:type="dxa" w:w="15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UNKNOWN</w:t>
            </w:r>
          </w:p>
        </w:tc>
        <w:tc>
          <w:tcPr>
            <w:tcW w:type="dxa" w:w="18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abstain</w:t>
            </w:r>
          </w:p>
        </w:tc>
        <w:tc>
          <w:tcPr>
            <w:tcW w:type="dxa" w:w="42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扫描失败或证据不足，按失败闭锁处理</w:t>
            </w:r>
          </w:p>
        </w:tc>
        <w:tc>
          <w:tcPr>
            <w:tcW w:type="dxa" w:w="18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否</w:t>
            </w:r>
          </w:p>
        </w:tc>
      </w:tr>
    </w:tbl>
    <w:p>
      <w:pPr>
        <w:spacing w:after="20"/>
      </w:pPr>
    </w:p>
    <w:p>
      <w:pPr>
        <w:pStyle w:val="Heading2"/>
        <w:keepNext/>
        <w:keepLines/>
      </w:pPr>
      <w:r>
        <w:t>2.2 安全与可复现设计</w:t>
      </w:r>
    </w:p>
    <w:p>
      <w:pPr>
        <w:pStyle w:val="ListBullet"/>
      </w:pPr>
      <w:r>
        <w:rPr>
          <w:rFonts w:ascii="Calibri" w:hAnsi="Calibri" w:eastAsia="SimSun"/>
        </w:rPr>
        <w:t>不安装 Skill，不导入样本 Python 模块，不执行样本脚本、Shell 命令或依赖。</w:t>
      </w:r>
    </w:p>
    <w:p>
      <w:pPr>
        <w:pStyle w:val="ListBullet"/>
      </w:pPr>
      <w:r>
        <w:rPr>
          <w:rFonts w:ascii="Calibri" w:hAnsi="Calibri" w:eastAsia="SimSun"/>
        </w:rPr>
        <w:t>关闭 LLM、VirusTotal、AI Defense 和其他云分析凭据，避免恶意样本内容外传。</w:t>
      </w:r>
    </w:p>
    <w:p>
      <w:pPr>
        <w:pStyle w:val="ListBullet"/>
      </w:pPr>
      <w:r>
        <w:rPr>
          <w:rFonts w:ascii="Calibri" w:hAnsi="Calibri" w:eastAsia="SimSun"/>
        </w:rPr>
        <w:t>扫描前后复核样本 tree SHA-256；553 条可读样本均未发生内容变化。</w:t>
      </w:r>
    </w:p>
    <w:p>
      <w:pPr>
        <w:pStyle w:val="ListBullet"/>
      </w:pPr>
      <w:r>
        <w:rPr>
          <w:rFonts w:ascii="Calibri" w:hAnsi="Calibri" w:eastAsia="SimSun"/>
        </w:rPr>
        <w:t>保留运行 ID、扫描器版本/哈希、策略版本/哈希、数据清单哈希和逐样本结果，保证结果可追溯。</w:t>
      </w:r>
    </w:p>
    <w:p>
      <w:pPr>
        <w:pStyle w:val="ListBullet"/>
      </w:pPr>
      <w:r>
        <w:rPr>
          <w:rFonts w:ascii="Calibri" w:hAnsi="Calibri" w:eastAsia="SimSun"/>
        </w:rPr>
        <w:t>出现运行时错误或终端防护阻断时，不把样本判为安全，而是进入 UNKNOWN。</w:t>
      </w:r>
    </w:p>
    <w:p>
      <w:pPr>
        <w:pStyle w:val="Heading1"/>
        <w:keepNext/>
        <w:keepLines/>
      </w:pPr>
      <w:r>
        <w:t>3 数据集与实验设计</w:t>
      </w:r>
    </w:p>
    <w:p>
      <w:pPr>
        <w:pStyle w:val="Heading2"/>
        <w:keepNext/>
        <w:keepLines/>
      </w:pPr>
      <w:r>
        <w:t>3.1 数据来源与固定身份</w:t>
      </w:r>
    </w:p>
    <w:p>
      <w:r>
        <w:rPr>
          <w:rFonts w:ascii="Calibri" w:hAnsi="Calibri" w:eastAsia="SimSun"/>
        </w:rPr>
        <w:t>SkillTrustBench 是面向智能体 Skill 安全扫描器的公开基准，完整 v1.0 audited refresh 含 5,520 条 normal / suspicious / malicious 三类样本。官方结果仓库提供固定 10% 评测清单，本项目严格使用该 556 条清单，不因扫描结果更换样本。该数据集适合作为竞赛阶段的公开外部基准，但截至审计时未找到专门介绍其构造与标注方法的同行评审数据集论文，因此正式表述为“联合发布的公开基准”，不称为国际标准。</w:t>
      </w:r>
    </w:p>
    <w:p>
      <w:pPr>
        <w:pStyle w:val="Caption"/>
        <w:keepNext/>
        <w:keepLines/>
      </w:pPr>
      <w:r>
        <w:t>表 2  官方 556 条固定子集的可复现身份</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7"/>
              </w:rPr>
              <w:t>项目</w:t>
            </w:r>
          </w:p>
        </w:tc>
        <w:tc>
          <w:tcPr>
            <w:tcW w:type="dxa" w:w="69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7"/>
              </w:rPr>
              <w:t>固定值</w:t>
            </w:r>
          </w:p>
        </w:tc>
      </w:tr>
      <w:tr>
        <w:trPr/>
        <w:tc>
          <w:tcPr>
            <w:tcW w:type="dxa" w:w="24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数据集提交</w:t>
            </w:r>
          </w:p>
        </w:tc>
        <w:tc>
          <w:tcPr>
            <w:tcW w:type="dxa" w:w="69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762d5388b3a047b26df9679582af868a0e5b2c8f</w:t>
            </w:r>
          </w:p>
        </w:tc>
      </w:tr>
      <w:tr>
        <w:trPr/>
        <w:tc>
          <w:tcPr>
            <w:tcW w:type="dxa" w:w="24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结果仓库提交</w:t>
            </w:r>
          </w:p>
        </w:tc>
        <w:tc>
          <w:tcPr>
            <w:tcW w:type="dxa" w:w="69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326ec286d082199cb270b25b8b4fc93c8762281e</w:t>
            </w:r>
          </w:p>
        </w:tc>
      </w:tr>
      <w:tr>
        <w:trPr/>
        <w:tc>
          <w:tcPr>
            <w:tcW w:type="dxa" w:w="24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子集文件 SHA-256</w:t>
            </w:r>
          </w:p>
        </w:tc>
        <w:tc>
          <w:tcPr>
            <w:tcW w:type="dxa" w:w="69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dff7621ffcc7a42f1a8ff64c8e47d2fafc1cd332431fd533be88bb684aaa6843</w:t>
            </w:r>
          </w:p>
        </w:tc>
      </w:tr>
      <w:tr>
        <w:trPr/>
        <w:tc>
          <w:tcPr>
            <w:tcW w:type="dxa" w:w="24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排序 ID 清单 SHA-256</w:t>
            </w:r>
          </w:p>
        </w:tc>
        <w:tc>
          <w:tcPr>
            <w:tcW w:type="dxa" w:w="69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903a036e4b7b16ee28e22d5d9db57a00b3764cfe41e43144acad67921e5196c2</w:t>
            </w:r>
          </w:p>
        </w:tc>
      </w:tr>
      <w:tr>
        <w:trPr/>
        <w:tc>
          <w:tcPr>
            <w:tcW w:type="dxa" w:w="24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样本与标签</w:t>
            </w:r>
          </w:p>
        </w:tc>
        <w:tc>
          <w:tcPr>
            <w:tcW w:type="dxa" w:w="69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556：normal 166 / suspicious 105 / malicious 285</w:t>
            </w:r>
          </w:p>
        </w:tc>
      </w:tr>
      <w:tr>
        <w:trPr/>
        <w:tc>
          <w:tcPr>
            <w:tcW w:type="dxa" w:w="24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许可</w:t>
            </w:r>
          </w:p>
        </w:tc>
        <w:tc>
          <w:tcPr>
            <w:tcW w:type="dxa" w:w="69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CC BY-NC-SA 4.0，仅用于本次非商业科研/竞赛评测</w:t>
            </w:r>
          </w:p>
        </w:tc>
      </w:tr>
    </w:tbl>
    <w:p>
      <w:pPr>
        <w:spacing w:after="20"/>
      </w:pPr>
    </w:p>
    <w:p>
      <w:pPr>
        <w:pStyle w:val="Heading2"/>
        <w:keepNext/>
        <w:keepLines/>
      </w:pPr>
      <w:r>
        <w:t>3.2 运行环境与冻结契约</w:t>
      </w:r>
    </w:p>
    <w:p>
      <w:pPr>
        <w:pStyle w:val="Caption"/>
        <w:keepNext/>
        <w:keepLines/>
      </w:pPr>
      <w:r>
        <w:t>表 3  本地离线扫描环境</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800"/>
        <w:gridCol w:w="6560"/>
      </w:tblGrid>
      <w:tr>
        <w:trPr>
          <w:tblHeader w:val="true"/>
        </w:trPr>
        <w:tc>
          <w:tcPr>
            <w:tcW w:type="dxa" w:w="28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项目</w:t>
            </w:r>
          </w:p>
        </w:tc>
        <w:tc>
          <w:tcPr>
            <w:tcW w:type="dxa" w:w="65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设置</w:t>
            </w:r>
          </w:p>
        </w:tc>
      </w:tr>
      <w:tr>
        <w:trPr/>
        <w:tc>
          <w:tcPr>
            <w:tcW w:type="dxa" w:w="28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操作系统</w:t>
            </w:r>
          </w:p>
        </w:tc>
        <w:tc>
          <w:tcPr>
            <w:tcW w:type="dxa" w:w="65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Windows 11，本地 CPU，顺序扫描</w:t>
            </w:r>
          </w:p>
        </w:tc>
      </w:tr>
      <w:tr>
        <w:trPr/>
        <w:tc>
          <w:tcPr>
            <w:tcW w:type="dxa" w:w="28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Python</w:t>
            </w:r>
          </w:p>
        </w:tc>
        <w:tc>
          <w:tcPr>
            <w:tcW w:type="dxa" w:w="65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3.13.14</w:t>
            </w:r>
          </w:p>
        </w:tc>
      </w:tr>
      <w:tr>
        <w:trPr/>
        <w:tc>
          <w:tcPr>
            <w:tcW w:type="dxa" w:w="28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Cisco Skill Scanner</w:t>
            </w:r>
          </w:p>
        </w:tc>
        <w:tc>
          <w:tcPr>
            <w:tcW w:type="dxa" w:w="65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2.0.13.dev3+g4dee90371</w:t>
            </w:r>
          </w:p>
        </w:tc>
      </w:tr>
      <w:tr>
        <w:trPr/>
        <w:tc>
          <w:tcPr>
            <w:tcW w:type="dxa" w:w="28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策略</w:t>
            </w:r>
          </w:p>
        </w:tc>
        <w:tc>
          <w:tcPr>
            <w:tcW w:type="dxa" w:w="65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aegis-chain-local-default 1.0.0</w:t>
            </w:r>
          </w:p>
        </w:tc>
      </w:tr>
      <w:tr>
        <w:trPr/>
        <w:tc>
          <w:tcPr>
            <w:tcW w:type="dxa" w:w="28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单条超时</w:t>
            </w:r>
          </w:p>
        </w:tc>
        <w:tc>
          <w:tcPr>
            <w:tcW w:type="dxa" w:w="65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150 秒</w:t>
            </w:r>
          </w:p>
        </w:tc>
      </w:tr>
      <w:tr>
        <w:trPr/>
        <w:tc>
          <w:tcPr>
            <w:tcW w:type="dxa" w:w="28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允许分析器</w:t>
            </w:r>
          </w:p>
        </w:tc>
        <w:tc>
          <w:tcPr>
            <w:tcW w:type="dxa" w:w="65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static_analyzer / bytecode / pipeline</w:t>
            </w:r>
          </w:p>
        </w:tc>
      </w:tr>
      <w:tr>
        <w:trPr/>
        <w:tc>
          <w:tcPr>
            <w:tcW w:type="dxa" w:w="28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LLM、云上传、行为执行</w:t>
            </w:r>
          </w:p>
        </w:tc>
        <w:tc>
          <w:tcPr>
            <w:tcW w:type="dxa" w:w="65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全部关闭</w:t>
            </w:r>
          </w:p>
        </w:tc>
      </w:tr>
      <w:tr>
        <w:trPr/>
        <w:tc>
          <w:tcPr>
            <w:tcW w:type="dxa" w:w="28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总墙钟时间</w:t>
            </w:r>
          </w:p>
        </w:tc>
        <w:tc>
          <w:tcPr>
            <w:tcW w:type="dxa" w:w="65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约 39 分钟，包含中断定位与断点恢复</w:t>
            </w:r>
          </w:p>
        </w:tc>
      </w:tr>
    </w:tbl>
    <w:p>
      <w:pPr>
        <w:spacing w:after="20"/>
      </w:pPr>
    </w:p>
    <w:p>
      <w:pPr>
        <w:pStyle w:val="Heading2"/>
        <w:keepNext/>
        <w:keepLines/>
      </w:pPr>
      <w:r>
        <w:t>3.3 三套评价口径</w:t>
      </w:r>
    </w:p>
    <w:p>
      <w:r>
        <w:rPr>
          <w:rFonts w:ascii="Calibri" w:hAnsi="Calibri" w:eastAsia="SimSun"/>
        </w:rPr>
        <w:t>严格三分类：normal、suspicious、malicious 分别对应 ALLOW、REVIEW、BLOCK；UNKNOWN 为 abstain，并在主指标中按错误计。</w:t>
      </w:r>
    </w:p>
    <w:p>
      <w:r>
        <w:rPr>
          <w:rFonts w:ascii="Calibri" w:hAnsi="Calibri" w:eastAsia="SimSun"/>
        </w:rPr>
        <w:t>风险筛查二分类：suspicious 与 malicious 合并为 non-normal；REVIEW 或 BLOCK 均算识别到风险，衡量接入门禁能否把风险样本送入人工复核或阻断。</w:t>
      </w:r>
    </w:p>
    <w:p>
      <w:r>
        <w:rPr>
          <w:rFonts w:ascii="Calibri" w:hAnsi="Calibri" w:eastAsia="SimSun"/>
        </w:rPr>
        <w:t>运营失败闭锁：REVIEW、BLOCK、UNKNOWN 均不自动放行。该口径说明系统是否安全处置失败，不能与检测模型 F1 混为一谈。</w:t>
      </w:r>
    </w:p>
    <w:p>
      <w:pPr>
        <w:pStyle w:val="Heading1"/>
        <w:keepNext/>
        <w:keepLines/>
      </w:pPr>
      <w:r>
        <w:t>4 扫描结果与指标解读</w:t>
      </w:r>
    </w:p>
    <w:p>
      <w:pPr>
        <w:pStyle w:val="Heading2"/>
        <w:keepNext/>
        <w:keepLines/>
      </w:pPr>
      <w:r>
        <w:t>4.1 运行完整性</w:t>
      </w:r>
    </w:p>
    <w:tbl>
      <w:tblPr>
        <w:tblW w:type="dxa" w:w="9360"/>
        <w:jc w:val="left"/>
        <w:tblLayout w:type="fixed"/>
        <w:tblLook w:firstColumn="1" w:firstRow="1" w:lastColumn="0" w:lastRow="0" w:noHBand="0" w:noVBand="1" w:val="04A0"/>
        <w:tblInd w:type="dxa" w:w="120"/>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
      <w:tblGrid>
        <w:gridCol w:w="9360"/>
      </w:tblGrid>
      <w:tr>
        <w:trPr/>
        <w:tc>
          <w:tcPr>
            <w:tcW w:type="dxa" w:w="9360"/>
            <w:tcMar>
              <w:top w:w="80" w:type="dxa"/>
              <w:start w:w="120" w:type="dxa"/>
              <w:bottom w:w="80" w:type="dxa"/>
              <w:end w:w="120" w:type="dxa"/>
            </w:tcMar>
            <w:vAlign w:val="center"/>
            <w:shd w:fill="E9F5EE"/>
          </w:tcPr>
          <w:p>
            <w:pPr>
              <w:spacing w:before="60" w:after="60" w:line="264" w:lineRule="auto"/>
            </w:pPr>
            <w:r>
              <w:rPr>
                <w:rFonts w:ascii="Calibri" w:hAnsi="Calibri" w:eastAsia="Microsoft YaHei"/>
                <w:b/>
                <w:color w:val="2F855A"/>
                <w:sz w:val="22"/>
              </w:rPr>
              <w:t xml:space="preserve">运行终态  </w:t>
            </w:r>
            <w:r>
              <w:rPr>
                <w:rFonts w:ascii="Calibri" w:hAnsi="Calibri" w:eastAsia="SimSun"/>
                <w:color w:val="1F2937"/>
                <w:sz w:val="22"/>
              </w:rPr>
              <w:t>556/556 条样本均产生终态：546 条 completed，7 条 Cisco 运行时错误，3 条被 Windows Defender 阻断读取；后 10 条全部记为 UNKNOWN/abstain。</w:t>
            </w:r>
          </w:p>
        </w:tc>
      </w:tr>
    </w:tbl>
    <w:p>
      <w:pPr>
        <w:spacing w:after="40"/>
      </w:pPr>
    </w:p>
    <w:p>
      <w:pPr>
        <w:pStyle w:val="Caption"/>
        <w:keepNext/>
        <w:keepLines/>
      </w:pPr>
      <w:r>
        <w:t>表 4  核心指标</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50"/>
        <w:gridCol w:w="1700"/>
        <w:gridCol w:w="5310"/>
      </w:tblGrid>
      <w:tr>
        <w:trPr>
          <w:tblHeader w:val="true"/>
        </w:trPr>
        <w:tc>
          <w:tcPr>
            <w:tcW w:type="dxa" w:w="235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指标</w:t>
            </w:r>
          </w:p>
        </w:tc>
        <w:tc>
          <w:tcPr>
            <w:tcW w:type="dxa" w:w="17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结果</w:t>
            </w:r>
          </w:p>
        </w:tc>
        <w:tc>
          <w:tcPr>
            <w:tcW w:type="dxa" w:w="531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正确解释</w:t>
            </w:r>
          </w:p>
        </w:tc>
      </w:tr>
      <w:tr>
        <w:trPr/>
        <w:tc>
          <w:tcPr>
            <w:tcW w:type="dxa" w:w="23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Coverage</w:t>
            </w:r>
          </w:p>
        </w:tc>
        <w:tc>
          <w:tcPr>
            <w:tcW w:type="dxa" w:w="17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98.20%</w:t>
            </w:r>
          </w:p>
        </w:tc>
        <w:tc>
          <w:tcPr>
            <w:tcW w:type="dxa" w:w="531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546/556 获得非 abstain 预测</w:t>
            </w:r>
          </w:p>
        </w:tc>
      </w:tr>
      <w:tr>
        <w:trPr/>
        <w:tc>
          <w:tcPr>
            <w:tcW w:type="dxa" w:w="23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Failure rate</w:t>
            </w:r>
          </w:p>
        </w:tc>
        <w:tc>
          <w:tcPr>
            <w:tcW w:type="dxa" w:w="17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1.80%</w:t>
            </w:r>
          </w:p>
        </w:tc>
        <w:tc>
          <w:tcPr>
            <w:tcW w:type="dxa" w:w="531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10/556 进入失败闭锁</w:t>
            </w:r>
          </w:p>
        </w:tc>
      </w:tr>
      <w:tr>
        <w:trPr/>
        <w:tc>
          <w:tcPr>
            <w:tcW w:type="dxa" w:w="23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Strict macro F1</w:t>
            </w:r>
          </w:p>
        </w:tc>
        <w:tc>
          <w:tcPr>
            <w:tcW w:type="dxa" w:w="17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0.4977</w:t>
            </w:r>
          </w:p>
        </w:tc>
        <w:tc>
          <w:tcPr>
            <w:tcW w:type="dxa" w:w="531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三类 F1 等权平均，abstain 计错</w:t>
            </w:r>
          </w:p>
        </w:tc>
      </w:tr>
      <w:tr>
        <w:trPr/>
        <w:tc>
          <w:tcPr>
            <w:tcW w:type="dxa" w:w="23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三分类准确率</w:t>
            </w:r>
          </w:p>
        </w:tc>
        <w:tc>
          <w:tcPr>
            <w:tcW w:type="dxa" w:w="17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60.61%</w:t>
            </w:r>
          </w:p>
        </w:tc>
        <w:tc>
          <w:tcPr>
            <w:tcW w:type="dxa" w:w="531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仅作补充，不作为单一宣传指标</w:t>
            </w:r>
          </w:p>
        </w:tc>
      </w:tr>
      <w:tr>
        <w:trPr/>
        <w:tc>
          <w:tcPr>
            <w:tcW w:type="dxa" w:w="23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Malicious recall</w:t>
            </w:r>
          </w:p>
        </w:tc>
        <w:tc>
          <w:tcPr>
            <w:tcW w:type="dxa" w:w="17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72.28%</w:t>
            </w:r>
          </w:p>
        </w:tc>
        <w:tc>
          <w:tcPr>
            <w:tcW w:type="dxa" w:w="531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285 条恶意中 206 条被 BLOCK</w:t>
            </w:r>
          </w:p>
        </w:tc>
      </w:tr>
      <w:tr>
        <w:trPr/>
        <w:tc>
          <w:tcPr>
            <w:tcW w:type="dxa" w:w="23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Non-normal recall</w:t>
            </w:r>
          </w:p>
        </w:tc>
        <w:tc>
          <w:tcPr>
            <w:tcW w:type="dxa" w:w="17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76.67%</w:t>
            </w:r>
          </w:p>
        </w:tc>
        <w:tc>
          <w:tcPr>
            <w:tcW w:type="dxa" w:w="531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390 条风险样本中 299 条进入 REVIEW/BLOCK</w:t>
            </w:r>
          </w:p>
        </w:tc>
      </w:tr>
      <w:tr>
        <w:trPr/>
        <w:tc>
          <w:tcPr>
            <w:tcW w:type="dxa" w:w="23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Normal FPR</w:t>
            </w:r>
          </w:p>
        </w:tc>
        <w:tc>
          <w:tcPr>
            <w:tcW w:type="dxa" w:w="17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24.70%</w:t>
            </w:r>
          </w:p>
        </w:tc>
        <w:tc>
          <w:tcPr>
            <w:tcW w:type="dxa" w:w="531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166 条正常中 41 条被 REVIEW/BLOCK</w:t>
            </w:r>
          </w:p>
        </w:tc>
      </w:tr>
      <w:tr>
        <w:trPr/>
        <w:tc>
          <w:tcPr>
            <w:tcW w:type="dxa" w:w="23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中位 / P95 耗时</w:t>
            </w:r>
          </w:p>
        </w:tc>
        <w:tc>
          <w:tcPr>
            <w:tcW w:type="dxa" w:w="17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4,028 / 4,309 ms</w:t>
            </w:r>
          </w:p>
        </w:tc>
        <w:tc>
          <w:tcPr>
            <w:tcW w:type="dxa" w:w="531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单机顺序静态扫描，耗时稳定</w:t>
            </w:r>
          </w:p>
        </w:tc>
      </w:tr>
    </w:tbl>
    <w:p>
      <w:pPr>
        <w:spacing w:after="20"/>
      </w:pPr>
    </w:p>
    <w:p>
      <w:pPr>
        <w:spacing w:before="120" w:after="40"/>
        <w:jc w:val="center"/>
      </w:pPr>
      <w:r>
        <w:drawing>
          <wp:inline xmlns:a="http://schemas.openxmlformats.org/drawingml/2006/main" xmlns:pic="http://schemas.openxmlformats.org/drawingml/2006/picture">
            <wp:extent cx="5623560" cy="2556163"/>
            <wp:docPr id="1" name="Picture 1" title="核心指标条形图" descr="覆盖率98.20%，风险筛查精确率87.94%，风险筛查召回率76.67%，恶意严格召回率72.28%，正常样本误报率24.70%。"/>
            <wp:cNvGraphicFramePr>
              <a:graphicFrameLocks noChangeAspect="1"/>
            </wp:cNvGraphicFramePr>
            <a:graphic>
              <a:graphicData uri="http://schemas.openxmlformats.org/drawingml/2006/picture">
                <pic:pic>
                  <pic:nvPicPr>
                    <pic:cNvPr id="0" name="core_metrics.png"/>
                    <pic:cNvPicPr/>
                  </pic:nvPicPr>
                  <pic:blipFill>
                    <a:blip r:embed="rId12"/>
                    <a:stretch>
                      <a:fillRect/>
                    </a:stretch>
                  </pic:blipFill>
                  <pic:spPr>
                    <a:xfrm>
                      <a:off x="0" y="0"/>
                      <a:ext cx="5623560" cy="2556163"/>
                    </a:xfrm>
                    <a:prstGeom prst="rect"/>
                  </pic:spPr>
                </pic:pic>
              </a:graphicData>
            </a:graphic>
          </wp:inline>
        </w:drawing>
      </w:r>
    </w:p>
    <w:p>
      <w:pPr>
        <w:pStyle w:val="Caption"/>
        <w:keepNext/>
        <w:keepLines/>
      </w:pPr>
      <w:r>
        <w:t>图 1  核心运行与风险筛查指标（严格 macro F1 另按三分类定义计算）</w:t>
      </w:r>
    </w:p>
    <w:p>
      <w:pPr>
        <w:pStyle w:val="Heading2"/>
        <w:keepNext/>
        <w:keepLines/>
      </w:pPr>
      <w:r>
        <w:t>4.2 严格三分类与门禁二分类的差异</w:t>
      </w:r>
    </w:p>
    <w:p>
      <w:r>
        <w:rPr>
          <w:rFonts w:ascii="Calibri" w:hAnsi="Calibri" w:eastAsia="SimSun"/>
        </w:rPr>
        <w:t>Strict macro F1 为 0.4977，并不意味着系统只能发现约一半风险。该指标要求三类精确区分：例如 malicious 被判为 REVIEW 时，在安全运营中已经被拦下，但在严格三分类中仍然算错。suspicious 类只有 9/105 被精确判为 suspicious，是 macro F1 偏低的主要原因之一。</w:t>
      </w:r>
    </w:p>
    <w:p>
      <w:r>
        <w:rPr>
          <w:rFonts w:ascii="Calibri" w:hAnsi="Calibri" w:eastAsia="SimSun"/>
        </w:rPr>
        <w:t>Loose F1 为 81.92%，回答的是另一个问题：系统能否把 suspicious 或 malicious 样本送入 REVIEW/BLOCK。它更接近供应链准入门的实际工作方式，但不能替代严格三分类指标。正式汇报必须同时给出两者，避免只挑选更好看的数字。</w:t>
      </w:r>
    </w:p>
    <w:p>
      <w:pPr>
        <w:pStyle w:val="Caption"/>
        <w:keepNext/>
        <w:keepLines/>
      </w:pPr>
      <w:r>
        <w:t>表 5  统一策略层二分类结果</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00"/>
        <w:gridCol w:w="900"/>
        <w:gridCol w:w="900"/>
        <w:gridCol w:w="900"/>
        <w:gridCol w:w="1440"/>
        <w:gridCol w:w="1440"/>
        <w:gridCol w:w="1440"/>
        <w:gridCol w:w="1440"/>
      </w:tblGrid>
      <w:tr>
        <w:trPr>
          <w:tblHeader w:val="true"/>
        </w:trPr>
        <w:tc>
          <w:tcPr>
            <w:tcW w:type="dxa" w:w="9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TP</w:t>
            </w:r>
          </w:p>
        </w:tc>
        <w:tc>
          <w:tcPr>
            <w:tcW w:type="dxa" w:w="9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FP</w:t>
            </w:r>
          </w:p>
        </w:tc>
        <w:tc>
          <w:tcPr>
            <w:tcW w:type="dxa" w:w="9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FN</w:t>
            </w:r>
          </w:p>
        </w:tc>
        <w:tc>
          <w:tcPr>
            <w:tcW w:type="dxa" w:w="9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TN</w:t>
            </w:r>
          </w:p>
        </w:tc>
        <w:tc>
          <w:tcPr>
            <w:tcW w:type="dxa" w:w="144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Precision</w:t>
            </w:r>
          </w:p>
        </w:tc>
        <w:tc>
          <w:tcPr>
            <w:tcW w:type="dxa" w:w="144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Recall</w:t>
            </w:r>
          </w:p>
        </w:tc>
        <w:tc>
          <w:tcPr>
            <w:tcW w:type="dxa" w:w="144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Loose F1</w:t>
            </w:r>
          </w:p>
        </w:tc>
        <w:tc>
          <w:tcPr>
            <w:tcW w:type="dxa" w:w="144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FPR</w:t>
            </w:r>
          </w:p>
        </w:tc>
      </w:tr>
      <w:tr>
        <w:trPr/>
        <w:tc>
          <w:tcPr>
            <w:tcW w:type="dxa" w:w="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299</w:t>
            </w:r>
          </w:p>
        </w:tc>
        <w:tc>
          <w:tcPr>
            <w:tcW w:type="dxa" w:w="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41</w:t>
            </w:r>
          </w:p>
        </w:tc>
        <w:tc>
          <w:tcPr>
            <w:tcW w:type="dxa" w:w="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91</w:t>
            </w:r>
          </w:p>
        </w:tc>
        <w:tc>
          <w:tcPr>
            <w:tcW w:type="dxa" w:w="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122</w:t>
            </w:r>
          </w:p>
        </w:tc>
        <w:tc>
          <w:tcPr>
            <w:tcW w:type="dxa" w:w="144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87.94%</w:t>
            </w:r>
          </w:p>
        </w:tc>
        <w:tc>
          <w:tcPr>
            <w:tcW w:type="dxa" w:w="144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76.67%</w:t>
            </w:r>
          </w:p>
        </w:tc>
        <w:tc>
          <w:tcPr>
            <w:tcW w:type="dxa" w:w="144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81.92%</w:t>
            </w:r>
          </w:p>
        </w:tc>
        <w:tc>
          <w:tcPr>
            <w:tcW w:type="dxa" w:w="144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24.70%</w:t>
            </w:r>
          </w:p>
        </w:tc>
      </w:tr>
    </w:tbl>
    <w:p>
      <w:pPr>
        <w:spacing w:after="20"/>
      </w:pPr>
    </w:p>
    <w:p>
      <w:r>
        <w:rPr>
          <w:rFonts w:ascii="Calibri" w:hAnsi="Calibri" w:eastAsia="SimSun"/>
        </w:rPr>
        <w:t>注：风险侧 7 个 abstain 按未检出风险计入 FN；正常侧 3 个 abstain 不计为 FP，也不计为 TN，但仍保留在 166 条 normal 的 FPR 分母中。因此 TP+FP+FN+TN 与独立列出的 abstain 不是互斥分组。</w:t>
      </w:r>
    </w:p>
    <w:p>
      <w:pPr>
        <w:pStyle w:val="Heading2"/>
        <w:keepNext/>
        <w:keepLines/>
      </w:pPr>
      <w:r>
        <w:t>4.3 三分类混淆矩阵</w:t>
      </w:r>
    </w:p>
    <w:p>
      <w:pPr>
        <w:pStyle w:val="Caption"/>
        <w:keepNext/>
        <w:keepLines/>
      </w:pPr>
      <w:r>
        <w:t>表 6  三分类混淆矩阵（行是真值，列是系统预测）</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1452"/>
        <w:gridCol w:w="1452"/>
        <w:gridCol w:w="1452"/>
        <w:gridCol w:w="1452"/>
        <w:gridCol w:w="1452"/>
      </w:tblGrid>
      <w:tr>
        <w:trPr>
          <w:tblHeader w:val="true"/>
        </w:trPr>
        <w:tc>
          <w:tcPr>
            <w:tcW w:type="dxa" w:w="21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Ground truth</w:t>
            </w:r>
          </w:p>
        </w:tc>
        <w:tc>
          <w:tcPr>
            <w:tcW w:type="dxa" w:w="1452"/>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Normal</w:t>
            </w:r>
          </w:p>
        </w:tc>
        <w:tc>
          <w:tcPr>
            <w:tcW w:type="dxa" w:w="1452"/>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Suspicious</w:t>
            </w:r>
          </w:p>
        </w:tc>
        <w:tc>
          <w:tcPr>
            <w:tcW w:type="dxa" w:w="1452"/>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Malicious</w:t>
            </w:r>
          </w:p>
        </w:tc>
        <w:tc>
          <w:tcPr>
            <w:tcW w:type="dxa" w:w="1452"/>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Abstain</w:t>
            </w:r>
          </w:p>
        </w:tc>
        <w:tc>
          <w:tcPr>
            <w:tcW w:type="dxa" w:w="1452"/>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合计</w:t>
            </w:r>
          </w:p>
        </w:tc>
      </w:tr>
      <w:tr>
        <w:trPr/>
        <w:tc>
          <w:tcPr>
            <w:tcW w:type="dxa" w:w="21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Normal</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122</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22</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19</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3</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166</w:t>
            </w:r>
          </w:p>
        </w:tc>
      </w:tr>
      <w:tr>
        <w:trPr/>
        <w:tc>
          <w:tcPr>
            <w:tcW w:type="dxa" w:w="21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Suspicious</w:t>
            </w:r>
          </w:p>
        </w:tc>
        <w:tc>
          <w:tcPr>
            <w:tcW w:type="dxa" w:w="1452"/>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38</w:t>
            </w:r>
          </w:p>
        </w:tc>
        <w:tc>
          <w:tcPr>
            <w:tcW w:type="dxa" w:w="1452"/>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9</w:t>
            </w:r>
          </w:p>
        </w:tc>
        <w:tc>
          <w:tcPr>
            <w:tcW w:type="dxa" w:w="1452"/>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57</w:t>
            </w:r>
          </w:p>
        </w:tc>
        <w:tc>
          <w:tcPr>
            <w:tcW w:type="dxa" w:w="1452"/>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1</w:t>
            </w:r>
          </w:p>
        </w:tc>
        <w:tc>
          <w:tcPr>
            <w:tcW w:type="dxa" w:w="1452"/>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105</w:t>
            </w:r>
          </w:p>
        </w:tc>
      </w:tr>
      <w:tr>
        <w:trPr/>
        <w:tc>
          <w:tcPr>
            <w:tcW w:type="dxa" w:w="21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Malicious</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46</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27</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206</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6</w:t>
            </w:r>
          </w:p>
        </w:tc>
        <w:tc>
          <w:tcPr>
            <w:tcW w:type="dxa" w:w="1452"/>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285</w:t>
            </w:r>
          </w:p>
        </w:tc>
      </w:tr>
    </w:tbl>
    <w:p>
      <w:pPr>
        <w:spacing w:after="20"/>
      </w:pPr>
    </w:p>
    <w:tbl>
      <w:tblPr>
        <w:tblW w:type="dxa" w:w="9360"/>
        <w:jc w:val="left"/>
        <w:tblLayout w:type="fixed"/>
        <w:tblLook w:firstColumn="1" w:firstRow="1" w:lastColumn="0" w:lastRow="0" w:noHBand="0" w:noVBand="1" w:val="04A0"/>
        <w:tblInd w:type="dxa" w:w="120"/>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eastAsia="Microsoft YaHei"/>
                <w:b/>
                <w:color w:val="A66A00"/>
                <w:sz w:val="22"/>
              </w:rPr>
              <w:t xml:space="preserve">矩阵解读  </w:t>
            </w:r>
            <w:r>
              <w:rPr>
                <w:rFonts w:ascii="Calibri" w:hAnsi="Calibri" w:eastAsia="SimSun"/>
                <w:color w:val="1F2937"/>
                <w:sz w:val="22"/>
              </w:rPr>
              <w:t>主要问题不是完全检不出恶意，而是精细分级能力不足：27 条恶意被降为 REVIEW，安全门禁仍拦截；46 条恶意被 ALLOW，属于真正需要优先处理的高风险漏报。</w:t>
            </w:r>
          </w:p>
        </w:tc>
      </w:tr>
    </w:tbl>
    <w:p>
      <w:pPr>
        <w:spacing w:after="40"/>
      </w:pPr>
    </w:p>
    <w:p>
      <w:pPr>
        <w:pStyle w:val="Heading2"/>
        <w:keepNext/>
        <w:keepLines/>
      </w:pPr>
      <w:r>
        <w:t>4.4 T01–T09 风险类型召回</w:t>
      </w:r>
    </w:p>
    <w:p>
      <w:pPr>
        <w:spacing w:before="80" w:after="40"/>
        <w:jc w:val="center"/>
      </w:pPr>
      <w:r>
        <w:drawing>
          <wp:inline xmlns:a="http://schemas.openxmlformats.org/drawingml/2006/main" xmlns:pic="http://schemas.openxmlformats.org/drawingml/2006/picture">
            <wp:extent cx="5623560" cy="2449656"/>
            <wp:docPr id="2" name="Picture 2" title="T01至T09风险召回率柱状图" descr="T01至T09召回率依次为82.31%、75.00%、76.92%、79.24%、66.67%、40.00%、91.67%、96.00%、62.50%，其中T06、T09、T05为补强重点。"/>
            <wp:cNvGraphicFramePr>
              <a:graphicFrameLocks noChangeAspect="1"/>
            </wp:cNvGraphicFramePr>
            <a:graphic>
              <a:graphicData uri="http://schemas.openxmlformats.org/drawingml/2006/picture">
                <pic:pic>
                  <pic:nvPicPr>
                    <pic:cNvPr id="0" name="risk_recall.png"/>
                    <pic:cNvPicPr/>
                  </pic:nvPicPr>
                  <pic:blipFill>
                    <a:blip r:embed="rId13"/>
                    <a:stretch>
                      <a:fillRect/>
                    </a:stretch>
                  </pic:blipFill>
                  <pic:spPr>
                    <a:xfrm>
                      <a:off x="0" y="0"/>
                      <a:ext cx="5623560" cy="2449656"/>
                    </a:xfrm>
                    <a:prstGeom prst="rect"/>
                  </pic:spPr>
                </pic:pic>
              </a:graphicData>
            </a:graphic>
          </wp:inline>
        </w:drawing>
      </w:r>
    </w:p>
    <w:p>
      <w:pPr>
        <w:pStyle w:val="Caption"/>
        <w:keepNext/>
        <w:keepLines/>
      </w:pPr>
      <w:r>
        <w:t>图 2  T01–T09 风险筛查召回率；T06、T09、T05 为当前补强重点</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3000"/>
        <w:gridCol w:w="1900"/>
        <w:gridCol w:w="1900"/>
        <w:gridCol w:w="2560"/>
      </w:tblGrid>
      <w:tr>
        <w:trPr>
          <w:tblHeader w:val="true"/>
        </w:trPr>
        <w:tc>
          <w:tcPr>
            <w:tcW w:type="dxa" w:w="30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风险类型</w:t>
            </w:r>
          </w:p>
        </w:tc>
        <w:tc>
          <w:tcPr>
            <w:tcW w:type="dxa" w:w="19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Support</w:t>
            </w:r>
          </w:p>
        </w:tc>
        <w:tc>
          <w:tcPr>
            <w:tcW w:type="dxa" w:w="19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Detected</w:t>
            </w:r>
          </w:p>
        </w:tc>
        <w:tc>
          <w:tcPr>
            <w:tcW w:type="dxa" w:w="25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Recall</w:t>
            </w:r>
          </w:p>
        </w:tc>
      </w:tr>
      <w:tr>
        <w:trPr/>
        <w:tc>
          <w:tcPr>
            <w:tcW w:type="dxa" w:w="30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T01</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147</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121</w:t>
            </w:r>
          </w:p>
        </w:tc>
        <w:tc>
          <w:tcPr>
            <w:tcW w:type="dxa" w:w="256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82.31%</w:t>
            </w:r>
          </w:p>
        </w:tc>
      </w:tr>
      <w:tr>
        <w:trPr/>
        <w:tc>
          <w:tcPr>
            <w:tcW w:type="dxa" w:w="30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T02</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16</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12</w:t>
            </w:r>
          </w:p>
        </w:tc>
        <w:tc>
          <w:tcPr>
            <w:tcW w:type="dxa" w:w="256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75.00%</w:t>
            </w:r>
          </w:p>
        </w:tc>
      </w:tr>
      <w:tr>
        <w:trPr/>
        <w:tc>
          <w:tcPr>
            <w:tcW w:type="dxa" w:w="30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T03</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78</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60</w:t>
            </w:r>
          </w:p>
        </w:tc>
        <w:tc>
          <w:tcPr>
            <w:tcW w:type="dxa" w:w="256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76.92%</w:t>
            </w:r>
          </w:p>
        </w:tc>
      </w:tr>
      <w:tr>
        <w:trPr/>
        <w:tc>
          <w:tcPr>
            <w:tcW w:type="dxa" w:w="30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T04</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289</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229</w:t>
            </w:r>
          </w:p>
        </w:tc>
        <w:tc>
          <w:tcPr>
            <w:tcW w:type="dxa" w:w="256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79.24%</w:t>
            </w:r>
          </w:p>
        </w:tc>
      </w:tr>
      <w:tr>
        <w:trPr/>
        <w:tc>
          <w:tcPr>
            <w:tcW w:type="dxa" w:w="30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T05</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111</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74</w:t>
            </w:r>
          </w:p>
        </w:tc>
        <w:tc>
          <w:tcPr>
            <w:tcW w:type="dxa" w:w="256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66.67%</w:t>
            </w:r>
          </w:p>
        </w:tc>
      </w:tr>
      <w:tr>
        <w:trPr/>
        <w:tc>
          <w:tcPr>
            <w:tcW w:type="dxa" w:w="30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T06</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10</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4</w:t>
            </w:r>
          </w:p>
        </w:tc>
        <w:tc>
          <w:tcPr>
            <w:tcW w:type="dxa" w:w="256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40.00%</w:t>
            </w:r>
          </w:p>
        </w:tc>
      </w:tr>
      <w:tr>
        <w:trPr/>
        <w:tc>
          <w:tcPr>
            <w:tcW w:type="dxa" w:w="30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T07</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12</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11</w:t>
            </w:r>
          </w:p>
        </w:tc>
        <w:tc>
          <w:tcPr>
            <w:tcW w:type="dxa" w:w="256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91.67%</w:t>
            </w:r>
          </w:p>
        </w:tc>
      </w:tr>
      <w:tr>
        <w:trPr/>
        <w:tc>
          <w:tcPr>
            <w:tcW w:type="dxa" w:w="30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T08</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25</w:t>
            </w:r>
          </w:p>
        </w:tc>
        <w:tc>
          <w:tcPr>
            <w:tcW w:type="dxa" w:w="19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24</w:t>
            </w:r>
          </w:p>
        </w:tc>
        <w:tc>
          <w:tcPr>
            <w:tcW w:type="dxa" w:w="256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96.00%</w:t>
            </w:r>
          </w:p>
        </w:tc>
      </w:tr>
      <w:tr>
        <w:trPr/>
        <w:tc>
          <w:tcPr>
            <w:tcW w:type="dxa" w:w="30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T09</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112</w:t>
            </w:r>
          </w:p>
        </w:tc>
        <w:tc>
          <w:tcPr>
            <w:tcW w:type="dxa" w:w="19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70</w:t>
            </w:r>
          </w:p>
        </w:tc>
        <w:tc>
          <w:tcPr>
            <w:tcW w:type="dxa" w:w="256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62.50%</w:t>
            </w:r>
          </w:p>
        </w:tc>
      </w:tr>
    </w:tbl>
    <w:p>
      <w:pPr>
        <w:spacing w:after="20"/>
      </w:pPr>
    </w:p>
    <w:p>
      <w:r>
        <w:rPr>
          <w:rFonts w:ascii="Calibri" w:hAnsi="Calibri" w:eastAsia="SimSun"/>
        </w:rPr>
        <w:t>说明：一条样本可包含多个风险标签，因此各类型 support 之和大于 390。T06、T07 support 较小，百分比波动较大；T06 的 4/10 仍足以作为高优先级人工复核切片，但不宜把单个百分比外推到真实市场。</w:t>
      </w:r>
    </w:p>
    <w:p>
      <w:pPr>
        <w:pStyle w:val="Heading1"/>
        <w:keepNext/>
        <w:keepLines/>
      </w:pPr>
      <w:r>
        <w:t>5 误报、漏报与失败分析</w:t>
      </w:r>
    </w:p>
    <w:p>
      <w:pPr>
        <w:pStyle w:val="Heading2"/>
        <w:keepNext/>
        <w:keepLines/>
      </w:pPr>
      <w:r>
        <w:t>5.1 风险筛查漏报</w:t>
      </w:r>
    </w:p>
    <w:p>
      <w:r>
        <w:rPr>
          <w:rFonts w:ascii="Calibri" w:hAnsi="Calibri" w:eastAsia="SimSun"/>
        </w:rPr>
        <w:t>共 91 条 non-normal 未进入 REVIEW/BLOCK，其中 39 条 suspicious、52 条 malicious。严格恶意漏判共 79 条：27 条进入 REVIEW，46 条被 ALLOW，6 条为 abstain。</w:t>
      </w:r>
    </w:p>
    <w:p>
      <w:pPr>
        <w:pStyle w:val="Caption"/>
        <w:keepNext/>
        <w:keepLines/>
      </w:pPr>
      <w:r>
        <w:t>表 7  高优先级漏报切片</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750"/>
        <w:gridCol w:w="2460"/>
        <w:gridCol w:w="2600"/>
        <w:gridCol w:w="2550"/>
      </w:tblGrid>
      <w:tr>
        <w:trPr>
          <w:tblHeader w:val="true"/>
        </w:trPr>
        <w:tc>
          <w:tcPr>
            <w:tcW w:type="dxa" w:w="175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7"/>
              </w:rPr>
              <w:t>切片</w:t>
            </w:r>
          </w:p>
        </w:tc>
        <w:tc>
          <w:tcPr>
            <w:tcW w:type="dxa" w:w="24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7"/>
              </w:rPr>
              <w:t>现象</w:t>
            </w:r>
          </w:p>
        </w:tc>
        <w:tc>
          <w:tcPr>
            <w:tcW w:type="dxa" w:w="26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7"/>
              </w:rPr>
              <w:t>风险判断</w:t>
            </w:r>
          </w:p>
        </w:tc>
        <w:tc>
          <w:tcPr>
            <w:tcW w:type="dxa" w:w="255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7"/>
              </w:rPr>
              <w:t>下一步</w:t>
            </w:r>
          </w:p>
        </w:tc>
      </w:tr>
      <w:tr>
        <w:trPr/>
        <w:tc>
          <w:tcPr>
            <w:tcW w:type="dxa" w:w="17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wild_real_world</w:t>
            </w:r>
          </w:p>
        </w:tc>
        <w:tc>
          <w:tcPr>
            <w:tcW w:type="dxa" w:w="24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风险筛查仅 6/27，召回 22.22%</w:t>
            </w:r>
          </w:p>
        </w:tc>
        <w:tc>
          <w:tcPr>
            <w:tcW w:type="dxa" w:w="26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最明显的分布外短板</w:t>
            </w:r>
          </w:p>
        </w:tc>
        <w:tc>
          <w:tcPr>
            <w:tcW w:type="dxa" w:w="25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逐案提取跨文件、隐蔽指令和真实攻击模式</w:t>
            </w:r>
          </w:p>
        </w:tc>
      </w:tr>
      <w:tr>
        <w:trPr/>
        <w:tc>
          <w:tcPr>
            <w:tcW w:type="dxa" w:w="17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crypto_wallet</w:t>
            </w:r>
          </w:p>
        </w:tc>
        <w:tc>
          <w:tcPr>
            <w:tcW w:type="dxa" w:w="24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风险筛查 16/27，召回 59.26%</w:t>
            </w:r>
          </w:p>
        </w:tc>
        <w:tc>
          <w:tcPr>
            <w:tcW w:type="dxa" w:w="26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涉及密钥、签名和外联，业务与攻击语义接近</w:t>
            </w:r>
          </w:p>
        </w:tc>
        <w:tc>
          <w:tcPr>
            <w:tcW w:type="dxa" w:w="25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增加敏感数据来源—目标域—网络行为关联</w:t>
            </w:r>
          </w:p>
        </w:tc>
      </w:tr>
      <w:tr>
        <w:trPr/>
        <w:tc>
          <w:tcPr>
            <w:tcW w:type="dxa" w:w="17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api_integration</w:t>
            </w:r>
          </w:p>
        </w:tc>
        <w:tc>
          <w:tcPr>
            <w:tcW w:type="dxa" w:w="24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15 条漏报</w:t>
            </w:r>
          </w:p>
        </w:tc>
        <w:tc>
          <w:tcPr>
            <w:tcW w:type="dxa" w:w="26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合法 API 调用掩盖潜在外传路径</w:t>
            </w:r>
          </w:p>
        </w:tc>
        <w:tc>
          <w:tcPr>
            <w:tcW w:type="dxa" w:w="255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结合声明能力、目标域和数据类型做上下文判定</w:t>
            </w:r>
          </w:p>
        </w:tc>
      </w:tr>
      <w:tr>
        <w:trPr/>
        <w:tc>
          <w:tcPr>
            <w:tcW w:type="dxa" w:w="17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T06/T09/T05</w:t>
            </w:r>
          </w:p>
        </w:tc>
        <w:tc>
          <w:tcPr>
            <w:tcW w:type="dxa" w:w="24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召回 40.00% / 62.50% / 66.67%</w:t>
            </w:r>
          </w:p>
        </w:tc>
        <w:tc>
          <w:tcPr>
            <w:tcW w:type="dxa" w:w="26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规则覆盖不足或严重度门槛不合适</w:t>
            </w:r>
          </w:p>
        </w:tc>
        <w:tc>
          <w:tcPr>
            <w:tcW w:type="dxa" w:w="255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7"/>
              </w:rPr>
              <w:t>每类选择 5–10 条代表样本提炼规则</w:t>
            </w:r>
          </w:p>
        </w:tc>
      </w:tr>
    </w:tbl>
    <w:p>
      <w:pPr>
        <w:spacing w:after="20"/>
      </w:pPr>
    </w:p>
    <w:p>
      <w:pPr>
        <w:pStyle w:val="Heading2"/>
        <w:keepNext/>
        <w:keepLines/>
      </w:pPr>
      <w:r>
        <w:t>5.2 正常样本误报</w:t>
      </w:r>
    </w:p>
    <w:p>
      <w:r>
        <w:rPr>
          <w:rFonts w:ascii="Calibri" w:hAnsi="Calibri" w:eastAsia="SimSun"/>
        </w:rPr>
        <w:t>166 条 normal 中有 41 条被判为 non-normal：22 条 REVIEW、19 条 BLOCK。较常见的触发包括 DATA_EXFIL_JS_FS_ACCESS、TOOL_ABUSE_UNDECLARED_NETWORK、DATA_EXFIL_NETWORK_REQUESTS 和 FILE_MAGIC_MISMATCH。网络、文件和编码行为既可能是正常工具能力，也可能是恶意外传手段，因此不能简单下调所有严重度。</w:t>
      </w:r>
    </w:p>
    <w:tbl>
      <w:tblPr>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tcMar>
              <w:top w:w="80" w:type="dxa"/>
              <w:start w:w="120" w:type="dxa"/>
              <w:bottom w:w="80" w:type="dxa"/>
              <w:end w:w="120" w:type="dxa"/>
            </w:tcMar>
            <w:vAlign w:val="center"/>
            <w:shd w:fill="EEF4FA"/>
          </w:tcPr>
          <w:p>
            <w:pPr>
              <w:spacing w:before="60" w:after="60" w:line="264" w:lineRule="auto"/>
            </w:pPr>
            <w:r>
              <w:rPr>
                <w:rFonts w:ascii="Calibri" w:hAnsi="Calibri" w:eastAsia="Microsoft YaHei"/>
                <w:b/>
                <w:color w:val="2E74B5"/>
                <w:sz w:val="22"/>
              </w:rPr>
              <w:t xml:space="preserve">改进原则  </w:t>
            </w:r>
            <w:r>
              <w:rPr>
                <w:rFonts w:ascii="Calibri" w:hAnsi="Calibri" w:eastAsia="SimSun"/>
                <w:color w:val="1F2937"/>
                <w:sz w:val="22"/>
              </w:rPr>
              <w:t>把“声明了网络能力”和“未声明却调用网络”分开处理，并关联目标域、数据来源、访问范围和输出去向；在上下文证据不足时优先 REVIEW，而不是全局放宽为 ALLOW。</w:t>
            </w:r>
          </w:p>
        </w:tc>
      </w:tr>
    </w:tbl>
    <w:p>
      <w:pPr>
        <w:spacing w:after="40"/>
      </w:pPr>
    </w:p>
    <w:p>
      <w:pPr>
        <w:pStyle w:val="Heading2"/>
        <w:keepNext/>
        <w:keepLines/>
      </w:pPr>
      <w:r>
        <w:t>5.3 运行失败与安全事件</w:t>
      </w:r>
    </w:p>
    <w:p>
      <w:r>
        <w:rPr>
          <w:rFonts w:ascii="Calibri" w:hAnsi="Calibri" w:eastAsia="SimSun"/>
        </w:rPr>
        <w:t>7 条 Cisco 运行时错误分别涉及 3 条 malicious、1 条 suspicious 和 3 条 normal；当前未保留可能包含样本内容的原始错误文本，主结果不重试、不启用 lenient frontmatter，也不覆盖为安全。</w:t>
      </w:r>
    </w:p>
    <w:p>
      <w:r>
        <w:rPr>
          <w:rFonts w:ascii="Calibri" w:hAnsi="Calibri" w:eastAsia="SimSun"/>
        </w:rPr>
        <w:t>case_05527、case_05559、case_05568 三条 malicious 被 Windows Defender 阻断读取或隔离。项目没有关闭 Defender、没有设置排除目录、没有重新释放样本，均按 UNKNOWN/abstain 记入结果。</w:t>
      </w:r>
    </w:p>
    <w:p>
      <w:r>
        <w:rPr>
          <w:rFonts w:ascii="Calibri" w:hAnsi="Calibri" w:eastAsia="SimSun"/>
        </w:rPr>
        <w:t>首次运行在第 529 条后停止。恢复前重新校验运行 ID、样本顺序、数据 revision、清单/扫描器/策略/指标契约哈希，以及前 529 条逐样本 before/after hash；全部一致后才从第 530 条继续。</w:t>
      </w:r>
    </w:p>
    <w:p>
      <w:pPr>
        <w:pStyle w:val="Heading1"/>
        <w:keepNext/>
        <w:keepLines/>
      </w:pPr>
      <w:r>
        <w:t>6 与 90 条 Pilot 基线的对照</w:t>
      </w:r>
    </w:p>
    <w:p>
      <w:r>
        <w:rPr>
          <w:rFonts w:ascii="Calibri" w:hAnsi="Calibri" w:eastAsia="SimSun"/>
        </w:rPr>
        <w:t>90 条 pilot 为三类各 30 条的平衡工程样本；官方 556 条子集为 166/105/285，并包含 wild real-world 样本。两者分布不同，差值只能用于观察工程稳定性与风险方向，不能解释为同分布性能变化。</w:t>
      </w:r>
    </w:p>
    <w:p>
      <w:pPr>
        <w:pStyle w:val="Caption"/>
        <w:keepNext/>
        <w:keepLines/>
      </w:pPr>
      <w:r>
        <w:t>表 8  Pilot90 与官方 556 条子集对照</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3300"/>
        <w:gridCol w:w="2020"/>
        <w:gridCol w:w="2020"/>
        <w:gridCol w:w="2020"/>
      </w:tblGrid>
      <w:tr>
        <w:trPr>
          <w:tblHeader w:val="true"/>
        </w:trPr>
        <w:tc>
          <w:tcPr>
            <w:tcW w:type="dxa" w:w="33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指标</w:t>
            </w:r>
          </w:p>
        </w:tc>
        <w:tc>
          <w:tcPr>
            <w:tcW w:type="dxa" w:w="202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Pilot90</w:t>
            </w:r>
          </w:p>
        </w:tc>
        <w:tc>
          <w:tcPr>
            <w:tcW w:type="dxa" w:w="202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官方 556</w:t>
            </w:r>
          </w:p>
        </w:tc>
        <w:tc>
          <w:tcPr>
            <w:tcW w:type="dxa" w:w="202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8"/>
              </w:rPr>
              <w:t>变化</w:t>
            </w:r>
          </w:p>
        </w:tc>
      </w:tr>
      <w:tr>
        <w:trPr/>
        <w:tc>
          <w:tcPr>
            <w:tcW w:type="dxa" w:w="33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Coverage</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98.89%</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98.20%</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-0.69 pp</w:t>
            </w:r>
          </w:p>
        </w:tc>
      </w:tr>
      <w:tr>
        <w:trPr/>
        <w:tc>
          <w:tcPr>
            <w:tcW w:type="dxa" w:w="33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Failure rate</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1.11%</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1.80%</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+0.69 pp</w:t>
            </w:r>
          </w:p>
        </w:tc>
      </w:tr>
      <w:tr>
        <w:trPr/>
        <w:tc>
          <w:tcPr>
            <w:tcW w:type="dxa" w:w="33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Strict macro F1</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0.5114</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0.4977</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-0.0137</w:t>
            </w:r>
          </w:p>
        </w:tc>
      </w:tr>
      <w:tr>
        <w:trPr/>
        <w:tc>
          <w:tcPr>
            <w:tcW w:type="dxa" w:w="33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Malicious recall</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80.00%</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72.28%</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-7.72 pp</w:t>
            </w:r>
          </w:p>
        </w:tc>
      </w:tr>
      <w:tr>
        <w:trPr/>
        <w:tc>
          <w:tcPr>
            <w:tcW w:type="dxa" w:w="33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Non-normal recall</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78.33%</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76.67%</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-1.67 pp</w:t>
            </w:r>
          </w:p>
        </w:tc>
      </w:tr>
      <w:tr>
        <w:trPr/>
        <w:tc>
          <w:tcPr>
            <w:tcW w:type="dxa" w:w="33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Normal FPR</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33.33%</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24.70%</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-8.63 pp</w:t>
            </w:r>
          </w:p>
        </w:tc>
      </w:tr>
      <w:tr>
        <w:trPr/>
        <w:tc>
          <w:tcPr>
            <w:tcW w:type="dxa" w:w="33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Loose precision</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82.46%</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87.94%</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+5.49 pp</w:t>
            </w:r>
          </w:p>
        </w:tc>
      </w:tr>
      <w:tr>
        <w:trPr/>
        <w:tc>
          <w:tcPr>
            <w:tcW w:type="dxa" w:w="33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Loose F1</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80.34%</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81.92%</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+1.58 pp</w:t>
            </w:r>
          </w:p>
        </w:tc>
      </w:tr>
      <w:tr>
        <w:trPr/>
        <w:tc>
          <w:tcPr>
            <w:tcW w:type="dxa" w:w="33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中位耗时</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3,935 ms</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4,028 ms</w:t>
            </w:r>
          </w:p>
        </w:tc>
        <w:tc>
          <w:tcPr>
            <w:tcW w:type="dxa" w:w="202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+93 ms</w:t>
            </w:r>
          </w:p>
        </w:tc>
      </w:tr>
      <w:tr>
        <w:trPr/>
        <w:tc>
          <w:tcPr>
            <w:tcW w:type="dxa" w:w="33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8"/>
              </w:rPr>
              <w:t>P95 耗时</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4,226 ms</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4,309 ms</w:t>
            </w:r>
          </w:p>
        </w:tc>
        <w:tc>
          <w:tcPr>
            <w:tcW w:type="dxa" w:w="202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8"/>
              </w:rPr>
              <w:t>+83 ms</w:t>
            </w:r>
          </w:p>
        </w:tc>
      </w:tr>
    </w:tbl>
    <w:p>
      <w:pPr>
        <w:spacing w:after="20"/>
      </w:pPr>
    </w:p>
    <w:p>
      <w:r>
        <w:rPr>
          <w:rFonts w:ascii="Calibri" w:hAnsi="Calibri" w:eastAsia="SimSun"/>
        </w:rPr>
        <w:t>稳定结论是：覆盖率仍约 98%，单条耗时仍约 4 秒，strict macro F1 仍约 0.50，策略层 loose F1 仍约 0.80。需要修正的是，90 条 pilot 对恶意严格召回偏乐观，扩大到官方子集后降至 72.28%，并暴露 wild real-world 的明显短板。</w:t>
      </w:r>
    </w:p>
    <w:p>
      <w:pPr>
        <w:pStyle w:val="Heading1"/>
        <w:keepNext/>
        <w:keepLines/>
      </w:pPr>
      <w:r>
        <w:t>7 与官方 Cisco 榜单的关系</w:t>
      </w:r>
    </w:p>
    <w:p>
      <w:pPr>
        <w:pStyle w:val="Caption"/>
        <w:keepNext/>
        <w:keepLines/>
      </w:pPr>
      <w:r>
        <w:t>表 9  外部参照（不可直接等价比较）</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960"/>
        <w:gridCol w:w="1600"/>
        <w:gridCol w:w="1600"/>
        <w:gridCol w:w="1600"/>
        <w:gridCol w:w="1600"/>
      </w:tblGrid>
      <w:tr>
        <w:trPr>
          <w:tblHeader w:val="true"/>
        </w:trPr>
        <w:tc>
          <w:tcPr>
            <w:tcW w:type="dxa" w:w="29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口径</w:t>
            </w:r>
          </w:p>
        </w:tc>
        <w:tc>
          <w:tcPr>
            <w:tcW w:type="dxa" w:w="16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Precision</w:t>
            </w:r>
          </w:p>
        </w:tc>
        <w:tc>
          <w:tcPr>
            <w:tcW w:type="dxa" w:w="16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Recall</w:t>
            </w:r>
          </w:p>
        </w:tc>
        <w:tc>
          <w:tcPr>
            <w:tcW w:type="dxa" w:w="16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Loose F1</w:t>
            </w:r>
          </w:p>
        </w:tc>
        <w:tc>
          <w:tcPr>
            <w:tcW w:type="dxa" w:w="16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9"/>
              </w:rPr>
              <w:t>FPR</w:t>
            </w:r>
          </w:p>
        </w:tc>
      </w:tr>
      <w:tr>
        <w:trPr/>
        <w:tc>
          <w:tcPr>
            <w:tcW w:type="dxa" w:w="29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官方 Cisco 行</w:t>
            </w:r>
          </w:p>
        </w:tc>
        <w:tc>
          <w:tcPr>
            <w:tcW w:type="dxa" w:w="16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90.07%</w:t>
            </w:r>
          </w:p>
        </w:tc>
        <w:tc>
          <w:tcPr>
            <w:tcW w:type="dxa" w:w="16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95.38%</w:t>
            </w:r>
          </w:p>
        </w:tc>
        <w:tc>
          <w:tcPr>
            <w:tcW w:type="dxa" w:w="16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92.65%</w:t>
            </w:r>
          </w:p>
        </w:tc>
        <w:tc>
          <w:tcPr>
            <w:tcW w:type="dxa" w:w="1600"/>
            <w:shd w:fill="FBFCFE"/>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24.70%</w:t>
            </w:r>
          </w:p>
        </w:tc>
      </w:tr>
      <w:tr>
        <w:trPr/>
        <w:tc>
          <w:tcPr>
            <w:tcW w:type="dxa" w:w="29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9"/>
              </w:rPr>
              <w:t>本地 Aegis 策略层</w:t>
            </w:r>
          </w:p>
        </w:tc>
        <w:tc>
          <w:tcPr>
            <w:tcW w:type="dxa" w:w="16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87.94%</w:t>
            </w:r>
          </w:p>
        </w:tc>
        <w:tc>
          <w:tcPr>
            <w:tcW w:type="dxa" w:w="16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76.67%</w:t>
            </w:r>
          </w:p>
        </w:tc>
        <w:tc>
          <w:tcPr>
            <w:tcW w:type="dxa" w:w="16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81.92%</w:t>
            </w:r>
          </w:p>
        </w:tc>
        <w:tc>
          <w:tcPr>
            <w:tcW w:type="dxa" w:w="1600"/>
            <w:tcMar>
              <w:top w:w="80" w:type="dxa"/>
              <w:start w:w="120" w:type="dxa"/>
              <w:bottom w:w="80" w:type="dxa"/>
              <w:end w:w="120" w:type="dxa"/>
            </w:tcMar>
            <w:vAlign w:val="center"/>
          </w:tcPr>
          <w:p>
            <w:pPr>
              <w:spacing w:before="40" w:after="40" w:line="252" w:lineRule="auto"/>
              <w:jc w:val="center"/>
            </w:pPr>
            <w:r>
              <w:rPr>
                <w:rFonts w:ascii="Calibri" w:hAnsi="Calibri" w:eastAsia="SimSun"/>
                <w:color w:val="1F2937"/>
                <w:sz w:val="19"/>
              </w:rPr>
              <w:t>24.70%</w:t>
            </w:r>
          </w:p>
        </w:tc>
      </w:tr>
    </w:tbl>
    <w:p>
      <w:pPr>
        <w:spacing w:after="20"/>
      </w:pPr>
    </w:p>
    <w:p>
      <w:r>
        <w:rPr>
          <w:rFonts w:ascii="Calibri" w:hAnsi="Calibri" w:eastAsia="SimSun"/>
        </w:rPr>
        <w:t>不能称为“复现官方 Cisco 成绩”，原因如下：</w:t>
      </w:r>
    </w:p>
    <w:p>
      <w:pPr>
        <w:pStyle w:val="ListBullet"/>
      </w:pPr>
      <w:r>
        <w:rPr>
          <w:rFonts w:ascii="Calibri" w:hAnsi="Calibri" w:eastAsia="SimSun"/>
        </w:rPr>
        <w:t>官方 Cisco 行直接使用扫描器 actual_safe 二分类；本轮经过 Aegis Chain 严重度与准入策略映射。</w:t>
      </w:r>
    </w:p>
    <w:p>
      <w:pPr>
        <w:pStyle w:val="ListBullet"/>
      </w:pPr>
      <w:r>
        <w:rPr>
          <w:rFonts w:ascii="Calibri" w:hAnsi="Calibri" w:eastAsia="SimSun"/>
        </w:rPr>
        <w:t>官方工具比较行标注 DeepSeek v4 Flash；本轮完全关闭 LLM 与云分析。</w:t>
      </w:r>
    </w:p>
    <w:p>
      <w:pPr>
        <w:pStyle w:val="ListBullet"/>
      </w:pPr>
      <w:r>
        <w:rPr>
          <w:rFonts w:ascii="Calibri" w:hAnsi="Calibri" w:eastAsia="SimSun"/>
        </w:rPr>
        <w:t>扫描器版本、运行环境和失败处理方式未证明一致；本轮 10 个 abstain 在严格召回中按错误计。</w:t>
      </w:r>
    </w:p>
    <w:p>
      <w:pPr>
        <w:pStyle w:val="ListBullet"/>
      </w:pPr>
      <w:r>
        <w:rPr>
          <w:rFonts w:ascii="Calibri" w:hAnsi="Calibri" w:eastAsia="SimSun"/>
        </w:rPr>
        <w:t>FPR 四舍五入后相同只说明正常样本误报比例接近，不能证明整体流程和得分等价。</w:t>
      </w:r>
    </w:p>
    <w:tbl>
      <w:tblPr>
        <w:tblW w:type="dxa" w:w="9360"/>
        <w:jc w:val="left"/>
        <w:tblLayout w:type="fixed"/>
        <w:tblLook w:firstColumn="1" w:firstRow="1" w:lastColumn="0" w:lastRow="0" w:noHBand="0" w:noVBand="1" w:val="04A0"/>
        <w:tblInd w:type="dxa" w:w="120"/>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
      <w:tblGrid>
        <w:gridCol w:w="9360"/>
      </w:tblGrid>
      <w:tr>
        <w:trPr/>
        <w:tc>
          <w:tcPr>
            <w:tcW w:type="dxa" w:w="9360"/>
            <w:tcMar>
              <w:top w:w="80" w:type="dxa"/>
              <w:start w:w="120" w:type="dxa"/>
              <w:bottom w:w="80" w:type="dxa"/>
              <w:end w:w="120" w:type="dxa"/>
            </w:tcMar>
            <w:vAlign w:val="center"/>
            <w:shd w:fill="E9F5EE"/>
          </w:tcPr>
          <w:p>
            <w:pPr>
              <w:spacing w:before="60" w:after="60" w:line="264" w:lineRule="auto"/>
            </w:pPr>
            <w:r>
              <w:rPr>
                <w:rFonts w:ascii="Calibri" w:hAnsi="Calibri" w:eastAsia="Microsoft YaHei"/>
                <w:b/>
                <w:color w:val="2F855A"/>
                <w:sz w:val="22"/>
              </w:rPr>
              <w:t xml:space="preserve">推荐表述  </w:t>
            </w:r>
            <w:r>
              <w:rPr>
                <w:rFonts w:ascii="Calibri" w:hAnsi="Calibri" w:eastAsia="SimSun"/>
                <w:color w:val="1F2937"/>
                <w:sz w:val="22"/>
              </w:rPr>
              <w:t>在 SkillTrustBench 官方 556 条固定清单上，完成了 Cisco Skill Scanner 的本地离线接入与 Aegis Chain 统一策略层评测；结果可复算、可追溯，但评价口径与官方 Cisco 榜单不同。</w:t>
            </w:r>
          </w:p>
        </w:tc>
      </w:tr>
    </w:tbl>
    <w:p>
      <w:pPr>
        <w:spacing w:after="40"/>
      </w:pPr>
    </w:p>
    <w:p>
      <w:pPr>
        <w:pStyle w:val="Heading1"/>
        <w:keepNext/>
        <w:keepLines/>
      </w:pPr>
      <w:r>
        <w:t>8 当前成果与项目创新点</w:t>
      </w:r>
    </w:p>
    <w:p>
      <w:pPr>
        <w:pStyle w:val="Heading2"/>
        <w:keepNext/>
        <w:keepLines/>
      </w:pPr>
      <w:r>
        <w:t>8.1 已完成成果</w:t>
      </w:r>
    </w:p>
    <w:p>
      <w:pPr>
        <w:pStyle w:val="ListBullet"/>
      </w:pPr>
      <w:r>
        <w:rPr>
          <w:rFonts w:ascii="Calibri" w:hAnsi="Calibri" w:eastAsia="SimSun"/>
        </w:rPr>
        <w:t>完成 Cisco Skill Scanner 本地静态底座接入，并验证 Cisco MCP Scanner 的可运行性与适用边界。</w:t>
      </w:r>
    </w:p>
    <w:p>
      <w:pPr>
        <w:pStyle w:val="ListBullet"/>
      </w:pPr>
      <w:r>
        <w:rPr>
          <w:rFonts w:ascii="Calibri" w:hAnsi="Calibri" w:eastAsia="SimSun"/>
        </w:rPr>
        <w:t>建立统一 Finding 与 ALLOW/REVIEW/BLOCK/UNKNOWN 四态策略契约，避免厂商原始分数直接变成系统最终结论。</w:t>
      </w:r>
    </w:p>
    <w:p>
      <w:pPr>
        <w:pStyle w:val="ListBullet"/>
      </w:pPr>
      <w:r>
        <w:rPr>
          <w:rFonts w:ascii="Calibri" w:hAnsi="Calibri" w:eastAsia="SimSun"/>
        </w:rPr>
        <w:t>建立数据安全导入、版本/哈希追踪、批量运行、超时、失败闭锁、断点续扫和脱敏证据输出。</w:t>
      </w:r>
    </w:p>
    <w:p>
      <w:pPr>
        <w:pStyle w:val="ListBullet"/>
      </w:pPr>
      <w:r>
        <w:rPr>
          <w:rFonts w:ascii="Calibri" w:hAnsi="Calibri" w:eastAsia="SimSun"/>
        </w:rPr>
        <w:t>完成 90 条 pilot 与官方 556 条固定子集的两阶段评测；指标、混淆矩阵和错误切片可由逐样本结果复算。</w:t>
      </w:r>
    </w:p>
    <w:p>
      <w:pPr>
        <w:pStyle w:val="ListBullet"/>
      </w:pPr>
      <w:r>
        <w:rPr>
          <w:rFonts w:ascii="Calibri" w:hAnsi="Calibri" w:eastAsia="SimSun"/>
        </w:rPr>
        <w:t>后端自动测试达到 73 passed，为继续迭代提供回归保护。</w:t>
      </w:r>
    </w:p>
    <w:p>
      <w:pPr>
        <w:pStyle w:val="Heading2"/>
        <w:keepNext/>
        <w:keepLines/>
      </w:pPr>
      <w:r>
        <w:t>8.2 可用于竞赛表达的创新</w:t>
      </w:r>
    </w:p>
    <w:p>
      <w:r>
        <w:rPr>
          <w:rFonts w:ascii="Calibri" w:hAnsi="Calibri" w:eastAsia="SimSun"/>
        </w:rPr>
        <w:t>本项目的创新不在于“调用了 Cisco 工具”，而在于把第三方检测能力转化为政企可用的安全工程链路：</w:t>
      </w:r>
    </w:p>
    <w:p>
      <w:pPr>
        <w:pStyle w:val="ListBullet"/>
      </w:pPr>
      <w:r>
        <w:rPr>
          <w:rFonts w:ascii="Calibri" w:hAnsi="Calibri" w:eastAsia="SimSun"/>
        </w:rPr>
        <w:t>多工具适配边界：第三方原始输出与统一策略解耦，后续可接入第二扫描器并做互补证据融合。</w:t>
      </w:r>
    </w:p>
    <w:p>
      <w:pPr>
        <w:pStyle w:val="ListBullet"/>
      </w:pPr>
      <w:r>
        <w:rPr>
          <w:rFonts w:ascii="Calibri" w:hAnsi="Calibri" w:eastAsia="SimSun"/>
        </w:rPr>
        <w:t>四态安全决策：显式保留 UNKNOWN，使工具失败不等于安全，符合政企场景的失败闭锁要求。</w:t>
      </w:r>
    </w:p>
    <w:p>
      <w:pPr>
        <w:pStyle w:val="ListBullet"/>
      </w:pPr>
      <w:r>
        <w:rPr>
          <w:rFonts w:ascii="Calibri" w:hAnsi="Calibri" w:eastAsia="SimSun"/>
        </w:rPr>
        <w:t>可复现证据链：固定数据、工具、策略和指标版本，支持断点恢复与逐样本哈希验证。</w:t>
      </w:r>
    </w:p>
    <w:p>
      <w:pPr>
        <w:pStyle w:val="ListBullet"/>
      </w:pPr>
      <w:r>
        <w:rPr>
          <w:rFonts w:ascii="Calibri" w:hAnsi="Calibri" w:eastAsia="SimSun"/>
        </w:rPr>
        <w:t>静态—动态分层：静态阶段负责大规模低成本筛查，动态阶段只对重点样本提供行为证据，兼顾安全、成本与解释性。</w:t>
      </w:r>
    </w:p>
    <w:p>
      <w:pPr>
        <w:pStyle w:val="ListBullet"/>
      </w:pPr>
      <w:r>
        <w:rPr>
          <w:rFonts w:ascii="Calibri" w:hAnsi="Calibri" w:eastAsia="SimSun"/>
        </w:rPr>
        <w:t>面向治理的输出：既报告检测能力，也报告覆盖率、失败率、误报、漏报和不可比较边界，避免只给单一高分。</w:t>
      </w:r>
    </w:p>
    <w:p>
      <w:pPr>
        <w:pStyle w:val="Heading1"/>
        <w:keepNext/>
        <w:keepLines/>
      </w:pPr>
      <w:r>
        <w:t>9 8 月底前开发计划</w:t>
      </w:r>
    </w:p>
    <w:p>
      <w:pPr>
        <w:pStyle w:val="Caption"/>
        <w:keepNext/>
        <w:keepLines/>
      </w:pPr>
      <w:r>
        <w:t>表 10  后续两周实施计划</w:t>
      </w:r>
    </w:p>
    <w:tbl>
      <w:tblPr>
        <w:tblW w:type="dxa" w:w="9360"/>
        <w:tblLayout w:type="fixed"/>
        <w:tblLook w:firstColumn="1" w:firstRow="1" w:lastColumn="0" w:lastRow="0" w:noHBand="0" w:noVBand="1" w:val="04A0"/>
        <w:jc w:val="left"/>
        <w:tblInd w:type="dxa" w:w="120"/>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00"/>
        <w:gridCol w:w="1100"/>
        <w:gridCol w:w="4260"/>
        <w:gridCol w:w="2500"/>
      </w:tblGrid>
      <w:tr>
        <w:trPr>
          <w:tblHeader w:val="true"/>
        </w:trPr>
        <w:tc>
          <w:tcPr>
            <w:tcW w:type="dxa" w:w="15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6"/>
              </w:rPr>
              <w:t>时间</w:t>
            </w:r>
          </w:p>
        </w:tc>
        <w:tc>
          <w:tcPr>
            <w:tcW w:type="dxa" w:w="11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6"/>
              </w:rPr>
              <w:t>优先级</w:t>
            </w:r>
          </w:p>
        </w:tc>
        <w:tc>
          <w:tcPr>
            <w:tcW w:type="dxa" w:w="426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6"/>
              </w:rPr>
              <w:t>主要任务</w:t>
            </w:r>
          </w:p>
        </w:tc>
        <w:tc>
          <w:tcPr>
            <w:tcW w:type="dxa" w:w="2500"/>
            <w:tcMar>
              <w:top w:w="80" w:type="dxa"/>
              <w:start w:w="120" w:type="dxa"/>
              <w:bottom w:w="80" w:type="dxa"/>
              <w:end w:w="120" w:type="dxa"/>
            </w:tcMar>
            <w:vAlign w:val="center"/>
            <w:shd w:fill="F2F4F7"/>
          </w:tcPr>
          <w:p>
            <w:pPr>
              <w:spacing w:before="40" w:after="40"/>
              <w:jc w:val="center"/>
            </w:pPr>
            <w:r>
              <w:rPr>
                <w:rFonts w:ascii="Calibri" w:hAnsi="Calibri" w:eastAsia="Microsoft YaHei"/>
                <w:b/>
                <w:color w:val="17365D"/>
                <w:sz w:val="16"/>
              </w:rPr>
              <w:t>可验收产物</w:t>
            </w:r>
          </w:p>
        </w:tc>
      </w:tr>
      <w:tr>
        <w:trPr/>
        <w:tc>
          <w:tcPr>
            <w:tcW w:type="dxa" w:w="15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8 月 15–18 日</w:t>
            </w:r>
          </w:p>
        </w:tc>
        <w:tc>
          <w:tcPr>
            <w:tcW w:type="dxa" w:w="11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P0</w:t>
            </w:r>
          </w:p>
        </w:tc>
        <w:tc>
          <w:tcPr>
            <w:tcW w:type="dxa" w:w="42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人工复核 91 条 risk-screening miss，优先 wild_real_world、crypto_wallet 和 T06/T09/T05</w:t>
            </w:r>
          </w:p>
        </w:tc>
        <w:tc>
          <w:tcPr>
            <w:tcW w:type="dxa" w:w="25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错误分类表、代表样本证据链、候选规则清单</w:t>
            </w:r>
          </w:p>
        </w:tc>
      </w:tr>
      <w:tr>
        <w:trPr/>
        <w:tc>
          <w:tcPr>
            <w:tcW w:type="dxa" w:w="15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8 月 19–22 日</w:t>
            </w:r>
          </w:p>
        </w:tc>
        <w:tc>
          <w:tcPr>
            <w:tcW w:type="dxa" w:w="11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P0/P1</w:t>
            </w:r>
          </w:p>
        </w:tc>
        <w:tc>
          <w:tcPr>
            <w:tcW w:type="dxa" w:w="42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实现 2–3 组上下文规则，覆盖声明能力、数据来源、目标域与行为组合</w:t>
            </w:r>
          </w:p>
        </w:tc>
        <w:tc>
          <w:tcPr>
            <w:tcW w:type="dxa" w:w="25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规则配置、单元测试、冻结前开发结果</w:t>
            </w:r>
          </w:p>
        </w:tc>
      </w:tr>
      <w:tr>
        <w:trPr/>
        <w:tc>
          <w:tcPr>
            <w:tcW w:type="dxa" w:w="15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8 月 23–26 日</w:t>
            </w:r>
          </w:p>
        </w:tc>
        <w:tc>
          <w:tcPr>
            <w:tcW w:type="dxa" w:w="11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P1</w:t>
            </w:r>
          </w:p>
        </w:tc>
        <w:tc>
          <w:tcPr>
            <w:tcW w:type="dxa" w:w="42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用无害 fixture 建立进程创建、网络连接、文件写入、敏感环境变量访问四类动态事件</w:t>
            </w:r>
          </w:p>
        </w:tc>
        <w:tc>
          <w:tcPr>
            <w:tcW w:type="dxa" w:w="25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最小动态监控原型、事件 JSON、演示脚本</w:t>
            </w:r>
          </w:p>
        </w:tc>
      </w:tr>
      <w:tr>
        <w:trPr/>
        <w:tc>
          <w:tcPr>
            <w:tcW w:type="dxa" w:w="15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8 月 27–29 日</w:t>
            </w:r>
          </w:p>
        </w:tc>
        <w:tc>
          <w:tcPr>
            <w:tcW w:type="dxa" w:w="11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P1</w:t>
            </w:r>
          </w:p>
        </w:tc>
        <w:tc>
          <w:tcPr>
            <w:tcW w:type="dxa" w:w="426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统一静态/动态结果接口，完成平台接入适配；若统一平台仍未提供，保留独立 Web 演示</w:t>
            </w:r>
          </w:p>
        </w:tc>
        <w:tc>
          <w:tcPr>
            <w:tcW w:type="dxa" w:w="2500"/>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API 契约、可演示页面、样例报告</w:t>
            </w:r>
          </w:p>
        </w:tc>
      </w:tr>
      <w:tr>
        <w:trPr/>
        <w:tc>
          <w:tcPr>
            <w:tcW w:type="dxa" w:w="15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8 月 30–31 日</w:t>
            </w:r>
          </w:p>
        </w:tc>
        <w:tc>
          <w:tcPr>
            <w:tcW w:type="dxa" w:w="11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P2</w:t>
            </w:r>
          </w:p>
        </w:tc>
        <w:tc>
          <w:tcPr>
            <w:tcW w:type="dxa" w:w="426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冻结策略并复测，整理最终材料与演示容错</w:t>
            </w:r>
          </w:p>
        </w:tc>
        <w:tc>
          <w:tcPr>
            <w:tcW w:type="dxa" w:w="2500"/>
            <w:shd w:fill="FBFCFE"/>
            <w:tcMar>
              <w:top w:w="80" w:type="dxa"/>
              <w:start w:w="120" w:type="dxa"/>
              <w:bottom w:w="80" w:type="dxa"/>
              <w:end w:w="120" w:type="dxa"/>
            </w:tcMar>
            <w:vAlign w:val="center"/>
          </w:tcPr>
          <w:p>
            <w:pPr>
              <w:spacing w:before="40" w:after="40" w:line="252" w:lineRule="auto"/>
              <w:jc w:val="left"/>
            </w:pPr>
            <w:r>
              <w:rPr>
                <w:rFonts w:ascii="Calibri" w:hAnsi="Calibri" w:eastAsia="SimSun"/>
                <w:color w:val="1F2937"/>
                <w:sz w:val="16"/>
              </w:rPr>
              <w:t>对照指标、操作手册、最终汇报材料</w:t>
            </w:r>
          </w:p>
        </w:tc>
      </w:tr>
    </w:tbl>
    <w:p>
      <w:pPr>
        <w:spacing w:after="20"/>
      </w:pPr>
    </w:p>
    <w:p>
      <w:pPr>
        <w:pStyle w:val="Heading2"/>
        <w:keepNext/>
        <w:keepLines/>
      </w:pPr>
      <w:r>
        <w:t>9.1 验收标准</w:t>
      </w:r>
    </w:p>
    <w:p>
      <w:pPr>
        <w:pStyle w:val="ListBullet"/>
      </w:pPr>
      <w:r>
        <w:rPr>
          <w:rFonts w:ascii="Calibri" w:hAnsi="Calibri" w:eastAsia="SimSun"/>
        </w:rPr>
        <w:t>静态主链路可对单个 Skill 和批量样本稳定输出四态结论、Finding 和可追溯元数据。</w:t>
      </w:r>
    </w:p>
    <w:p>
      <w:pPr>
        <w:pStyle w:val="ListBullet"/>
      </w:pPr>
      <w:r>
        <w:rPr>
          <w:rFonts w:ascii="Calibri" w:hAnsi="Calibri" w:eastAsia="SimSun"/>
        </w:rPr>
        <w:t>新增规则必须有对应正常/异常单元测试，并在冻结评测上报告召回、误报与回归变化。</w:t>
      </w:r>
    </w:p>
    <w:p>
      <w:pPr>
        <w:pStyle w:val="ListBullet"/>
      </w:pPr>
      <w:r>
        <w:rPr>
          <w:rFonts w:ascii="Calibri" w:hAnsi="Calibri" w:eastAsia="SimSun"/>
        </w:rPr>
        <w:t>动态阶段只使用自建无害模拟样本验证监控链路，不直接运行 SkillTrustBench 真实恶意样本。</w:t>
      </w:r>
    </w:p>
    <w:p>
      <w:pPr>
        <w:pStyle w:val="ListBullet"/>
      </w:pPr>
      <w:r>
        <w:rPr>
          <w:rFonts w:ascii="Calibri" w:hAnsi="Calibri" w:eastAsia="SimSun"/>
        </w:rPr>
        <w:t>演示时能展示一次正常通过、一次人工复核、一次阻断和一次扫描失败闭锁。</w:t>
      </w:r>
    </w:p>
    <w:p>
      <w:pPr>
        <w:pStyle w:val="ListBullet"/>
      </w:pPr>
      <w:r>
        <w:rPr>
          <w:rFonts w:ascii="Calibri" w:hAnsi="Calibri" w:eastAsia="SimSun"/>
        </w:rPr>
        <w:t>最终汇报明确说明数据来源、许可、指标口径、限制与下一步，不夸大为官方复现或最终产品能力。</w:t>
      </w:r>
    </w:p>
    <w:p>
      <w:pPr>
        <w:pStyle w:val="Heading1"/>
        <w:keepNext/>
        <w:keepLines/>
      </w:pPr>
      <w:r>
        <w:t>10 阶段结论</w:t>
      </w:r>
    </w:p>
    <w:p>
      <w:r>
        <w:rPr>
          <w:rFonts w:ascii="Calibri" w:hAnsi="Calibri" w:eastAsia="SimSun"/>
        </w:rPr>
        <w:t>本阶段已经完成“能不能运行”到“能不能被可信评估”的跨越。Cisco Skill Scanner 作为静态底座，在官方 556 条子集上保持约 98% 覆盖率和约 4 秒单条耗时；统一门禁 loose F1 为 81.92%，说明其具备现实筛查价值。与此同时，严格三分类 macro F1 为 0.4977、恶意严格召回率为 72.28%，以及 wild real-world 22.22% 的风险筛查召回，清楚表明该底座还不能承担最终安全裁决。</w:t>
      </w:r>
    </w:p>
    <w:p>
      <w:r>
        <w:rPr>
          <w:rFonts w:ascii="Calibri" w:hAnsi="Calibri" w:eastAsia="SimSun"/>
        </w:rPr>
        <w:t>因此，项目后续不应追求简单堆叠更多工具或只提高单一分数，而应围绕已定位的错误切片补充上下文规则，并用最小动态证据验证静态难以判断的行为。最终作品的合理定位是：一个面向政企智能体工具接入的“供应链安全准入与审计模块”，能够统一接入第三方扫描器、执行失败闭锁、输出可解释证据，并为动态审计和统一平台治理提供标准接口。</w:t>
      </w:r>
    </w:p>
    <w:p>
      <w:r>
        <w:br w:type="page"/>
      </w:r>
    </w:p>
    <w:p>
      <w:pPr>
        <w:pStyle w:val="Heading1"/>
        <w:keepNext/>
        <w:keepLines/>
      </w:pPr>
      <w:r>
        <w:t>附录 A  指标定义与技术解释</w:t>
      </w:r>
    </w:p>
    <w:p>
      <w:pPr>
        <w:spacing w:after="140"/>
      </w:pPr>
      <w:r>
        <w:rPr>
          <w:rFonts w:ascii="Calibri" w:hAnsi="Calibri" w:eastAsia="Microsoft YaHei"/>
          <w:b/>
          <w:color w:val="17365D"/>
        </w:rPr>
        <w:t>Coverage（覆盖率）：</w:t>
      </w:r>
      <w:r>
        <w:rPr>
          <w:rFonts w:ascii="Calibri" w:hAnsi="Calibri" w:eastAsia="SimSun"/>
        </w:rPr>
        <w:t>完成非 abstain 预测的样本比例。本轮为 546/556=98.20%。它衡量工程可用性，不等于检测正确率。</w:t>
      </w:r>
    </w:p>
    <w:p>
      <w:pPr>
        <w:spacing w:after="140"/>
      </w:pPr>
      <w:r>
        <w:rPr>
          <w:rFonts w:ascii="Calibri" w:hAnsi="Calibri" w:eastAsia="Microsoft YaHei"/>
          <w:b/>
          <w:color w:val="17365D"/>
        </w:rPr>
        <w:t>Failure rate（失败率）：</w:t>
      </w:r>
      <w:r>
        <w:rPr>
          <w:rFonts w:ascii="Calibri" w:hAnsi="Calibri" w:eastAsia="SimSun"/>
        </w:rPr>
        <w:t>进入 UNKNOWN/abstain 的样本比例。本轮为 10/556=1.80%。失败闭锁保证异常不会被静默当作安全。</w:t>
      </w:r>
    </w:p>
    <w:p>
      <w:pPr>
        <w:spacing w:after="140"/>
      </w:pPr>
      <w:r>
        <w:rPr>
          <w:rFonts w:ascii="Calibri" w:hAnsi="Calibri" w:eastAsia="Microsoft YaHei"/>
          <w:b/>
          <w:color w:val="17365D"/>
        </w:rPr>
        <w:t>Strict macro F1：</w:t>
      </w:r>
      <w:r>
        <w:rPr>
          <w:rFonts w:ascii="Calibri" w:hAnsi="Calibri" w:eastAsia="SimSun"/>
        </w:rPr>
        <w:t>分别计算 normal、suspicious、malicious 三类 F1 后等权平均；类别样本量不同也给予相同权重，abstain 按错误计。本轮为 0.4977。</w:t>
      </w:r>
    </w:p>
    <w:p>
      <w:pPr>
        <w:spacing w:after="140"/>
      </w:pPr>
      <w:r>
        <w:rPr>
          <w:rFonts w:ascii="Calibri" w:hAnsi="Calibri" w:eastAsia="Microsoft YaHei"/>
          <w:b/>
          <w:color w:val="17365D"/>
        </w:rPr>
        <w:t>Malicious recall：</w:t>
      </w:r>
      <w:r>
        <w:rPr>
          <w:rFonts w:ascii="Calibri" w:hAnsi="Calibri" w:eastAsia="SimSun"/>
        </w:rPr>
        <w:t>被正确判为 BLOCK 的 malicious 占全部 malicious 的比例：206/285=72.28%。REVIEW 在该严格指标中仍算错误。</w:t>
      </w:r>
    </w:p>
    <w:p>
      <w:pPr>
        <w:spacing w:after="140"/>
      </w:pPr>
      <w:r>
        <w:rPr>
          <w:rFonts w:ascii="Calibri" w:hAnsi="Calibri" w:eastAsia="Microsoft YaHei"/>
          <w:b/>
          <w:color w:val="17365D"/>
        </w:rPr>
        <w:t>Malicious FNR：</w:t>
      </w:r>
      <w:r>
        <w:rPr>
          <w:rFonts w:ascii="Calibri" w:hAnsi="Calibri" w:eastAsia="SimSun"/>
        </w:rPr>
        <w:t>恶意样本未被严格判为 BLOCK 的比例：79/285=27.72%，与 malicious recall 互补。</w:t>
      </w:r>
    </w:p>
    <w:p>
      <w:pPr>
        <w:spacing w:after="140"/>
      </w:pPr>
      <w:r>
        <w:rPr>
          <w:rFonts w:ascii="Calibri" w:hAnsi="Calibri" w:eastAsia="Microsoft YaHei"/>
          <w:b/>
          <w:color w:val="17365D"/>
        </w:rPr>
        <w:t>Non-normal recall：</w:t>
      </w:r>
      <w:r>
        <w:rPr>
          <w:rFonts w:ascii="Calibri" w:hAnsi="Calibri" w:eastAsia="SimSun"/>
        </w:rPr>
        <w:t>suspicious/malicious 中进入 REVIEW 或 BLOCK 的比例：299/390=76.67%。它更贴近准入门筛查能力。</w:t>
      </w:r>
    </w:p>
    <w:p>
      <w:pPr>
        <w:spacing w:after="140"/>
      </w:pPr>
      <w:r>
        <w:rPr>
          <w:rFonts w:ascii="Calibri" w:hAnsi="Calibri" w:eastAsia="Microsoft YaHei"/>
          <w:b/>
          <w:color w:val="17365D"/>
        </w:rPr>
        <w:t>Precision：</w:t>
      </w:r>
      <w:r>
        <w:rPr>
          <w:rFonts w:ascii="Calibri" w:hAnsi="Calibri" w:eastAsia="SimSun"/>
        </w:rPr>
        <w:t>所有 REVIEW/BLOCK 中真实 non-normal 的比例：299/(299+41)=87.94%。</w:t>
      </w:r>
    </w:p>
    <w:p>
      <w:pPr>
        <w:spacing w:after="140"/>
      </w:pPr>
      <w:r>
        <w:rPr>
          <w:rFonts w:ascii="Calibri" w:hAnsi="Calibri" w:eastAsia="Microsoft YaHei"/>
          <w:b/>
          <w:color w:val="17365D"/>
        </w:rPr>
        <w:t>Normal FPR：</w:t>
      </w:r>
      <w:r>
        <w:rPr>
          <w:rFonts w:ascii="Calibri" w:hAnsi="Calibri" w:eastAsia="SimSun"/>
        </w:rPr>
        <w:t>normal 被错误送入 REVIEW/BLOCK 的比例：41/166=24.70%。本项目分母包含 3 个 normal abstain，以完整 normal 集为基准。</w:t>
      </w:r>
    </w:p>
    <w:p>
      <w:pPr>
        <w:spacing w:after="140"/>
      </w:pPr>
      <w:r>
        <w:rPr>
          <w:rFonts w:ascii="Calibri" w:hAnsi="Calibri" w:eastAsia="Microsoft YaHei"/>
          <w:b/>
          <w:color w:val="17365D"/>
        </w:rPr>
        <w:t>Loose F1：</w:t>
      </w:r>
      <w:r>
        <w:rPr>
          <w:rFonts w:ascii="Calibri" w:hAnsi="Calibri" w:eastAsia="SimSun"/>
        </w:rPr>
        <w:t>风险筛查 precision 与 recall 的调和平均：2PR/(P+R)=81.92%。它不能替代三分类 macro F1。</w:t>
      </w:r>
    </w:p>
    <w:p>
      <w:pPr>
        <w:spacing w:after="140"/>
      </w:pPr>
      <w:r>
        <w:rPr>
          <w:rFonts w:ascii="Calibri" w:hAnsi="Calibri" w:eastAsia="Microsoft YaHei"/>
          <w:b/>
          <w:color w:val="17365D"/>
        </w:rPr>
        <w:t>P95 耗时：</w:t>
      </w:r>
      <w:r>
        <w:rPr>
          <w:rFonts w:ascii="Calibri" w:hAnsi="Calibri" w:eastAsia="SimSun"/>
        </w:rPr>
        <w:t>95% 已完成样本的单条耗时不超过该值。本轮为 4,309 ms，用于判断演示和批量处理的时延稳定性。</w:t>
      </w:r>
    </w:p>
    <w:p>
      <w:pPr>
        <w:pStyle w:val="Heading1"/>
        <w:keepNext/>
        <w:keepLines/>
      </w:pPr>
      <w:r>
        <w:t>附录 B  5 分钟正式汇报稿</w:t>
      </w:r>
    </w:p>
    <w:p>
      <w:r>
        <w:rPr>
          <w:rFonts w:ascii="Calibri" w:hAnsi="Calibri" w:eastAsia="SimSun"/>
        </w:rPr>
        <w:t>各位老师好，我负责 XA-202620 赛题中的供应链安全模块。本模块关注的问题是：大模型智能体接入 Skill、MCP Server 和插件后，如何在使用前发现其中可能存在的恶意指令、隐蔽网络访问、敏感数据读取和依赖风险，并形成可解释、可追溯的准入结论。</w:t>
      </w:r>
    </w:p>
    <w:p>
      <w:r>
        <w:rPr>
          <w:rFonts w:ascii="Calibri" w:hAnsi="Calibri" w:eastAsia="SimSun"/>
        </w:rPr>
        <w:t>现阶段我选择 Cisco Skill Scanner 作为 Skill 静态审查底座，同时验证了 Cisco MCP Scanner 的可运行性。两者用途不同：Skill Scanner 用于审查 Skill 文件与代码，MCP Scanner 面向 MCP server 或配置。因此本轮先完成 Skill 侧主链路，没有为了展示效果把 MCP Scanner 强行套用到不匹配的数据集。</w:t>
      </w:r>
    </w:p>
    <w:p>
      <w:r>
        <w:rPr>
          <w:rFonts w:ascii="Calibri" w:hAnsi="Calibri" w:eastAsia="SimSun"/>
        </w:rPr>
        <w:t>为了避免只用少量自造样本，我选用了腾讯朱雀实验室与香港中文大学（深圳）联合发布的 SkillTrustBench，并严格固定官方 10% 子集 556 条，其中 normal 166 条、suspicious 105 条、malicious 285 条。整个实验在本地离线完成，关闭 LLM、云上传和行为执行，不安装、不导入、不执行任何样本代码。每条样本在扫描前后都校验哈希，保证评测过程没有修改样本。</w:t>
      </w:r>
    </w:p>
    <w:p>
      <w:r>
        <w:rPr>
          <w:rFonts w:ascii="Calibri" w:hAnsi="Calibri" w:eastAsia="SimSun"/>
        </w:rPr>
        <w:t>结果方面，556 条样本全部得到终态，其中 546 条完成 Cisco 扫描，7 条出现运行时错误，3 条被 Windows Defender 阻断读取。这 10 条没有被当作安全，而是统一记为 UNKNOWN，也就是失败闭锁。最终覆盖率为 98.20%，单条中位耗时约 4 秒，说明静态链路已经具备批量运行和演示基础。</w:t>
      </w:r>
    </w:p>
    <w:p>
      <w:r>
        <w:rPr>
          <w:rFonts w:ascii="Calibri" w:hAnsi="Calibri" w:eastAsia="SimSun"/>
        </w:rPr>
        <w:t>能力指标需要分两套理解。第一套是严格三分类：必须准确区分 normal、suspicious 和 malicious，macro F1 为 0.4977，恶意严格召回率为 72.28%。第二套是实际准入门的风险筛查：只要风险样本进入 REVIEW 或 BLOCK，就认为被发现。该口径 precision 为 87.94%，recall 为 76.67%，loose F1 为 81.92%。这两个数字不矛盾：例如恶意样本被判为 REVIEW，安全上已经被拦住，但三分类标签仍然判错。</w:t>
      </w:r>
    </w:p>
    <w:p>
      <w:r>
        <w:rPr>
          <w:rFonts w:ascii="Calibri" w:hAnsi="Calibri" w:eastAsia="SimSun"/>
        </w:rPr>
        <w:t>错误分析显示，目前有 91 条风险样本未进入 REVIEW 或 BLOCK，最明显的短板是 wild real-world，召回只有 6/27；crypto_wallet 为 16/27。风险类型上 T06、T09、T05 召回较低。正常样本中有 41 条被误报，常见原因是网络请求和文件访问缺少上下文，同一种 API 既可能是合法业务能力，也可能用于数据外传。</w:t>
      </w:r>
    </w:p>
    <w:p>
      <w:r>
        <w:rPr>
          <w:rFonts w:ascii="Calibri" w:hAnsi="Calibri" w:eastAsia="SimSun"/>
        </w:rPr>
        <w:t>因此我的下一步不是简单堆叠工具，而是先处理这 91 条漏报，提炼 2 到 3 组可解释的上下文规则，把声明能力、实际行为、目标域和数据类型关联起来。随后用自建无害样本建立进程、网络、文件写入和敏感环境变量访问四类动态事件，再把静态和动态证据统一输出。</w:t>
      </w:r>
    </w:p>
    <w:p>
      <w:r>
        <w:rPr>
          <w:rFonts w:ascii="Calibri" w:hAnsi="Calibri" w:eastAsia="SimSun"/>
        </w:rPr>
        <w:t>本阶段的结论是：Cisco 工具已经成为可复现的静态底座，但不能直接作为最终裁决。本项目的工作价值在于统一证据模型、四态决策、失败闭锁、版本与哈希追踪，以及静态到动态的分层审计。到 8 月底，我将完成规则补强、最小动态闭环、平台接口和最终演示材料。谢谢各位老师。</w:t>
      </w:r>
    </w:p>
    <w:p>
      <w:pPr>
        <w:pStyle w:val="Heading1"/>
        <w:keepNext/>
        <w:keepLines/>
      </w:pPr>
      <w:r>
        <w:t>附录 C  常见答辩问题与建议回答</w:t>
      </w:r>
    </w:p>
    <w:p>
      <w:pPr>
        <w:spacing w:before="120" w:after="60"/>
        <w:keepNext/>
        <w:keepLines/>
      </w:pPr>
      <w:r>
        <w:rPr>
          <w:rFonts w:ascii="Calibri" w:hAnsi="Calibri" w:eastAsia="Microsoft YaHei"/>
          <w:b/>
          <w:color w:val="17365D"/>
        </w:rPr>
        <w:t>问：为什么 strict macro F1 只有 0.4977，还能说系统有价值？</w:t>
      </w:r>
    </w:p>
    <w:p>
      <w:pPr>
        <w:spacing w:after="160"/>
        <w:ind w:left="259"/>
      </w:pPr>
      <w:r>
        <w:rPr>
          <w:rFonts w:ascii="Calibri" w:hAnsi="Calibri" w:eastAsia="SimSun"/>
        </w:rPr>
        <w:t>答：因为该指标要求三类精确分级，尤其 suspicious 只有 9/105 被精确命中；但供应链门禁更关心风险是否进入 REVIEW/BLOCK，二分类 loose F1 为 81.92%。我同时报告两套口径，不回避分级短板，也不把筛查能力夸大成最终判定能力。</w:t>
      </w:r>
    </w:p>
    <w:p>
      <w:pPr>
        <w:spacing w:before="120" w:after="60"/>
        <w:keepNext/>
        <w:keepLines/>
      </w:pPr>
      <w:r>
        <w:rPr>
          <w:rFonts w:ascii="Calibri" w:hAnsi="Calibri" w:eastAsia="Microsoft YaHei"/>
          <w:b/>
          <w:color w:val="17365D"/>
        </w:rPr>
        <w:t>问：为什么只测 556 条，不跑完整 5,520 条？</w:t>
      </w:r>
    </w:p>
    <w:p>
      <w:pPr>
        <w:spacing w:after="160"/>
        <w:ind w:left="259"/>
      </w:pPr>
      <w:r>
        <w:rPr>
          <w:rFonts w:ascii="Calibri" w:hAnsi="Calibri" w:eastAsia="SimSun"/>
        </w:rPr>
        <w:t>答：556 条不是随意抽样，而是官方结果仓库固定的 10% 公开评测清单，便于与公开工具结果在相同 ID 上参照；在单机与时间约束下，它也能保证结果可复现。完整集可在系统冻结后作为扩展评测。</w:t>
      </w:r>
    </w:p>
    <w:p>
      <w:pPr>
        <w:spacing w:before="120" w:after="60"/>
        <w:keepNext/>
        <w:keepLines/>
      </w:pPr>
      <w:r>
        <w:rPr>
          <w:rFonts w:ascii="Calibri" w:hAnsi="Calibri" w:eastAsia="Microsoft YaHei"/>
          <w:b/>
          <w:color w:val="17365D"/>
        </w:rPr>
        <w:t>问：为什么不关闭 Windows Defender，把 3 条样本继续扫完？</w:t>
      </w:r>
    </w:p>
    <w:p>
      <w:pPr>
        <w:spacing w:after="160"/>
        <w:ind w:left="259"/>
      </w:pPr>
      <w:r>
        <w:rPr>
          <w:rFonts w:ascii="Calibri" w:hAnsi="Calibri" w:eastAsia="SimSun"/>
        </w:rPr>
        <w:t>答：关闭宿主机防护会扩大真实恶意样本的暴露风险，也破坏安全工程原则。我把这 3 条记为 UNKNOWN 并禁止自动放行，保留固定归档哈希作为身份；后续若必须处理，应使用专门隔离沙箱，而不是降低本机防护。</w:t>
      </w:r>
    </w:p>
    <w:p>
      <w:pPr>
        <w:spacing w:before="120" w:after="60"/>
        <w:keepNext/>
        <w:keepLines/>
      </w:pPr>
      <w:r>
        <w:rPr>
          <w:rFonts w:ascii="Calibri" w:hAnsi="Calibri" w:eastAsia="Microsoft YaHei"/>
          <w:b/>
          <w:color w:val="17365D"/>
        </w:rPr>
        <w:t>问：和官方 Cisco 榜单为什么差距较大？</w:t>
      </w:r>
    </w:p>
    <w:p>
      <w:pPr>
        <w:spacing w:after="160"/>
        <w:ind w:left="259"/>
      </w:pPr>
      <w:r>
        <w:rPr>
          <w:rFonts w:ascii="Calibri" w:hAnsi="Calibri" w:eastAsia="SimSun"/>
        </w:rPr>
        <w:t>答：官方行使用 actual_safe 二分类并标注 DeepSeek v4 Flash，本轮是本地离线、无 LLM，并经过 Aegis 策略映射，工具版本和失败处理也未证明一致。因此只能说在相同 556 条清单上完成本地策略层评测，不能称为复现官方分数。</w:t>
      </w:r>
    </w:p>
    <w:p>
      <w:pPr>
        <w:spacing w:before="120" w:after="60"/>
        <w:keepNext/>
        <w:keepLines/>
      </w:pPr>
      <w:r>
        <w:rPr>
          <w:rFonts w:ascii="Calibri" w:hAnsi="Calibri" w:eastAsia="Microsoft YaHei"/>
          <w:b/>
          <w:color w:val="17365D"/>
        </w:rPr>
        <w:t>问：项目创新是不是只是集成开源工具？</w:t>
      </w:r>
    </w:p>
    <w:p>
      <w:pPr>
        <w:spacing w:after="160"/>
        <w:ind w:left="259"/>
      </w:pPr>
      <w:r>
        <w:rPr>
          <w:rFonts w:ascii="Calibri" w:hAnsi="Calibri" w:eastAsia="SimSun"/>
        </w:rPr>
        <w:t>答：第三方扫描器只是底座。项目创新在于把多工具输出适配为统一 Finding，建立 ALLOW/REVIEW/BLOCK/UNKNOWN 四态准入、失败闭锁、版本/哈希证据链、批量可复现评测，以及后续静态—动态分层融合。</w:t>
      </w:r>
    </w:p>
    <w:p>
      <w:pPr>
        <w:spacing w:before="120" w:after="60"/>
        <w:keepNext/>
        <w:keepLines/>
      </w:pPr>
      <w:r>
        <w:rPr>
          <w:rFonts w:ascii="Calibri" w:hAnsi="Calibri" w:eastAsia="Microsoft YaHei"/>
          <w:b/>
          <w:color w:val="17365D"/>
        </w:rPr>
        <w:t>问：下一阶段最关键的可量化目标是什么？</w:t>
      </w:r>
    </w:p>
    <w:p>
      <w:pPr>
        <w:spacing w:after="160"/>
        <w:ind w:left="259"/>
      </w:pPr>
      <w:r>
        <w:rPr>
          <w:rFonts w:ascii="Calibri" w:hAnsi="Calibri" w:eastAsia="SimSun"/>
        </w:rPr>
        <w:t>答：一是围绕 91 条 risk-screening miss 做分组分析并实现 2–3 组上下文规则；二是在固定评测上同时报告召回提升和 FPR 变化；三是用无害 fixture 完成四类动态行为事件的采集与统一输出。</w:t>
      </w:r>
    </w:p>
    <w:p>
      <w:pPr>
        <w:pStyle w:val="Heading1"/>
        <w:keepNext/>
        <w:keepLines/>
      </w:pPr>
      <w:r>
        <w:t>参考资料与项目证据</w:t>
      </w:r>
    </w:p>
    <w:p>
      <w:pPr>
        <w:numPr>
          <w:ilvl w:val="0"/>
          <w:numId w:val="12"/>
        </w:numPr>
        <w:spacing w:after="160" w:line="280" w:lineRule="auto"/>
        <w:keepNext/>
        <w:keepLines/>
      </w:pPr>
      <w:r>
        <w:rPr>
          <w:rFonts w:ascii="Calibri" w:hAnsi="Calibri" w:eastAsia="SimSun"/>
        </w:rPr>
      </w:r>
      <w:r>
        <w:rPr>
          <w:rFonts w:ascii="Calibri" w:hAnsi="Calibri" w:eastAsia="SimSun"/>
        </w:rPr>
        <w:t>SkillTrustBench 数据集：</w:t>
      </w:r>
      <w:hyperlink r:id="rId14">
        <w:r>
          <w:rPr>
            <w:rFonts w:ascii="Calibri" w:hAnsi="Calibri" w:eastAsia="SimSun"/>
            <w:color w:val="2E74B5"/>
            <w:u w:val="single"/>
          </w:rPr>
          <w:t>访问官方数据集页面</w:t>
        </w:r>
      </w:hyperlink>
    </w:p>
    <w:p>
      <w:pPr>
        <w:numPr>
          <w:ilvl w:val="0"/>
          <w:numId w:val="12"/>
        </w:numPr>
        <w:spacing w:after="160" w:line="280" w:lineRule="auto"/>
        <w:keepNext/>
        <w:keepLines/>
      </w:pPr>
      <w:r>
        <w:rPr>
          <w:rFonts w:ascii="Calibri" w:hAnsi="Calibri" w:eastAsia="SimSun"/>
        </w:rPr>
      </w:r>
      <w:r>
        <w:rPr>
          <w:rFonts w:ascii="Calibri" w:hAnsi="Calibri" w:eastAsia="SimSun"/>
        </w:rPr>
        <w:t>SkillTrustBench 官方结果与固定 10% 清单：</w:t>
      </w:r>
      <w:hyperlink r:id="rId15">
        <w:r>
          <w:rPr>
            <w:rFonts w:ascii="Calibri" w:hAnsi="Calibri" w:eastAsia="SimSun"/>
            <w:color w:val="2E74B5"/>
            <w:u w:val="single"/>
          </w:rPr>
          <w:t>访问官方结果页面</w:t>
        </w:r>
      </w:hyperlink>
    </w:p>
    <w:p>
      <w:pPr>
        <w:numPr>
          <w:ilvl w:val="0"/>
          <w:numId w:val="12"/>
        </w:numPr>
        <w:spacing w:after="160" w:line="280" w:lineRule="auto"/>
      </w:pPr>
      <w:r>
        <w:rPr>
          <w:rFonts w:ascii="Calibri" w:hAnsi="Calibri" w:eastAsia="SimSun"/>
        </w:rPr>
        <w:t>项目内部证据：M2_SKILLTRUSTBENCH_OFFICIAL_10PCT_REPORT.md、运行清单、逐 case 结果、metrics.json、confusion_matrix.json 与错误清单。</w:t>
      </w:r>
    </w:p>
    <w:tbl>
      <w:tblPr>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tcMar>
              <w:top w:w="80" w:type="dxa"/>
              <w:start w:w="120" w:type="dxa"/>
              <w:bottom w:w="80" w:type="dxa"/>
              <w:end w:w="120" w:type="dxa"/>
            </w:tcMar>
            <w:vAlign w:val="center"/>
            <w:shd w:fill="EEF4FA"/>
          </w:tcPr>
          <w:p>
            <w:pPr>
              <w:spacing w:before="60" w:after="60" w:line="264" w:lineRule="auto"/>
            </w:pPr>
            <w:r>
              <w:rPr>
                <w:rFonts w:ascii="Calibri" w:hAnsi="Calibri" w:eastAsia="Microsoft YaHei"/>
                <w:b/>
                <w:color w:val="2E74B5"/>
                <w:sz w:val="22"/>
              </w:rPr>
              <w:t xml:space="preserve">材料使用建议  </w:t>
            </w:r>
            <w:r>
              <w:rPr>
                <w:rFonts w:ascii="Calibri" w:hAnsi="Calibri" w:eastAsia="SimSun"/>
                <w:color w:val="1F2937"/>
                <w:sz w:val="22"/>
              </w:rPr>
              <w:t>老师快速阅读时优先看摘要、表 4、表 6、图 2、表 10 和阶段结论；现场 5 分钟汇报可直接使用附录 B；追问指标或技术边界时查阅附录 A、附录 C。</w:t>
            </w:r>
          </w:p>
        </w:tc>
      </w:tr>
    </w:tbl>
    <w:p>
      <w:pPr>
        <w:spacing w:after="4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SimSun"/>
        <w:color w:val="6B7280"/>
        <w:sz w:val="18"/>
      </w:rPr>
      <w:t xml:space="preserve">第 </w:t>
    </w:r>
    <w:r>
      <w:fldChar w:fldCharType="begin"/>
    </w:r>
    <w:r>
      <w:instrText xml:space="preserve"> PAGE </w:instrText>
    </w:r>
    <w:r>
      <w:fldChar w:fldCharType="separate"/>
    </w:r>
    <w:r>
      <w:rPr>
        <w:rFonts w:ascii="Calibri" w:hAnsi="Calibri" w:eastAsia="SimSun"/>
        <w:color w:val="6B7280"/>
        <w:sz w:val="18"/>
      </w:rPr>
      <w:t>1</w:t>
    </w:r>
    <w:r>
      <w:fldChar w:fldCharType="end"/>
    </w:r>
    <w:r>
      <w:rPr>
        <w:rFonts w:ascii="Calibri" w:hAnsi="Calibri" w:eastAsia="SimSun"/>
        <w:color w:val="6B7280"/>
        <w:sz w:val="18"/>
      </w:rPr>
      <w:t xml:space="preserve"> 页 / 共 </w:t>
    </w:r>
    <w:r>
      <w:fldChar w:fldCharType="begin"/>
    </w:r>
    <w:r>
      <w:instrText xml:space="preserve"> NUMPAGES </w:instrText>
    </w:r>
    <w:r>
      <w:fldChar w:fldCharType="separate"/>
    </w:r>
    <w:r>
      <w:rPr>
        <w:rFonts w:ascii="Calibri" w:hAnsi="Calibri" w:eastAsia="SimSun"/>
        <w:color w:val="6B7280"/>
        <w:sz w:val="18"/>
      </w:rPr>
      <w:t>1</w:t>
    </w:r>
    <w:r>
      <w:fldChar w:fldCharType="end"/>
    </w:r>
    <w:r>
      <w:rPr>
        <w:rFonts w:ascii="Calibri" w:hAnsi="Calibri" w:eastAsia="SimSun"/>
        <w:color w:val="6B728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B7280"/>
        <w:sz w:val="17"/>
      </w:rPr>
      <w:t>挑战杯揭榜挂帅赛道 · 阶段性技术汇报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B7280"/>
        <w:sz w:val="17"/>
      </w:rPr>
      <w:t>XA-202620  |  供应链安全模块阶段性汇报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spacing w:after="160" w:line="280" w:lineRule="auto"/>
      </w:p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keepLines/>
    </w:pPr>
    <w:rPr>
      <w:rFonts w:ascii="Calibri" w:hAnsi="Calibri" w:eastAsia="SimSu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52" w:lineRule="auto" w:before="0"/>
      <w:contextualSpacing/>
    </w:pPr>
    <w:rPr>
      <w:rFonts w:asciiTheme="majorHAnsi" w:eastAsiaTheme="majorEastAsia" w:hAnsiTheme="majorHAnsi" w:cstheme="majorBidi" w:ascii="Calibri" w:hAnsi="Calibri"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Microsoft YaHei"/>
      <w:i/>
      <w:iCs/>
      <w:color w:val="6B728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SimSu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SimSu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Calibri" w:hAnsi="Calibri" w:eastAsia="SimSun"/>
      <w:b/>
      <w:bCs/>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huggingface.co/datasets/cuhk-zhuque/SkillTrustBench" TargetMode="External"/><Relationship Id="rId15" Type="http://schemas.openxmlformats.org/officeDocument/2006/relationships/hyperlink" Target="https://huggingface.co/datasets/cuhk-zhuque/SkillTrustBench-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XA-202620 供应链安全模块静态审查阶段性汇报</dc:title>
  <dc:subject>Cisco Skill Scanner × SkillTrustBench 官方 556 条子集评测</dc:subject>
  <dc:creator>陶泽泓</dc:creator>
  <cp:keywords>XA-202620, 供应链安全, Cisco Skill Scanner, SkillTrustBench, 智能体安全</cp:keywords>
  <dc:description>由项目评测证据生成的正式阶段性汇报稿</dc:description>
  <cp:lastModifiedBy/>
  <cp:revision>1</cp:revision>
  <dcterms:created xsi:type="dcterms:W3CDTF">2013-12-23T23:15:00Z</dcterms:created>
  <dcterms:modified xsi:type="dcterms:W3CDTF">2013-12-23T23:15:00Z</dcterms:modified>
  <cp:category/>
</cp:coreProperties>
</file>