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B8B28">
      <w:pPr>
        <w:jc w:val="center"/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网络新技术中心2026年员工晋升实施细则</w:t>
      </w:r>
    </w:p>
    <w:p w14:paraId="4AFEC41B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15" w:lineRule="atLeast"/>
        <w:ind w:left="0" w:right="0" w:firstLine="600"/>
        <w:jc w:val="both"/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根据《关于印发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&lt;联通智能制造科技产业(广东)有限公司员工职业发展实施办法&gt;的通知》（联通智能制造〔2025〕27号）（以下简称“实施办法”）要求，现启动网络新技术中心2026年员工晋升激励工作。在实施办法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的基础上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，细化方案如下：</w:t>
      </w:r>
      <w:bookmarkStart w:id="0" w:name="_GoBack"/>
      <w:bookmarkEnd w:id="0"/>
    </w:p>
    <w:p w14:paraId="24488F1C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15" w:lineRule="atLeast"/>
        <w:ind w:left="0" w:right="0" w:firstLine="600"/>
        <w:jc w:val="both"/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一、适用范围</w:t>
      </w:r>
    </w:p>
    <w:p w14:paraId="579C570B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15" w:lineRule="atLeast"/>
        <w:ind w:left="0" w:right="0" w:firstLine="600"/>
        <w:jc w:val="both"/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网络新技术中心在岗员工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，特薪人员暂不参与本次晋升，待后续明确特薪人员方案后再组织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。</w:t>
      </w:r>
    </w:p>
    <w:p w14:paraId="766F33E0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15" w:lineRule="atLeast"/>
        <w:ind w:left="0" w:right="0" w:firstLine="600"/>
        <w:jc w:val="both"/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二、生效时间</w:t>
      </w:r>
    </w:p>
    <w:p w14:paraId="703EFD09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15" w:lineRule="atLeast"/>
        <w:ind w:left="0" w:right="0" w:firstLine="600"/>
        <w:jc w:val="both"/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生效时间为2026年4月1日。需在现职级满足相应年限的，按满足年限的日期进行应用（如7月份入职的校招生，晋升7月份生效）。</w:t>
      </w:r>
    </w:p>
    <w:p w14:paraId="74C3552B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15" w:lineRule="atLeast"/>
        <w:ind w:left="0" w:right="0" w:firstLine="600"/>
        <w:jc w:val="both"/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三、年度常态化晋升实施细则</w:t>
      </w:r>
    </w:p>
    <w:p w14:paraId="094CEC83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15" w:lineRule="atLeast"/>
        <w:ind w:left="0" w:right="0" w:firstLine="600"/>
        <w:jc w:val="both"/>
        <w:rPr>
          <w:rFonts w:hint="default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根据实施办法，年度常态化晋升比例挂钩中心的组织绩效考核结果，晋升名额为晋升比例*中心在岗人数，晋升名额向上取整。综合原大湾区研究院网络新技术中心及原广东网络研发中心2025年考核情况，组织架构调整后的网络新技术中心年度常态化晋升比例为14%，晋升名额为17人。</w:t>
      </w:r>
    </w:p>
    <w:tbl>
      <w:tblPr>
        <w:tblW w:w="85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55"/>
        <w:gridCol w:w="1665"/>
        <w:gridCol w:w="2625"/>
        <w:gridCol w:w="1080"/>
        <w:gridCol w:w="1080"/>
      </w:tblGrid>
      <w:tr w14:paraId="4B3E0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2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39D76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Microsoft YaHei UI" w:eastAsia="仿宋_GB2312" w:cs="仿宋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_GB2312" w:hAnsi="Microsoft YaHei UI" w:eastAsia="仿宋_GB2312" w:cs="仿宋_GB2312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中心</w:t>
            </w:r>
          </w:p>
        </w:tc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0DA3F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Microsoft YaHei UI" w:eastAsia="仿宋_GB2312" w:cs="仿宋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_GB2312" w:hAnsi="Microsoft YaHei UI" w:eastAsia="仿宋_GB2312" w:cs="仿宋_GB2312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中心在岗人数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4368A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Microsoft YaHei UI" w:eastAsia="仿宋_GB2312" w:cs="仿宋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_GB2312" w:hAnsi="Microsoft YaHei UI" w:eastAsia="仿宋_GB2312" w:cs="仿宋_GB2312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剔除高专、特岗特薪人员后的人数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6246E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Microsoft YaHei UI" w:eastAsia="仿宋_GB2312" w:cs="仿宋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_GB2312" w:hAnsi="Microsoft YaHei UI" w:eastAsia="仿宋_GB2312" w:cs="仿宋_GB2312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晋升比例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33E44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Microsoft YaHei UI" w:eastAsia="仿宋_GB2312" w:cs="仿宋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仿宋_GB2312" w:hAnsi="Microsoft YaHei UI" w:eastAsia="仿宋_GB2312" w:cs="仿宋_GB2312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常态化晋升名额</w:t>
            </w:r>
          </w:p>
        </w:tc>
      </w:tr>
      <w:tr w14:paraId="67E4B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37886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Microsoft YaHei UI" w:eastAsia="仿宋_GB2312" w:cs="仿宋_GB2312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eastAsia" w:ascii="仿宋_GB2312" w:hAnsi="Microsoft YaHei UI" w:eastAsia="仿宋_GB2312" w:cs="仿宋_GB2312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网络新技术中心</w:t>
            </w:r>
          </w:p>
        </w:tc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7433A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Microsoft YaHei UI" w:eastAsia="仿宋_GB2312" w:cs="仿宋_GB2312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eastAsia" w:ascii="仿宋_GB2312" w:hAnsi="Microsoft YaHei UI" w:eastAsia="仿宋_GB2312" w:cs="仿宋_GB2312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134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2501A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Microsoft YaHei UI" w:eastAsia="仿宋_GB2312" w:cs="仿宋_GB2312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eastAsia" w:ascii="仿宋_GB2312" w:hAnsi="Microsoft YaHei UI" w:eastAsia="仿宋_GB2312" w:cs="仿宋_GB2312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122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4CC2A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Microsoft YaHei UI" w:eastAsia="仿宋_GB2312" w:cs="仿宋_GB2312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eastAsia" w:ascii="仿宋_GB2312" w:hAnsi="Microsoft YaHei UI" w:eastAsia="仿宋_GB2312" w:cs="仿宋_GB2312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14%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79C46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Microsoft YaHei UI" w:eastAsia="仿宋_GB2312" w:cs="仿宋_GB2312"/>
                <w:i w:val="0"/>
                <w:iCs w:val="0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hint="eastAsia" w:ascii="仿宋_GB2312" w:hAnsi="Microsoft YaHei UI" w:eastAsia="仿宋_GB2312" w:cs="仿宋_GB2312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17</w:t>
            </w:r>
          </w:p>
        </w:tc>
      </w:tr>
    </w:tbl>
    <w:p w14:paraId="5052E79C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15" w:lineRule="atLeast"/>
        <w:ind w:left="0" w:right="0" w:firstLine="600"/>
        <w:jc w:val="both"/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因受名额限制，同时考虑到本次为首次按新实施办法执行，将规则细化如下：</w:t>
      </w:r>
    </w:p>
    <w:p w14:paraId="371FED40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1、</w:t>
      </w:r>
      <w:r>
        <w:rPr>
          <w:rFonts w:hint="eastAsia" w:ascii="仿宋_GB2312" w:hAnsi="仿宋_GB2312" w:eastAsia="仿宋_GB2312" w:cs="仿宋_GB2312"/>
          <w:sz w:val="32"/>
          <w:szCs w:val="32"/>
        </w:rPr>
        <w:t>业绩优先:按2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025</w:t>
      </w:r>
      <w:r>
        <w:rPr>
          <w:rFonts w:hint="eastAsia" w:ascii="仿宋_GB2312" w:hAnsi="仿宋_GB2312" w:eastAsia="仿宋_GB2312" w:cs="仿宋_GB2312"/>
          <w:sz w:val="32"/>
          <w:szCs w:val="32"/>
        </w:rPr>
        <w:t>年年度考核结果排序，按优秀、良好逐级考虑。</w:t>
      </w:r>
    </w:p>
    <w:p w14:paraId="5251D491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2、</w:t>
      </w:r>
      <w:r>
        <w:rPr>
          <w:rFonts w:hint="eastAsia" w:ascii="仿宋_GB2312" w:hAnsi="仿宋_GB2312" w:eastAsia="仿宋_GB2312" w:cs="仿宋_GB2312"/>
          <w:sz w:val="32"/>
          <w:szCs w:val="32"/>
        </w:rPr>
        <w:t>现职级任职时长:相同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业绩</w:t>
      </w:r>
      <w:r>
        <w:rPr>
          <w:rFonts w:hint="eastAsia" w:ascii="仿宋_GB2312" w:hAnsi="仿宋_GB2312" w:eastAsia="仿宋_GB2312" w:cs="仿宋_GB2312"/>
          <w:sz w:val="32"/>
          <w:szCs w:val="32"/>
        </w:rPr>
        <w:t>考核条件下，优先考虑现职级任职时间长的人员。</w:t>
      </w:r>
    </w:p>
    <w:p w14:paraId="3FBA990B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3、</w:t>
      </w:r>
      <w:r>
        <w:rPr>
          <w:rFonts w:hint="eastAsia" w:ascii="仿宋_GB2312" w:hAnsi="仿宋_GB2312" w:eastAsia="仿宋_GB2312" w:cs="仿宋_GB2312"/>
          <w:sz w:val="32"/>
          <w:szCs w:val="32"/>
        </w:rPr>
        <w:t>若业绩考核、现职级任职时长均一致，则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综合考虑往年的业绩考核和往年的晋升情况确定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 w14:paraId="37D20E0E">
      <w:pPr>
        <w:ind w:firstLine="640" w:firstLineChars="20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4、预计从明年起，将试行业绩考核、现职级任职年限赋分制，并按一定的权重计算综合得分，根据得分进行排序。</w:t>
      </w:r>
    </w:p>
    <w:p w14:paraId="673674F7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15" w:lineRule="atLeast"/>
        <w:ind w:left="0" w:right="0" w:firstLine="600"/>
        <w:jc w:val="both"/>
        <w:rPr>
          <w:rFonts w:hint="default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lang w:val="en-US"/>
        </w:rPr>
      </w:pPr>
      <w:r>
        <w:rPr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四、其他晋升途径及档内调薪情况说明</w:t>
      </w:r>
    </w:p>
    <w:p w14:paraId="0307373D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15" w:lineRule="atLeast"/>
        <w:ind w:left="0" w:right="0" w:firstLine="600"/>
        <w:jc w:val="both"/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（一）连续优秀快速晋升、校招生快速晋升、低于岗位带宽下限快速晋升、专家及以上人次快速晋升，按照相关规则实施晋升。</w:t>
      </w:r>
    </w:p>
    <w:p w14:paraId="49FAFEB6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15" w:lineRule="atLeast"/>
        <w:ind w:left="0" w:right="0" w:firstLine="600"/>
        <w:jc w:val="both"/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（二）档内调薪由温晓敏统一收集并复核员工调薪绩点进行应用。</w:t>
      </w:r>
    </w:p>
    <w:p w14:paraId="40E18B82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15" w:lineRule="atLeast"/>
        <w:ind w:left="0" w:right="0" w:firstLine="600"/>
        <w:jc w:val="both"/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p w14:paraId="7ED78BFA">
      <w:pPr>
        <w:rPr>
          <w:rFonts w:hint="eastAsia" w:ascii="仿宋_GB2312" w:hAnsi="仿宋_GB2312" w:eastAsia="仿宋_GB2312" w:cs="仿宋_GB2312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楷体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3250C"/>
    <w:rsid w:val="043C1E2E"/>
    <w:rsid w:val="045A6946"/>
    <w:rsid w:val="04A87686"/>
    <w:rsid w:val="06723C94"/>
    <w:rsid w:val="07BB6140"/>
    <w:rsid w:val="08296773"/>
    <w:rsid w:val="088274F0"/>
    <w:rsid w:val="09642C78"/>
    <w:rsid w:val="0C161698"/>
    <w:rsid w:val="0E6657EF"/>
    <w:rsid w:val="13C50A97"/>
    <w:rsid w:val="142F453F"/>
    <w:rsid w:val="16726C02"/>
    <w:rsid w:val="17BE0504"/>
    <w:rsid w:val="189A116C"/>
    <w:rsid w:val="18FE139B"/>
    <w:rsid w:val="1B2B55D1"/>
    <w:rsid w:val="1F594C3D"/>
    <w:rsid w:val="1F607885"/>
    <w:rsid w:val="1F6605F9"/>
    <w:rsid w:val="21AA5544"/>
    <w:rsid w:val="22BD0170"/>
    <w:rsid w:val="22D60BA5"/>
    <w:rsid w:val="23810EEB"/>
    <w:rsid w:val="246A5B3F"/>
    <w:rsid w:val="25CF0E14"/>
    <w:rsid w:val="2680283D"/>
    <w:rsid w:val="26DE67AE"/>
    <w:rsid w:val="26FB6932"/>
    <w:rsid w:val="283C2212"/>
    <w:rsid w:val="2C701C77"/>
    <w:rsid w:val="2E7E6154"/>
    <w:rsid w:val="2F25024E"/>
    <w:rsid w:val="31D440DD"/>
    <w:rsid w:val="3492284C"/>
    <w:rsid w:val="38FC4989"/>
    <w:rsid w:val="3A895415"/>
    <w:rsid w:val="3AEA75BB"/>
    <w:rsid w:val="3DE358D8"/>
    <w:rsid w:val="3EF21AD1"/>
    <w:rsid w:val="3FF53C50"/>
    <w:rsid w:val="41EE5EE1"/>
    <w:rsid w:val="43814152"/>
    <w:rsid w:val="43B03699"/>
    <w:rsid w:val="44746C5F"/>
    <w:rsid w:val="460A0550"/>
    <w:rsid w:val="46E42B4B"/>
    <w:rsid w:val="48974F99"/>
    <w:rsid w:val="499814CB"/>
    <w:rsid w:val="4A1D42FB"/>
    <w:rsid w:val="4DED60C2"/>
    <w:rsid w:val="4F836DF7"/>
    <w:rsid w:val="5000269E"/>
    <w:rsid w:val="512A3E35"/>
    <w:rsid w:val="519044FF"/>
    <w:rsid w:val="51A40E9A"/>
    <w:rsid w:val="520F6A66"/>
    <w:rsid w:val="53772F77"/>
    <w:rsid w:val="556C60B3"/>
    <w:rsid w:val="5A3C3419"/>
    <w:rsid w:val="5AD17550"/>
    <w:rsid w:val="5B4B0853"/>
    <w:rsid w:val="5C497C75"/>
    <w:rsid w:val="5C865E08"/>
    <w:rsid w:val="5CAE372D"/>
    <w:rsid w:val="5DE97722"/>
    <w:rsid w:val="5EB34653"/>
    <w:rsid w:val="5FA9607E"/>
    <w:rsid w:val="61EB3338"/>
    <w:rsid w:val="62D00E29"/>
    <w:rsid w:val="6401394C"/>
    <w:rsid w:val="64F50063"/>
    <w:rsid w:val="6585261B"/>
    <w:rsid w:val="674E6C15"/>
    <w:rsid w:val="686A2AD2"/>
    <w:rsid w:val="6E9058BD"/>
    <w:rsid w:val="6EB97BB5"/>
    <w:rsid w:val="6F113E47"/>
    <w:rsid w:val="701A42F9"/>
    <w:rsid w:val="713E5355"/>
    <w:rsid w:val="723F3FFF"/>
    <w:rsid w:val="72B94A7B"/>
    <w:rsid w:val="73492E90"/>
    <w:rsid w:val="73735092"/>
    <w:rsid w:val="74D900BF"/>
    <w:rsid w:val="767135EB"/>
    <w:rsid w:val="773C532B"/>
    <w:rsid w:val="78F74611"/>
    <w:rsid w:val="7AEC512A"/>
    <w:rsid w:val="7E00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2026-06-04T08:52:34Z</dcterms:created>
  <dc:creator>Administrator</dc:creator>
  <cp:lastModifiedBy>潘桂新</cp:lastModifiedBy>
  <dcterms:modified xsi:type="dcterms:W3CDTF">2026-06-04T09:34:07Z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4162EAB6BA7F47FA96748FBB3B3AEF3A_12</vt:lpwstr>
  </property>
</Properties>
</file>