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二、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研发项目立项申报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流程：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项目经理拟稿-&gt;部门接口人-&gt;部门领导审核-&gt;省公司专业线接口人审核-&gt;办公室（科技创新部王继梅）-&gt;专家小组评审-&gt;科创委审议-&gt;会议纪要-&gt;批复文件-&gt;批复单。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（一）项目经理拟稿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1、入口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2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 w:bidi="ar-SA"/>
        </w:rPr>
        <w:t>入口1：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从“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OA首页-星火平台-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研发项目规划”模块发起立项，步骤如下：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（1）点击“研发项目规划-规划项目清单”按钮；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（2）在左上角输入项目名称（可模糊搜索）后点击搜索，如搜索结果为空白，可联系科创部咨询；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（3）核对项目信息后，点击“立项”按钮。</w:t>
      </w:r>
    </w:p>
    <w:p>
      <w:pPr>
        <w:bidi w:val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62245" cy="1540510"/>
            <wp:effectExtent l="0" t="0" r="1079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2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 w:bidi="ar-SA"/>
        </w:rPr>
        <w:t>入口2：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从“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OA首页-星火平台-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研发项目立项申报流程”模块发起立项，步骤如下：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（1）点击“研发项目立项申报流程”按钮；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（2）研发项目立项申报工单页面会自动弹出“选择BP清单项目”页面；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（3）输入项目名称（可模糊搜索）后点击查询，如搜索结果为空白，可联系科创部咨询；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（4）确认项目信息后勾选点击“选择”。</w:t>
      </w:r>
    </w:p>
    <w:p>
      <w:pPr>
        <w:jc w:val="both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64785" cy="1459865"/>
            <wp:effectExtent l="0" t="0" r="825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inline distT="0" distB="0" distL="114300" distR="114300">
            <wp:extent cx="5273675" cy="2623820"/>
            <wp:effectExtent l="0" t="0" r="14605" b="12700"/>
            <wp:docPr id="12" name="图片 12" descr="BP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P清单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2、立项工单信息填写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 w:bidi="ar-SA"/>
        </w:rPr>
        <w:t>说明：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现已将立项申报书和费用预算表优化为页面模块化工单填写，项目申报人在填写工单信息过程中，若工单内容未完成填写，可随时点击“暂存”按钮，以防信息丢失。点击“暂存”后，后续查看路径可前往“OA待办”或者“星火平台-&gt;我的工作台-&gt;我的待办”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68595" cy="673735"/>
            <wp:effectExtent l="0" t="0" r="4445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暂存后若需重新查找并填写立项申报工单，其路径如下：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路径1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</w:pPr>
      <w:r>
        <w:drawing>
          <wp:inline distT="0" distB="0" distL="114300" distR="114300">
            <wp:extent cx="5269230" cy="1371600"/>
            <wp:effectExtent l="0" t="0" r="381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路径2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2405" cy="1597025"/>
            <wp:effectExtent l="0" t="0" r="635" b="317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3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模块1：项目基本信息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（1）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项目命名：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应尽可能反映项目的本质特征，内涵丰富。可参考研发项目命名量化评价标准进行自评以达到规范要求（最低80分以上）。原则上申报时的项目名称、BP清单项目名称、PMS3.0可研批复名称需保持一致；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2829560" cy="2839720"/>
            <wp:effectExtent l="0" t="0" r="5080" b="1016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（2）</w:t>
      </w: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 w:bidi="ar-SA"/>
        </w:rPr>
        <w:t>自审：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提交前需先对照研发项目立项形式审查表自审合格后方可提交；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149215" cy="462280"/>
            <wp:effectExtent l="0" t="0" r="1905" b="10160"/>
            <wp:docPr id="1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46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（3）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CAPEX研发项目：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需同步完成PMS编号输入，同时PMS3.0与研发项目一一对应，且建设性质选择“研发”，上传PMS立项批复单和可研决策文件。若因建设性质未选择“研发”导致项目支出归集科目错误，由承担部门在PMS3.0变更建设性质，确保后续项目支出归集科目准确；同时，对于变更之前已经发生的支出，由承担部门明确处理方案并发起财务处理申请，财务部门依据申请及方案材料进行账务处理；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72405" cy="1767205"/>
            <wp:effectExtent l="0" t="0" r="635" b="63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482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32"/>
          <w:lang w:val="en-US" w:eastAsia="zh-CN" w:bidi="ar-SA"/>
        </w:rPr>
        <w:t>OPEX研发项目：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需同步完成经济事项审批工单编号输入，上传经济事项审批单和可研决策文件。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69230" cy="1805305"/>
            <wp:effectExtent l="0" t="0" r="3810" b="825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3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模块2：研发项目费用预算表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“金额（万元）”列按照实际情况填写，若有不涉及的费用项目可默认为空。当某个费用项目填写了金额，对应的“资金来源（CAPEX或OPEX）”须需点击选择。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若有CAPEX研发项目的设计费或安全费，需将该费用填写在“3.3其他”中。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3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模块3：成员列表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研发人员原则上应为科技创新岗位族人员。系统已同步人力四透明系统，录入成员列表时系统自动校验项目成员的岗位族信息。项目经理需对非科技创新岗位族工时进行合理填报。对于在建工程人员，由于当前系统尚未支持研发支出入账，原则上不录入其工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3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模块4：项目计划书-1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（1）根据页面的字段说明信息，填写项目背景、研发目标、评价指标、研发内容、应用场景等；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（2）知识产权成果应按照项目规划要求推进，实际成果产出可超出规划数量，但不得低于规划标准。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3540760" cy="2520950"/>
            <wp:effectExtent l="0" t="0" r="10160" b="8890"/>
            <wp:docPr id="2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（3）若是委外项目，需充分评估必要性，对不合理的、简单的外包进行严格压降，原则上不得进行二次外包。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269865" cy="2252345"/>
            <wp:effectExtent l="0" t="0" r="3175" b="317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如需购置软硬件设备，需详细说明所购置设备与研发项目的强相关性，并且需为研发所需的最小金额。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057910"/>
            <wp:effectExtent l="0" t="0" r="3175" b="889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3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模块5：项目计划书-2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根据选择的项目性质（软件/平台/系统/硬件/技术）分类和项目启动/结项时的自评等级，点击“项目经理自评”，对评价细则进行逐一应答，并给出匹配度得分。项目性质 “系统”的技术就绪度应答与“技术就绪度评价标准及细则”文件中“一般”保持一致；项目性质“技术”无需进行技术就绪度应答。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</w:rPr>
        <w:drawing>
          <wp:inline distT="0" distB="0" distL="114300" distR="114300">
            <wp:extent cx="5268595" cy="2781300"/>
            <wp:effectExtent l="0" t="0" r="4445" b="762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（二）部门接口人审批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对项目经理拟稿内容进行审批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A、同意：送部门领导审批。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B、不同意：退回项目经理修改。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（三）部门领导审批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对项目经理拟稿内容进行审批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A、同意：送省公司专业线接口人审批。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B、不同意：退回部门接口人/项目经理修改。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（四）省公司专业线接口人审批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对项目经理拟稿内容进行审批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A、同意：送办公室审批。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B、不同意：退回部门接口人/部门领导/项目经理修改。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（五）办公室审批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对项目经理拟稿内容进行审批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A、同意：选择评审专家及评审组长，其中评审专家人数需为不小于3的奇数，且不能与项目成员和项目经理重复。经确认后，送专家小组进行评审，并根据其评审意见按照不同流程节点有序推进后续流转。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B、不同意：退回省公司专业线接口人/部门接口人/项目经理修改。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（六）专家评审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对项目经理拟稿内容进行评审，其审核要点如下：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（1）是否具有研发属性（参照正负面清单）；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（2）是否有明确的成果输出，且研发目标与研发内容是否包含研发指南承诺内容；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（3）项目描述的项目目标、考核指标、原理、技术路径、方案是否合理；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（4）项目人工自有人员承担的内容是否合理；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（5）总预算是否合理；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（6）项目命名得分（项目名称应尽可能反映项目的实质内容，不要夸大，要内涵丰富，命名要求至少80分以上，判断标准见附件）；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（7）委外是否合理必要：（针对不合理的、简单的外包进行严格压降，坚决防止低层次和二次外包；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（8）其他意见。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drawing>
          <wp:inline distT="0" distB="0" distL="114300" distR="114300">
            <wp:extent cx="4815205" cy="2143125"/>
            <wp:effectExtent l="0" t="0" r="635" b="5715"/>
            <wp:docPr id="24" name="图片 24" descr="c7784af1d8d8f4de62de99109d72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7784af1d8d8f4de62de99109d72d6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当专家完成评审并给出“通过”结论后，办公室会将工单返回给拟稿人，拟稿人在页面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下载立项申报书和费用预算表终稿，完成线下盖章及上传这2个材料扫描版后提交给办公室审核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（七）科创委审议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对于已完成立项流程的项目，科创委将定期召开会议，审议各项目专家小组的评审结果，并在委员集体决策基础上，形成并出具评审会议纪要。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（八）会议纪要/批复文件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通过OA公文发布科创委审议决策后的会议纪要批复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（九）批复单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sz w:val="24"/>
          <w:szCs w:val="32"/>
          <w:lang w:val="en-US" w:eastAsia="zh-CN"/>
        </w:rPr>
        <w:t>办公室根据科创委审议结果，完成立项批复单信息补充，项目经理可在立项工单的首页下载立项批复单。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78095" cy="1509395"/>
            <wp:effectExtent l="0" t="0" r="12065" b="14605"/>
            <wp:docPr id="2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150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0E6F2"/>
    <w:multiLevelType w:val="singleLevel"/>
    <w:tmpl w:val="9B90E6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D2FEF00"/>
    <w:multiLevelType w:val="singleLevel"/>
    <w:tmpl w:val="2D2FEF00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D1602"/>
    <w:rsid w:val="01F35FB1"/>
    <w:rsid w:val="3C3D1602"/>
    <w:rsid w:val="41BF58A9"/>
    <w:rsid w:val="5C5E39BF"/>
    <w:rsid w:val="747C2CFC"/>
    <w:rsid w:val="7EB1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广东省分公司</Company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2025-08-18T03:07:00Z</dcterms:created>
  <dc:creator>winwin</dc:creator>
  <cp:lastModifiedBy>winwin</cp:lastModifiedBy>
  <dcterms:modified xsi:type="dcterms:W3CDTF">2025-08-18T03:07:37Z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C5EBA15C096646919F9200DEF7AC4BBE</vt:lpwstr>
  </property>
</Properties>
</file>