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sz w:val="46"/>
        </w:rPr>
        <w:t>知识库接入操作指南</w:t>
      </w:r>
    </w:p>
    <w:p>
      <w:pPr>
        <w:spacing w:after="280"/>
      </w:pPr>
      <w:r>
        <w:rPr>
          <w:rFonts w:ascii="Calibri" w:hAnsi="Calibri" w:eastAsia="Microsoft YaHei"/>
          <w:b w:val="0"/>
          <w:color w:val="5A626C"/>
          <w:sz w:val="26"/>
        </w:rPr>
        <w:t>DOCX 格式端到端验收样本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文档类型：</w:t>
      </w:r>
      <w:r>
        <w:rPr>
          <w:rFonts w:ascii="Calibri" w:hAnsi="Calibri" w:eastAsia="Microsoft YaHei"/>
          <w:b w:val="0"/>
          <w:sz w:val="22"/>
        </w:rPr>
        <w:t>DOCX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授权部门：</w:t>
      </w:r>
      <w:r>
        <w:rPr>
          <w:rFonts w:ascii="Calibri" w:hAnsi="Calibri" w:eastAsia="Microsoft YaHei"/>
          <w:b w:val="0"/>
          <w:sz w:val="22"/>
        </w:rPr>
        <w:t>全公司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测试标识：</w:t>
      </w:r>
      <w:r>
        <w:rPr>
          <w:rFonts w:ascii="Calibri" w:hAnsi="Calibri" w:eastAsia="Microsoft YaHei"/>
          <w:b w:val="0"/>
          <w:sz w:val="22"/>
        </w:rPr>
        <w:t>DOCX-READY-2026</w:t>
      </w:r>
    </w:p>
    <w:p>
      <w:pPr>
        <w:pStyle w:val="Heading1"/>
      </w:pPr>
      <w:r>
        <w:t>上传前检查</w:t>
      </w:r>
    </w:p>
    <w:p>
      <w:pPr>
        <w:pStyle w:val="ListBullet"/>
      </w:pPr>
      <w:r>
        <w:t>确认文件不包含密码、密钥、个人身份号码等敏感信息。</w:t>
      </w:r>
    </w:p>
    <w:p>
      <w:pPr>
        <w:pStyle w:val="ListBullet"/>
      </w:pPr>
      <w:r>
        <w:t>选择正确的部门权限，并使用清晰可检索的文档标题。</w:t>
      </w:r>
    </w:p>
    <w:p>
      <w:pPr>
        <w:pStyle w:val="ListBullet"/>
      </w:pPr>
      <w:r>
        <w:t>文件大小不得超过 20 MB。</w:t>
      </w:r>
    </w:p>
    <w:p>
      <w:pPr>
        <w:pStyle w:val="Heading1"/>
      </w:pPr>
      <w:r>
        <w:t>处理流程</w:t>
      </w:r>
    </w:p>
    <w:p>
      <w:pPr>
        <w:pStyle w:val="ListNumber"/>
      </w:pPr>
      <w:r>
        <w:t>管理员上传文件，系统计算 SHA-256 并创建索引任务。</w:t>
      </w:r>
    </w:p>
    <w:p>
      <w:pPr>
        <w:pStyle w:val="ListNumber"/>
      </w:pPr>
      <w:r>
        <w:t>Worker 解析段落、切块并生成本地 BGE 向量。</w:t>
      </w:r>
    </w:p>
    <w:p>
      <w:pPr>
        <w:pStyle w:val="ListNumber"/>
      </w:pPr>
      <w:r>
        <w:t>索引完成后状态变为 ready，员工按部门权限检索。</w:t>
      </w:r>
    </w:p>
    <w:p>
      <w:pPr>
        <w:pStyle w:val="Heading1"/>
      </w:pPr>
      <w:r>
        <w:t>验收口径</w:t>
      </w:r>
    </w:p>
    <w:p>
      <w:r>
        <w:t>测试口令 DOCX-READY-2026 必须能够从解析文本中找到。重复上传应返回冲突；删除文档后，文档记录和向量片段必须同步消失。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626C"/>
        <w:sz w:val="17"/>
      </w:rPr>
      <w:t>Format validation fixture - no sensitive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5A626C"/>
        <w:sz w:val="18"/>
      </w:rPr>
      <w:t>RAG INGESTION FIXTURE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