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1C9A" w14:textId="34CC3E76" w:rsidR="00FC476D" w:rsidRDefault="00A763EC">
      <w:pPr>
        <w:rPr>
          <w:rFonts w:hint="eastAsia"/>
        </w:rPr>
      </w:pP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🔴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冲刺 | 武汉理工大学（中外合作） | 车辆工程 | 约18242名 | 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汽车/智能制造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：双一流工科强校，车辆工程全国前列，毕业生多进入车企、新能源及高端制造领域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🔴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冲刺 | 杭州电子科技大学（中外合作） | 自动化 | 约20939名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电子信息/智能制造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杭电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IT就业口碑极佳，自动化专业对接工业互联网、智能控制系统，长三角就业优势明显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🔴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冲刺 | 郑州大学（中外合作） | 计算机科学与技术 | 约24764名 | 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信息技术/软件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：省内双一流综合龙头，计算机热门方向，毕业生覆盖互联网大厂及省内数字化产业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上海理工大学（中外合作） | 光电信息科学与工程 | 约29930名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光学工程/精密仪器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：中德合作背景，光电学科底蕴扎实，面向激光技术、光通信及半导体行业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西安邮电大学（中外合作） | 电子信息工程 | 约30812名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通信/ICT产业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：邮电类特色鲜明，电子信息工程对接5G通信、网络设备商，运营商及华为生态认可度高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东北电力大学（中外合作） | 电气工程及其自动化 | 约30812名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电力系统/能源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：原电力部直属高校，电气专业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在国网招聘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中竞争力强，毕业生多进入电网及发电集团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河南大学（龙子湖校区） | 自动化 | 约30812名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智能制造/机器人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：省内双一流高校，新校区资源优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渥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，自动化专业对接河南省制造业转型升级需求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稳妥 | 天津理工大学 | 电子信息工程/集成电路设计 | 约28088名/29930名 | 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lastRenderedPageBreak/>
        <w:t>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电子信息/芯片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：工科强校，集成电路专业契合国家半导体战略，京津冀IT及芯片产业就业面广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桂林电子科技大学 | 电气工程及其自动化/机器人工程 | 约29930名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电子信息/装备制造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：华南地区电子类特色院校，电气与机器人专业在珠三角制造业及科技企业认可度高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成都信息工程大学 | 计算机科学与技术/电子信息工程 | 约29930名/31705名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气象信息交叉/IT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：气象与信息学科特色，计算机及电子信息专业在成都IT产业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带就业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便利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🟡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稳妥 | 集美大学 | 计算机科学与技术/网络空间安全 | 约35524名/40609名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信息技术/海洋经济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：沿海开放城市高校，计算机与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网安专业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适配厦门及福建数字经济产业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🟢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保底 | 西安邮电大学（中外合作） | 数据科学与大数据技术/智能科学与技术 | 约51684名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大数据/AI应用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：邮电类院校数据科学方向，对接互联网平台及企业数字化转型岗位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🟢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保底 | 长春理工大学（中外合作） | 光电信息科学与工程 | 约42712名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光学工程/国防科技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：光学工程学科实力全国前列，全英文授课项目，面向激光装备及航天光电领域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🟢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保底 | 华北水利水电大学 | 电气工程及其自动化/自动化 | 约41663名/50521名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水利电力/能源基建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：省内水利电力行业传统强校，电气专业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在国网河南公司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及水电系统就业稳定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🟢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保底 | 郑州轻工业大学 | 电气工程及其自动化/智能电网信息工程 | 约49305名/50521名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电气/食品轻工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：省会高校，电气类专业在省内电网及制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lastRenderedPageBreak/>
        <w:t>造业认可度高，智能电网对接新型电力系统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🟢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保底 | 大连交通大学 | 电气工程及其自动化/电子信息工程 | 约40609名/51684名 | 普通公办标准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轨道交通/装备制造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：铁路特色鲜明，电气与电子信息专业</w:t>
      </w:r>
      <w:proofErr w:type="gramStart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对接国</w:t>
      </w:r>
      <w:proofErr w:type="gramEnd"/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铁集团及轨道交通产业链 |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| </w:t>
      </w:r>
      <w:r>
        <w:rPr>
          <w:rStyle w:val="qk-md-text"/>
          <w:rFonts w:ascii="Segoe UI Emoji" w:eastAsia="微软雅黑" w:hAnsi="Segoe UI Emoji" w:cs="Segoe UI Emoji"/>
          <w:color w:val="222222"/>
          <w:bdr w:val="single" w:sz="2" w:space="0" w:color="auto" w:frame="1"/>
          <w:shd w:val="clear" w:color="auto" w:fill="FFFFFF"/>
        </w:rPr>
        <w:t>🟢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保底 | 燕山大学（中外合作） | 软件工程/电子科学与技术 | 约59240名/56625名 | 3.8万元 | </w:t>
      </w:r>
      <w:r>
        <w:rPr>
          <w:rStyle w:val="qk-md-text"/>
          <w:rFonts w:ascii="微软雅黑" w:eastAsia="微软雅黑" w:hAnsi="微软雅黑" w:hint="eastAsia"/>
          <w:b/>
          <w:bCs/>
          <w:color w:val="222222"/>
          <w:bdr w:val="single" w:sz="2" w:space="0" w:color="auto" w:frame="1"/>
          <w:shd w:val="clear" w:color="auto" w:fill="FFFFFF"/>
        </w:rPr>
        <w:t>机械/信息技术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>：老牌工科强校，软件与电子科学专业在京津冀IT及装备制造领域有传统优势 </w:t>
      </w:r>
      <w:r>
        <w:rPr>
          <w:rStyle w:val="qk-md-text"/>
          <w:rFonts w:ascii="微软雅黑" w:eastAsia="微软雅黑" w:hAnsi="微软雅黑" w:hint="eastAsia"/>
          <w:color w:val="222222"/>
          <w:bdr w:val="single" w:sz="2" w:space="0" w:color="auto" w:frame="1"/>
          <w:shd w:val="clear" w:color="auto" w:fill="FFFFFF"/>
        </w:rPr>
        <w:t xml:space="preserve">                 </w:t>
      </w:r>
    </w:p>
    <w:sectPr w:rsidR="00FC47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9F"/>
    <w:rsid w:val="002A2BFD"/>
    <w:rsid w:val="007E18A6"/>
    <w:rsid w:val="00A763EC"/>
    <w:rsid w:val="00AB309F"/>
    <w:rsid w:val="00DF4CA3"/>
    <w:rsid w:val="00FC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9A807"/>
  <w15:chartTrackingRefBased/>
  <w15:docId w15:val="{38137EB4-2CBE-45AC-8BFF-C339DC0B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3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0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0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0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0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0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0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0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0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0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30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0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0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0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0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0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0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0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0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09F"/>
    <w:rPr>
      <w:b/>
      <w:bCs/>
      <w:smallCaps/>
      <w:color w:val="0F4761" w:themeColor="accent1" w:themeShade="BF"/>
      <w:spacing w:val="5"/>
    </w:rPr>
  </w:style>
  <w:style w:type="character" w:customStyle="1" w:styleId="qk-md-text">
    <w:name w:val="qk-md-text"/>
    <w:basedOn w:val="a0"/>
    <w:rsid w:val="00A7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2026-06-30T09:49:00Z</dcterms:created>
  <dcterms:modified xsi:type="dcterms:W3CDTF">2026-06-30T15:10:00Z</dcterms:modified>
</cp:coreProperties>
</file>