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）」是指交通或交叉要道、直行、行動、接觸、冒犯、直向上頂（及其延伸之意義），如「要衝」、「橫衝直撞」、「衝鋒陷陣」、「衝突」、「怒髮衝冠」等。「衝（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）」與「沖」均可表「直上」和「衝突」，但「怒氣衝衝」（表直向上頂）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F9A115E"/>
    <w:rsid w:val="B7DFE79F"/>
    <w:rsid w:val="E791199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2024-02-10T10:35:12Z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C9C1C66D06CF0435D9446A6582D223C9_41</vt:lpwstr>
  </property>
</Properties>
</file>