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辨意：根據《教育部異體字字典》，「衝（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）」是指交通或交叉要道、直行、行動、接觸、冒犯、直向上頂（及其延伸之意義），如「要衝」、「橫衝直撞」、「衝鋒陷陣」、「衝突」、「怒髮衝冠」等。「衝（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令狐沖」、「沖虛道長」（以上二者皆為金庸武俠小說中的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人物）</w:t>
      </w: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等，可觀察到若與水（液體）有關則大概率為「沖」。「衝（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4"/>
          <w:szCs w:val="34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7DAFDFB1"/>
    <w:rsid w:val="7F9A115E"/>
    <w:rsid w:val="E7911995"/>
    <w:rsid w:val="EEF1A79E"/>
    <w:rsid w:val="FCDA8CEF"/>
    <w:rsid w:val="FE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2023-12-21T11:35:41Z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C9C1C66D06CF0435D9446A6582D223C9_41</vt:lpwstr>
  </property>
</Properties>
</file>