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麼、么、幺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么、幺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麼」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，「么、幺」音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yāo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。注意「麼」之簡化字為「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么」而「么、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」之簡化字為「幺」，且「麼」讀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時不簡化。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是指細小，如「么麼（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yāomó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）」（貶詞，小東西；早期元雜劇的別稱）、「么麼小丑」（比喻微不足道的小人）等。「麼（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ma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）」則是用同「嗎」或「嘛」。「麼（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má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）」則是助詞，置於語尾，表疑問語氣，如「幹麼」等。「麼（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me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）」則是詞綴，如「甚麼」（同「什麼」）、「這麼」、「那麼」等。而「么」則是指小、貶詞（小物品）、排行最小者、一之別稱、姓氏，如「么麼」、「么兒」、「么妹」、「么叔」、「么二三四五」、「么么零」等。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幺」則是指細小或二一四部首之一，其義同「么」，可視為異體字。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現代語境中區分「麼」和「么」只需要因聲辨字（根據不同的讀音確定不同的字），而「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幺」字只有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作部首時才用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需要注意的是，只有「么」可作姓氏。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幺」和「么」均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可作偏旁，其中「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幺」常作部首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，如「幻」、「幼」、「玄」、「吆」、「糸」、「幽」、「麽」（「麼」之異體）、「簒」（「篡」之異體）等。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2023-12-31T21:26:53Z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7B1AF5FEC95C5DA5E51D92651CB70646_43</vt:lpwstr>
  </property>
</Properties>
</file>