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易與」（容易應付，乃輕鄙之詞）、「贈與」、「授與」、「與人為善」、「誰與爭鋒」、「與其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2024-02-19T22:01:38Z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C9199D4C109ED117ACB29965CB539CE5_43</vt:lpwstr>
  </property>
</Properties>
</file>