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陸居民臺灣正體字講義》一簡多繁辨析之「刨、鉋、鑤」→「刨」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刨」音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，「鉋、鑤」音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刨（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是指削、除去、挖掘、減去（北平方言），如「刨除」、「刨除淨盡」、「刨開」、「刨洞」、「刨坑」、「狗刨」、「刨根問底」等。「刨（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刮平或削刮成碎屑（通「鉋」），如「刨冰」等。而「鉋」則是指裝有利刃用於刮平物體表面之工具（如刮平木材之「鉋子」，刮平銅鐵之「鋼鉋」等）、鋤地使平、用鉋子削刮物品、刷馬毛之鐵刷，如「鉋刀」、「鉋凳」、「鉋床」（一種工具機或鉋子上的木製部分）、「鉋花」、「鉋工」、「鉋削」、「平鉋」、「推鉋」、「鉋木料」、「鉋地」（指鋤地使平）、「馬鉋」（指刷馬毛之鐵刷）等。而「鑤」則是指刨削或刨木器，後作「刨」，可視為「鉋」之異體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現代語境中區分「刨（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）」、「鉋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」和「鑤」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，只要記住除「刨冰」外一律「鉋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」即可，而「鑤」字今已幾乎不用。注意只有「刨」可讀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653A9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2024-02-22T23:43:59Z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FDEEDC5CC2212E184AC39D6593C04A1B_43</vt:lpwstr>
  </property>
</Properties>
</file>