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陸居民臺灣正體字講義》一簡多繁辨析之「哄、鬨」→「哄」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，「鬨」音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hòng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。故「哄」與「鬨」為極易區分之字，可因聲辨字（根據不同的讀音確定不同的字）。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是指眾人同時發聲，如「哄動」、「哄傳」、「哄然」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、「哄抬」、「哄搶」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、「鬧哄哄」、「亂哄哄」、「哄堂大笑」、「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趁哄打劫」、「一哄而散」等。「哄（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）」則是指欺騙、逗弄幼兒，如「哄騙」、「詐哄」、「瞞哄」、「哄人」、「哄孩子」等。而「鬨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」則是指爭鬥、爭戰、眾人聚集喧鬧、繁盛，如「內鬨」、「鬥鬨」、「起鬨」、「喧鬨」等。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現代語境中區分「哄」和「鬨」，只要記住「鬨」用於「內鬨」、「鬥鬨」、「起鬨」、「喧鬨」等義，若非此義則一律用「哄」。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2024-01-10T13:36:03Z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EE108149D409CC1729E29E6502E3DC13_43</vt:lpwstr>
  </property>
</Properties>
</file>