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於是」、「關於」、「對於」、「至於」、「</w:t>
      </w:r>
      <w:bookmarkStart w:id="0" w:name="_GoBack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鑑於</w:t>
      </w:r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」、「等於」、「終於」、「忠於」、「羞於」、「難於」、「屬於」、「趨於」、「生於某年（某地）」、「青出於藍」、「舟行於海」、「生於斯，長於斯」、「千里之行，始於足下」、「己所不欲，勿施於人」、「於心不忍」、「於事無補」等。「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EE9F6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BF34D6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EBB45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BF33FB"/>
    <w:rsid w:val="FEEE2B84"/>
    <w:rsid w:val="FF7713E7"/>
    <w:rsid w:val="FF9F1289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2024-04-11T10:43:00Z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81A4CC9C7E747BDBA5C1776518436BBA_43</vt:lpwstr>
  </property>
</Properties>
</file>