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於是」、「關於」、「對於」、「至於」、「等於」、「終於」、「忠於」、「羞於」、「難於」、「屬於」、「趨於」、「生於某年（某地）」、「青出於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、「舟行於海」、「生於斯，長於斯」、「千里之行，始於足下」、「己所不欲，勿施於人」、「於心不忍」、「於事無補」等。「於（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EE9F6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EBB45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2024-04-07T21:22:34Z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81A4CC9C7E747BDBA5C1776518436BBA_43</vt:lpwstr>
  </property>
</Properties>
</file>