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指田相值、相對、對等、值、正值、適合、相稱、應該、應當（用以強調必然、必須之事物）、當作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、「當兒」（正當某個時刻）、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當口」（正值某個時機）、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當班」、「當權」、「安步當車」、「當官」、「當兵」、「當家」、「定當」、「難當」、「不敢當」、「敢做敢當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）」則是指合宜、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圈套、詭計、用物品抵押借錢、抵押之物品、成績不及格，如「恰當」、「適當」、「妥當」、「正當」（合理的、正確的；端正清白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2024-03-03T12:12:14Z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