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「華麗」（美麗有光彩）、光彩、光澤、繁盛、「精華」、精要、文采、文飾、化妝用之脂粉、虛浮不實、頭髮花白、時光、中國或「華夏」之簡稱，如「華服」、「華燈初上」、「繁華」、「夢華」（比喻追思往事，恍如夢境）、「才華」、「華髮」（花白的頭髮；借指老人）、「韶華」（春光；青春年華；光陰，如「韶華易逝」）、「中華」、「華人」、「華僑」等。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2024-02-03T21:21:03Z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53FB3434AF3C0D78588FBD65C3E1AD35_43</vt:lpwstr>
  </property>
</Properties>
</file>