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是指遠行、討伐、強取、爭奪、課徵、稅賦或姓氏，如「遠征」、「征程」、「長征」、「征伐」、「征戍」、「南征北討」、「橫征暴斂」、「御駕親征」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等。而「徵（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召集、尋求、招請、課取、收取、責問、詢問、驗證、證明、預兆、跡象或姓氏，如「徵兵」、「徵婚」、「徵召」、「徵招女工」、「徵稅」、「徵詢意見」、「徵兆」、「特徵」、「吉徵」、「凶徵」等。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均不可寫作「徵」，「特徵」、「徵兆」也不可寫作「征」。需要注意的是，「征」和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2024-02-09T21:22:06Z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5F23C99A32CFA9A12EAE7C657129FDF3_43</vt:lpwstr>
  </property>
</Properties>
</file>