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罪過、不良之行為、疾病、不適、汙垢、穢物、糞便、不佳、惡劣、醜陋、厲害、凶猛、災害、禍害、極、甚，如「邪惡」、「惡人」、「抑惡揚善」、「無惡不作」、「十惡不赦」、「惡果」、「惡報」、「惡病」、「凶惡」、「險惡」、「惡臭不堪」等。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）」則是指羞恥、憎恨、討厭、冒犯、得罪、害怕、畏懼、譭謗、中傷、忌諱，如「羞惡」、「嫌惡」、「憎惡」、「厭惡」、「可惡」、「貪生惡死」、「好逸惡勞」、「深惡痛絕」等。「惡（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偏旁辨析：只有「惡」可作聲旁，如「噁」、「癋」、「䜑」等。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2023-12-21T16:46:54Z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E86960D7D80D7B46E159846505A0FBA0_43</vt:lpwstr>
  </property>
</Properties>
</file>