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2"/>
          <w:szCs w:val="42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2"/>
          <w:szCs w:val="42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排除萬難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千難萬險」、「千辛萬苦」、「萬不得已」、「萬萬不可」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而</w:t>
      </w:r>
      <w:bookmarkStart w:id="0" w:name="_GoBack"/>
      <w:bookmarkEnd w:id="0"/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42"/>
          <w:szCs w:val="4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偏旁辨析：「萬」與「万」均可作偏旁，絕大多數情況用「萬」，如「厲」、「勱」、「邁」、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</w:t>
      </w:r>
      <w:r>
        <w:rPr>
          <w:rFonts w:hint="eastAsia" w:ascii="TW-MOE-Std-Kai" w:hAnsi="TW-MOE-Std-Kai" w:eastAsia="Times New Roman" w:cs="TW-MOE-Std-Kai"/>
          <w:sz w:val="42"/>
          <w:szCs w:val="42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7DAFDFB1"/>
    <w:rsid w:val="7F7F400D"/>
    <w:rsid w:val="7F9A115E"/>
    <w:rsid w:val="E7911995"/>
    <w:rsid w:val="EEF1A79E"/>
    <w:rsid w:val="F5DEA399"/>
    <w:rsid w:val="FCDA8CEF"/>
    <w:rsid w:val="FEFF295D"/>
    <w:rsid w:val="FFED8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2023-12-21T11:53:17Z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11092085DB6C949E686A84651556861F_43</vt:lpwstr>
  </property>
</Properties>
</file>