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8B2A2" w14:textId="77777777" w:rsidR="003A244C" w:rsidRPr="0069637A" w:rsidRDefault="003A244C" w:rsidP="003A244C">
      <w:pPr>
        <w:spacing w:line="360" w:lineRule="auto"/>
        <w:rPr>
          <w:rFonts w:ascii="宋体" w:eastAsia="宋体" w:hAnsi="宋体"/>
          <w:sz w:val="24"/>
          <w:szCs w:val="24"/>
        </w:rPr>
      </w:pPr>
      <w:r w:rsidRPr="0069637A">
        <w:rPr>
          <w:rFonts w:ascii="宋体" w:eastAsia="宋体" w:hAnsi="宋体" w:hint="eastAsia"/>
          <w:sz w:val="24"/>
          <w:szCs w:val="24"/>
        </w:rPr>
        <w:t>居民客户的用电缴费习惯分析</w:t>
      </w:r>
    </w:p>
    <w:p w14:paraId="6D99B183" w14:textId="77777777" w:rsidR="003A244C" w:rsidRPr="0069637A" w:rsidRDefault="003A244C" w:rsidP="003A244C">
      <w:pPr>
        <w:spacing w:line="360" w:lineRule="auto"/>
        <w:ind w:firstLine="420"/>
        <w:rPr>
          <w:rFonts w:ascii="宋体" w:eastAsia="宋体" w:hAnsi="宋体" w:cs="仿宋"/>
          <w:sz w:val="24"/>
          <w:szCs w:val="24"/>
        </w:rPr>
      </w:pPr>
      <w:r w:rsidRPr="0069637A">
        <w:rPr>
          <w:rFonts w:ascii="宋体" w:eastAsia="宋体" w:hAnsi="宋体" w:cs="仿宋" w:hint="eastAsia"/>
          <w:sz w:val="24"/>
          <w:szCs w:val="24"/>
        </w:rPr>
        <w:t>居民客户的用电行为与缴费习惯一定程度上反映当地经济水平和消费能力，以某个区域为例，假设按照客户类型区分为高价值型、大众型、潜力型、低价值型四种，区分的原则见下表：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4"/>
        <w:gridCol w:w="2320"/>
        <w:gridCol w:w="2294"/>
      </w:tblGrid>
      <w:tr w:rsidR="003A244C" w:rsidRPr="0069637A" w14:paraId="7B4566B5" w14:textId="77777777" w:rsidTr="0050148C">
        <w:trPr>
          <w:trHeight w:val="1134"/>
          <w:jc w:val="center"/>
        </w:trPr>
        <w:tc>
          <w:tcPr>
            <w:tcW w:w="3224" w:type="dxa"/>
            <w:shd w:val="clear" w:color="auto" w:fill="auto"/>
          </w:tcPr>
          <w:p w14:paraId="3C3BE56D" w14:textId="77777777" w:rsidR="003A244C" w:rsidRPr="0069637A" w:rsidRDefault="003A244C" w:rsidP="0050148C">
            <w:pPr>
              <w:snapToGrid w:val="0"/>
              <w:spacing w:line="360" w:lineRule="auto"/>
              <w:rPr>
                <w:rFonts w:ascii="宋体" w:eastAsia="宋体" w:hAnsi="宋体" w:cs="宋体"/>
                <w:sz w:val="24"/>
                <w:szCs w:val="24"/>
              </w:rPr>
            </w:pPr>
            <w:r w:rsidRPr="0069637A">
              <w:rPr>
                <w:rFonts w:ascii="宋体" w:eastAsia="宋体" w:hAnsi="宋体" w:cs="宋体" w:hint="eastAsia"/>
                <w:sz w:val="24"/>
                <w:szCs w:val="24"/>
              </w:rPr>
              <w:t>缴费次数</w:t>
            </w:r>
          </w:p>
          <w:p w14:paraId="60DD63BB"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缴费金额</w:t>
            </w:r>
          </w:p>
        </w:tc>
        <w:tc>
          <w:tcPr>
            <w:tcW w:w="2320" w:type="dxa"/>
            <w:shd w:val="clear" w:color="auto" w:fill="auto"/>
          </w:tcPr>
          <w:p w14:paraId="2847F4AC"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大于平均金额</w:t>
            </w:r>
          </w:p>
        </w:tc>
        <w:tc>
          <w:tcPr>
            <w:tcW w:w="2294" w:type="dxa"/>
            <w:shd w:val="clear" w:color="auto" w:fill="auto"/>
          </w:tcPr>
          <w:p w14:paraId="6B822800"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小于平均金额</w:t>
            </w:r>
          </w:p>
        </w:tc>
      </w:tr>
      <w:tr w:rsidR="003A244C" w:rsidRPr="0069637A" w14:paraId="19D3C91A" w14:textId="77777777" w:rsidTr="0050148C">
        <w:trPr>
          <w:jc w:val="center"/>
        </w:trPr>
        <w:tc>
          <w:tcPr>
            <w:tcW w:w="3224" w:type="dxa"/>
            <w:shd w:val="clear" w:color="auto" w:fill="auto"/>
          </w:tcPr>
          <w:p w14:paraId="30821E5F"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大于平均次数</w:t>
            </w:r>
          </w:p>
        </w:tc>
        <w:tc>
          <w:tcPr>
            <w:tcW w:w="2320" w:type="dxa"/>
            <w:shd w:val="clear" w:color="auto" w:fill="auto"/>
          </w:tcPr>
          <w:p w14:paraId="0AD3FCA7"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高价值</w:t>
            </w:r>
            <w:proofErr w:type="gramStart"/>
            <w:r w:rsidRPr="0069637A">
              <w:rPr>
                <w:rFonts w:ascii="宋体" w:eastAsia="宋体" w:hAnsi="宋体" w:cs="宋体" w:hint="eastAsia"/>
                <w:sz w:val="24"/>
                <w:szCs w:val="24"/>
              </w:rPr>
              <w:t>型客户</w:t>
            </w:r>
            <w:proofErr w:type="gramEnd"/>
          </w:p>
        </w:tc>
        <w:tc>
          <w:tcPr>
            <w:tcW w:w="2294" w:type="dxa"/>
            <w:shd w:val="clear" w:color="auto" w:fill="auto"/>
          </w:tcPr>
          <w:p w14:paraId="019059DB"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大众型客户</w:t>
            </w:r>
          </w:p>
        </w:tc>
      </w:tr>
      <w:tr w:rsidR="003A244C" w:rsidRPr="0069637A" w14:paraId="55E19BAD" w14:textId="77777777" w:rsidTr="0050148C">
        <w:trPr>
          <w:jc w:val="center"/>
        </w:trPr>
        <w:tc>
          <w:tcPr>
            <w:tcW w:w="3224" w:type="dxa"/>
            <w:shd w:val="clear" w:color="auto" w:fill="auto"/>
          </w:tcPr>
          <w:p w14:paraId="6CD6BA2B"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小于平均次数</w:t>
            </w:r>
          </w:p>
        </w:tc>
        <w:tc>
          <w:tcPr>
            <w:tcW w:w="2320" w:type="dxa"/>
            <w:shd w:val="clear" w:color="auto" w:fill="auto"/>
          </w:tcPr>
          <w:p w14:paraId="04B0F328"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潜力</w:t>
            </w:r>
            <w:proofErr w:type="gramStart"/>
            <w:r w:rsidRPr="0069637A">
              <w:rPr>
                <w:rFonts w:ascii="宋体" w:eastAsia="宋体" w:hAnsi="宋体" w:cs="宋体" w:hint="eastAsia"/>
                <w:sz w:val="24"/>
                <w:szCs w:val="24"/>
              </w:rPr>
              <w:t>型客户</w:t>
            </w:r>
            <w:proofErr w:type="gramEnd"/>
          </w:p>
        </w:tc>
        <w:tc>
          <w:tcPr>
            <w:tcW w:w="2294" w:type="dxa"/>
            <w:shd w:val="clear" w:color="auto" w:fill="auto"/>
          </w:tcPr>
          <w:p w14:paraId="136CF437" w14:textId="77777777" w:rsidR="003A244C" w:rsidRPr="0069637A" w:rsidRDefault="003A244C" w:rsidP="0050148C">
            <w:pPr>
              <w:spacing w:line="360" w:lineRule="auto"/>
              <w:rPr>
                <w:rFonts w:ascii="宋体" w:eastAsia="宋体" w:hAnsi="宋体" w:cs="宋体"/>
                <w:sz w:val="24"/>
                <w:szCs w:val="24"/>
              </w:rPr>
            </w:pPr>
            <w:r w:rsidRPr="0069637A">
              <w:rPr>
                <w:rFonts w:ascii="宋体" w:eastAsia="宋体" w:hAnsi="宋体" w:cs="宋体" w:hint="eastAsia"/>
                <w:sz w:val="24"/>
                <w:szCs w:val="24"/>
              </w:rPr>
              <w:t>低价值</w:t>
            </w:r>
            <w:proofErr w:type="gramStart"/>
            <w:r w:rsidRPr="0069637A">
              <w:rPr>
                <w:rFonts w:ascii="宋体" w:eastAsia="宋体" w:hAnsi="宋体" w:cs="宋体" w:hint="eastAsia"/>
                <w:sz w:val="24"/>
                <w:szCs w:val="24"/>
              </w:rPr>
              <w:t>型客户</w:t>
            </w:r>
            <w:proofErr w:type="gramEnd"/>
          </w:p>
        </w:tc>
      </w:tr>
    </w:tbl>
    <w:p w14:paraId="4B1E1071" w14:textId="77777777" w:rsidR="003A244C" w:rsidRPr="0069637A" w:rsidRDefault="003A244C" w:rsidP="003A244C">
      <w:pPr>
        <w:spacing w:line="360" w:lineRule="auto"/>
        <w:ind w:firstLine="420"/>
        <w:rPr>
          <w:rFonts w:ascii="宋体" w:eastAsia="宋体" w:hAnsi="宋体" w:cs="仿宋"/>
          <w:sz w:val="24"/>
          <w:szCs w:val="24"/>
        </w:rPr>
      </w:pPr>
      <w:r w:rsidRPr="0069637A">
        <w:rPr>
          <w:rFonts w:ascii="宋体" w:eastAsia="宋体" w:hAnsi="宋体" w:cs="仿宋" w:hint="eastAsia"/>
          <w:sz w:val="24"/>
          <w:szCs w:val="24"/>
        </w:rPr>
        <w:t>(</w:t>
      </w:r>
      <w:r>
        <w:rPr>
          <w:rFonts w:ascii="宋体" w:eastAsia="宋体" w:hAnsi="宋体" w:cs="仿宋" w:hint="eastAsia"/>
          <w:sz w:val="24"/>
          <w:szCs w:val="24"/>
        </w:rPr>
        <w:t>1</w:t>
      </w:r>
      <w:r w:rsidRPr="0069637A">
        <w:rPr>
          <w:rFonts w:ascii="宋体" w:eastAsia="宋体" w:hAnsi="宋体" w:cs="仿宋" w:hint="eastAsia"/>
          <w:sz w:val="24"/>
          <w:szCs w:val="24"/>
        </w:rPr>
        <w:t>）请根据给出的数据资源（customer_pay_habbit.csv），计算平均缴费金额、平均缴费次数，并以csv格式输出，形式见下表；其中程序保存“居民客户的用电缴费习惯分析1.py”,输出结果保存“居民客户的用电缴费习惯分析1.cs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0"/>
        <w:gridCol w:w="3580"/>
      </w:tblGrid>
      <w:tr w:rsidR="003A244C" w:rsidRPr="0069637A" w14:paraId="07E739D9" w14:textId="77777777" w:rsidTr="0050148C">
        <w:trPr>
          <w:trHeight w:val="525"/>
          <w:jc w:val="center"/>
        </w:trPr>
        <w:tc>
          <w:tcPr>
            <w:tcW w:w="3580" w:type="dxa"/>
            <w:shd w:val="clear" w:color="auto" w:fill="auto"/>
          </w:tcPr>
          <w:p w14:paraId="5B699BA9"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平均缴费金额</w:t>
            </w:r>
          </w:p>
        </w:tc>
        <w:tc>
          <w:tcPr>
            <w:tcW w:w="3580" w:type="dxa"/>
            <w:shd w:val="clear" w:color="auto" w:fill="auto"/>
          </w:tcPr>
          <w:p w14:paraId="7D858FB6"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平均缴费次数</w:t>
            </w:r>
          </w:p>
        </w:tc>
      </w:tr>
      <w:tr w:rsidR="003A244C" w:rsidRPr="0069637A" w14:paraId="2CB26F67" w14:textId="77777777" w:rsidTr="0050148C">
        <w:trPr>
          <w:trHeight w:val="534"/>
          <w:jc w:val="center"/>
        </w:trPr>
        <w:tc>
          <w:tcPr>
            <w:tcW w:w="3580" w:type="dxa"/>
            <w:shd w:val="clear" w:color="auto" w:fill="auto"/>
          </w:tcPr>
          <w:p w14:paraId="4CA2EFB4"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XX</w:t>
            </w:r>
          </w:p>
        </w:tc>
        <w:tc>
          <w:tcPr>
            <w:tcW w:w="3580" w:type="dxa"/>
            <w:shd w:val="clear" w:color="auto" w:fill="auto"/>
          </w:tcPr>
          <w:p w14:paraId="21D2BD3C"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XX</w:t>
            </w:r>
          </w:p>
        </w:tc>
      </w:tr>
    </w:tbl>
    <w:p w14:paraId="54689CA1" w14:textId="77777777" w:rsidR="003A244C" w:rsidRPr="0069637A" w:rsidRDefault="003A244C" w:rsidP="003A244C">
      <w:pPr>
        <w:spacing w:line="360" w:lineRule="auto"/>
        <w:ind w:firstLine="420"/>
        <w:rPr>
          <w:rFonts w:ascii="宋体" w:eastAsia="宋体" w:hAnsi="宋体" w:cs="仿宋"/>
          <w:sz w:val="24"/>
          <w:szCs w:val="24"/>
        </w:rPr>
      </w:pPr>
      <w:r w:rsidRPr="0069637A">
        <w:rPr>
          <w:rFonts w:ascii="宋体" w:eastAsia="宋体" w:hAnsi="宋体" w:cs="仿宋" w:hint="eastAsia"/>
          <w:sz w:val="24"/>
          <w:szCs w:val="24"/>
        </w:rPr>
        <w:t>（</w:t>
      </w:r>
      <w:r>
        <w:rPr>
          <w:rFonts w:ascii="宋体" w:eastAsia="宋体" w:hAnsi="宋体" w:cs="仿宋" w:hint="eastAsia"/>
          <w:sz w:val="24"/>
          <w:szCs w:val="24"/>
        </w:rPr>
        <w:t>2</w:t>
      </w:r>
      <w:r w:rsidRPr="0069637A">
        <w:rPr>
          <w:rFonts w:ascii="宋体" w:eastAsia="宋体" w:hAnsi="宋体" w:cs="仿宋" w:hint="eastAsia"/>
          <w:sz w:val="24"/>
          <w:szCs w:val="24"/>
        </w:rPr>
        <w:t>）对每个居民客户的用电缴费情况按照上述四种客户类型进行归类，并以csv格式输出，输出形式见下表;其中程序保存“居民客户的用电缴费习惯分析2.py”,输出结果保存“居民客户的用电缴费习惯分析2.csv”。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885"/>
        <w:gridCol w:w="1885"/>
        <w:gridCol w:w="1885"/>
      </w:tblGrid>
      <w:tr w:rsidR="003A244C" w:rsidRPr="0069637A" w14:paraId="35D064A4" w14:textId="77777777" w:rsidTr="0050148C">
        <w:trPr>
          <w:trHeight w:val="592"/>
          <w:jc w:val="center"/>
        </w:trPr>
        <w:tc>
          <w:tcPr>
            <w:tcW w:w="1885" w:type="dxa"/>
            <w:shd w:val="clear" w:color="auto" w:fill="auto"/>
          </w:tcPr>
          <w:p w14:paraId="4C4DC100"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高价值型</w:t>
            </w:r>
          </w:p>
        </w:tc>
        <w:tc>
          <w:tcPr>
            <w:tcW w:w="1885" w:type="dxa"/>
            <w:shd w:val="clear" w:color="auto" w:fill="auto"/>
          </w:tcPr>
          <w:p w14:paraId="5DF20825"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大众型</w:t>
            </w:r>
          </w:p>
        </w:tc>
        <w:tc>
          <w:tcPr>
            <w:tcW w:w="1885" w:type="dxa"/>
            <w:shd w:val="clear" w:color="auto" w:fill="auto"/>
          </w:tcPr>
          <w:p w14:paraId="292F69E8"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潜力型</w:t>
            </w:r>
          </w:p>
        </w:tc>
        <w:tc>
          <w:tcPr>
            <w:tcW w:w="1885" w:type="dxa"/>
            <w:shd w:val="clear" w:color="auto" w:fill="auto"/>
          </w:tcPr>
          <w:p w14:paraId="1AFEA36E"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低价值型</w:t>
            </w:r>
          </w:p>
        </w:tc>
      </w:tr>
      <w:tr w:rsidR="003A244C" w:rsidRPr="0069637A" w14:paraId="010EC4F1" w14:textId="77777777" w:rsidTr="0050148C">
        <w:trPr>
          <w:trHeight w:val="592"/>
          <w:jc w:val="center"/>
        </w:trPr>
        <w:tc>
          <w:tcPr>
            <w:tcW w:w="1885" w:type="dxa"/>
            <w:shd w:val="clear" w:color="auto" w:fill="auto"/>
          </w:tcPr>
          <w:p w14:paraId="16B1AB77"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XX</w:t>
            </w:r>
          </w:p>
        </w:tc>
        <w:tc>
          <w:tcPr>
            <w:tcW w:w="1885" w:type="dxa"/>
            <w:shd w:val="clear" w:color="auto" w:fill="auto"/>
          </w:tcPr>
          <w:p w14:paraId="390BBD70"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XX</w:t>
            </w:r>
          </w:p>
        </w:tc>
        <w:tc>
          <w:tcPr>
            <w:tcW w:w="1885" w:type="dxa"/>
            <w:shd w:val="clear" w:color="auto" w:fill="auto"/>
          </w:tcPr>
          <w:p w14:paraId="126F36ED"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XX</w:t>
            </w:r>
          </w:p>
        </w:tc>
        <w:tc>
          <w:tcPr>
            <w:tcW w:w="1885" w:type="dxa"/>
            <w:shd w:val="clear" w:color="auto" w:fill="auto"/>
          </w:tcPr>
          <w:p w14:paraId="4F9ACF47"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XX</w:t>
            </w:r>
          </w:p>
        </w:tc>
      </w:tr>
      <w:tr w:rsidR="003A244C" w:rsidRPr="0069637A" w14:paraId="1541C4D9" w14:textId="77777777" w:rsidTr="0050148C">
        <w:trPr>
          <w:trHeight w:val="645"/>
          <w:jc w:val="center"/>
        </w:trPr>
        <w:tc>
          <w:tcPr>
            <w:tcW w:w="1885" w:type="dxa"/>
            <w:shd w:val="clear" w:color="auto" w:fill="auto"/>
          </w:tcPr>
          <w:p w14:paraId="2EA6057A"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w:t>
            </w:r>
          </w:p>
        </w:tc>
        <w:tc>
          <w:tcPr>
            <w:tcW w:w="1885" w:type="dxa"/>
            <w:shd w:val="clear" w:color="auto" w:fill="auto"/>
          </w:tcPr>
          <w:p w14:paraId="322CEE71"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w:t>
            </w:r>
          </w:p>
        </w:tc>
        <w:tc>
          <w:tcPr>
            <w:tcW w:w="1885" w:type="dxa"/>
            <w:shd w:val="clear" w:color="auto" w:fill="auto"/>
          </w:tcPr>
          <w:p w14:paraId="00C43138"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w:t>
            </w:r>
          </w:p>
        </w:tc>
        <w:tc>
          <w:tcPr>
            <w:tcW w:w="1885" w:type="dxa"/>
            <w:shd w:val="clear" w:color="auto" w:fill="auto"/>
          </w:tcPr>
          <w:p w14:paraId="01A0EA1B"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w:t>
            </w:r>
          </w:p>
        </w:tc>
      </w:tr>
    </w:tbl>
    <w:p w14:paraId="1729748D" w14:textId="77777777" w:rsidR="003A244C" w:rsidRPr="0069637A" w:rsidRDefault="003A244C" w:rsidP="003A244C">
      <w:pPr>
        <w:spacing w:line="360" w:lineRule="auto"/>
        <w:ind w:firstLine="420"/>
        <w:rPr>
          <w:rFonts w:ascii="宋体" w:eastAsia="宋体" w:hAnsi="宋体" w:cs="仿宋"/>
          <w:sz w:val="24"/>
          <w:szCs w:val="24"/>
        </w:rPr>
      </w:pPr>
      <w:r w:rsidRPr="0069637A">
        <w:rPr>
          <w:rFonts w:ascii="宋体" w:eastAsia="宋体" w:hAnsi="宋体" w:cs="仿宋" w:hint="eastAsia"/>
          <w:sz w:val="24"/>
          <w:szCs w:val="24"/>
        </w:rPr>
        <w:t>（</w:t>
      </w:r>
      <w:r>
        <w:rPr>
          <w:rFonts w:ascii="宋体" w:eastAsia="宋体" w:hAnsi="宋体" w:cs="仿宋" w:hint="eastAsia"/>
          <w:sz w:val="24"/>
          <w:szCs w:val="24"/>
        </w:rPr>
        <w:t>3</w:t>
      </w:r>
      <w:r w:rsidRPr="0069637A">
        <w:rPr>
          <w:rFonts w:ascii="宋体" w:eastAsia="宋体" w:hAnsi="宋体" w:cs="仿宋" w:hint="eastAsia"/>
          <w:sz w:val="24"/>
          <w:szCs w:val="24"/>
        </w:rPr>
        <w:t>）依据时间序列，预测最有可能成为高价值客户的TOP5，以csv格式输出，形式见下表；其中程序保存“居民客户的用电缴费习惯分析3.py”,输出结果保存“居民客户的用电缴费习惯分析3.csv”。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tblGrid>
      <w:tr w:rsidR="003A244C" w:rsidRPr="0069637A" w14:paraId="5310F194" w14:textId="77777777" w:rsidTr="0050148C">
        <w:trPr>
          <w:trHeight w:val="525"/>
          <w:jc w:val="center"/>
        </w:trPr>
        <w:tc>
          <w:tcPr>
            <w:tcW w:w="4980" w:type="dxa"/>
            <w:shd w:val="clear" w:color="auto" w:fill="auto"/>
          </w:tcPr>
          <w:p w14:paraId="2C68FF25" w14:textId="77777777" w:rsidR="003A244C" w:rsidRPr="0069637A" w:rsidRDefault="003A244C" w:rsidP="0050148C">
            <w:pPr>
              <w:spacing w:line="360" w:lineRule="auto"/>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最有可能成为高价值客户的TOP5</w:t>
            </w:r>
          </w:p>
        </w:tc>
      </w:tr>
      <w:tr w:rsidR="003A244C" w:rsidRPr="0069637A" w14:paraId="31B1E089" w14:textId="77777777" w:rsidTr="0050148C">
        <w:trPr>
          <w:trHeight w:val="534"/>
          <w:jc w:val="center"/>
        </w:trPr>
        <w:tc>
          <w:tcPr>
            <w:tcW w:w="4980" w:type="dxa"/>
            <w:shd w:val="clear" w:color="auto" w:fill="auto"/>
          </w:tcPr>
          <w:p w14:paraId="4C108B03" w14:textId="77777777" w:rsidR="003A244C" w:rsidRPr="0069637A" w:rsidRDefault="003A244C" w:rsidP="0050148C">
            <w:pPr>
              <w:spacing w:line="360" w:lineRule="auto"/>
              <w:jc w:val="center"/>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XX</w:t>
            </w:r>
          </w:p>
        </w:tc>
      </w:tr>
      <w:tr w:rsidR="003A244C" w:rsidRPr="0069637A" w14:paraId="603220AC" w14:textId="77777777" w:rsidTr="0050148C">
        <w:trPr>
          <w:trHeight w:val="534"/>
          <w:jc w:val="center"/>
        </w:trPr>
        <w:tc>
          <w:tcPr>
            <w:tcW w:w="4980" w:type="dxa"/>
            <w:shd w:val="clear" w:color="auto" w:fill="auto"/>
          </w:tcPr>
          <w:p w14:paraId="0FFFB792" w14:textId="77777777" w:rsidR="003A244C" w:rsidRPr="0069637A" w:rsidRDefault="003A244C" w:rsidP="0050148C">
            <w:pPr>
              <w:spacing w:line="360" w:lineRule="auto"/>
              <w:jc w:val="center"/>
              <w:rPr>
                <w:rFonts w:ascii="宋体" w:eastAsia="宋体" w:hAnsi="宋体" w:cs="宋体"/>
                <w:b/>
                <w:bCs/>
                <w:color w:val="FF0000"/>
                <w:sz w:val="24"/>
                <w:szCs w:val="24"/>
              </w:rPr>
            </w:pPr>
            <w:r w:rsidRPr="0069637A">
              <w:rPr>
                <w:rFonts w:ascii="宋体" w:eastAsia="宋体" w:hAnsi="宋体" w:cs="宋体" w:hint="eastAsia"/>
                <w:b/>
                <w:bCs/>
                <w:color w:val="FF0000"/>
                <w:sz w:val="24"/>
                <w:szCs w:val="24"/>
              </w:rPr>
              <w:t>...</w:t>
            </w:r>
          </w:p>
        </w:tc>
      </w:tr>
    </w:tbl>
    <w:p w14:paraId="6E831BBD" w14:textId="1E5FF0E8" w:rsidR="00793789" w:rsidRPr="00FD527B" w:rsidRDefault="00FD527B" w:rsidP="00FD527B">
      <w:pPr>
        <w:spacing w:line="360" w:lineRule="auto"/>
        <w:ind w:firstLineChars="200" w:firstLine="480"/>
        <w:rPr>
          <w:rFonts w:ascii="宋体" w:eastAsia="宋体" w:hAnsi="宋体" w:hint="eastAsia"/>
          <w:sz w:val="24"/>
          <w:szCs w:val="24"/>
        </w:rPr>
      </w:pPr>
      <w:r w:rsidRPr="008F1CA7">
        <w:rPr>
          <w:rFonts w:ascii="宋体" w:eastAsia="宋体" w:hAnsi="宋体" w:hint="eastAsia"/>
          <w:sz w:val="24"/>
          <w:szCs w:val="24"/>
        </w:rPr>
        <w:t>具体数据参见题目三的文件包。</w:t>
      </w:r>
    </w:p>
    <w:sectPr w:rsidR="00793789" w:rsidRPr="00FD5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7F825" w14:textId="77777777" w:rsidR="00F91669" w:rsidRDefault="00F91669" w:rsidP="003A244C">
      <w:r>
        <w:separator/>
      </w:r>
    </w:p>
  </w:endnote>
  <w:endnote w:type="continuationSeparator" w:id="0">
    <w:p w14:paraId="23487099" w14:textId="77777777" w:rsidR="00F91669" w:rsidRDefault="00F91669" w:rsidP="003A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61CB9" w14:textId="77777777" w:rsidR="00F91669" w:rsidRDefault="00F91669" w:rsidP="003A244C">
      <w:r>
        <w:separator/>
      </w:r>
    </w:p>
  </w:footnote>
  <w:footnote w:type="continuationSeparator" w:id="0">
    <w:p w14:paraId="3B46AD2C" w14:textId="77777777" w:rsidR="00F91669" w:rsidRDefault="00F91669" w:rsidP="003A24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32"/>
    <w:rsid w:val="003A244C"/>
    <w:rsid w:val="00793789"/>
    <w:rsid w:val="00CB4F32"/>
    <w:rsid w:val="00F91669"/>
    <w:rsid w:val="00FD5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26816"/>
  <w15:chartTrackingRefBased/>
  <w15:docId w15:val="{BFDE8329-89D5-4F9D-B958-4D30A6AB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4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4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44C"/>
    <w:rPr>
      <w:sz w:val="18"/>
      <w:szCs w:val="18"/>
    </w:rPr>
  </w:style>
  <w:style w:type="paragraph" w:styleId="a5">
    <w:name w:val="footer"/>
    <w:basedOn w:val="a"/>
    <w:link w:val="a6"/>
    <w:uiPriority w:val="99"/>
    <w:unhideWhenUsed/>
    <w:rsid w:val="003A244C"/>
    <w:pPr>
      <w:tabs>
        <w:tab w:val="center" w:pos="4153"/>
        <w:tab w:val="right" w:pos="8306"/>
      </w:tabs>
      <w:snapToGrid w:val="0"/>
      <w:jc w:val="left"/>
    </w:pPr>
    <w:rPr>
      <w:sz w:val="18"/>
      <w:szCs w:val="18"/>
    </w:rPr>
  </w:style>
  <w:style w:type="character" w:customStyle="1" w:styleId="a6">
    <w:name w:val="页脚 字符"/>
    <w:basedOn w:val="a0"/>
    <w:link w:val="a5"/>
    <w:uiPriority w:val="99"/>
    <w:rsid w:val="003A24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MH</dc:creator>
  <cp:keywords/>
  <dc:description/>
  <cp:lastModifiedBy>ZH MH</cp:lastModifiedBy>
  <cp:revision>3</cp:revision>
  <dcterms:created xsi:type="dcterms:W3CDTF">2020-05-19T15:50:00Z</dcterms:created>
  <dcterms:modified xsi:type="dcterms:W3CDTF">2020-05-19T15:51:00Z</dcterms:modified>
</cp:coreProperties>
</file>