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7A10B">
      <w:pPr>
        <w:keepNext w:val="0"/>
        <w:keepLines w:val="0"/>
        <w:widowControl/>
        <w:suppressLineNumbers w:val="0"/>
        <w:jc w:val="center"/>
        <w:rPr>
          <w:sz w:val="44"/>
          <w:szCs w:val="44"/>
        </w:rPr>
      </w:pPr>
      <w:r>
        <w:rPr>
          <w:rFonts w:ascii="宋体" w:hAnsi="宋体" w:eastAsia="宋体" w:cs="宋体"/>
          <w:color w:val="000000"/>
          <w:kern w:val="0"/>
          <w:sz w:val="44"/>
          <w:szCs w:val="44"/>
          <w:lang w:val="en-US" w:eastAsia="zh-CN" w:bidi="ar"/>
        </w:rPr>
        <w:t>⼀维对流扩散⽅程的有限元求解与稳定</w:t>
      </w:r>
    </w:p>
    <w:p w14:paraId="68312E08">
      <w:pPr>
        <w:keepNext w:val="0"/>
        <w:keepLines w:val="0"/>
        <w:widowControl/>
        <w:suppressLineNumbers w:val="0"/>
        <w:jc w:val="center"/>
        <w:rPr>
          <w:sz w:val="44"/>
          <w:szCs w:val="44"/>
        </w:rPr>
      </w:pPr>
      <w:r>
        <w:rPr>
          <w:rFonts w:ascii="宋体" w:hAnsi="宋体" w:eastAsia="宋体" w:cs="宋体"/>
          <w:color w:val="000000"/>
          <w:kern w:val="0"/>
          <w:sz w:val="44"/>
          <w:szCs w:val="44"/>
          <w:lang w:val="en-US" w:eastAsia="zh-CN" w:bidi="ar"/>
        </w:rPr>
        <w:t>化</w:t>
      </w:r>
    </w:p>
    <w:p w14:paraId="63BF049F">
      <w:pPr>
        <w:ind w:firstLine="2100" w:firstLineChars="700"/>
        <w:jc w:val="center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1F6B91A5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B3F0F2E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7C6BAC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1943E034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078BA4D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指导教师：郭然  肖姚</w:t>
      </w:r>
    </w:p>
    <w:p w14:paraId="4A1E5A0F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姓    名：</w:t>
      </w:r>
      <w:r>
        <w:rPr>
          <w:rFonts w:hint="eastAsia"/>
          <w:b w:val="0"/>
          <w:bCs w:val="0"/>
          <w:sz w:val="36"/>
          <w:szCs w:val="36"/>
        </w:rPr>
        <w:t>钟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 </w:t>
      </w:r>
      <w:r>
        <w:rPr>
          <w:rFonts w:hint="eastAsia"/>
          <w:b w:val="0"/>
          <w:bCs w:val="0"/>
          <w:sz w:val="36"/>
          <w:szCs w:val="36"/>
        </w:rPr>
        <w:t>智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  </w:t>
      </w:r>
    </w:p>
    <w:p w14:paraId="7FEA9CB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    号：202311012112</w:t>
      </w:r>
    </w:p>
    <w:p w14:paraId="14453A41">
      <w:pPr>
        <w:ind w:firstLine="2520" w:firstLineChars="700"/>
        <w:jc w:val="both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</w:rPr>
        <w:t>班    级：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工力231</w:t>
      </w:r>
    </w:p>
    <w:p w14:paraId="7CA70687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    院：建筑工程学院</w:t>
      </w:r>
    </w:p>
    <w:p w14:paraId="7F2A41E5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日    期：2026年6月16日</w:t>
      </w:r>
    </w:p>
    <w:p w14:paraId="4EA20DA0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5C8FB28A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77542A1C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3C091A9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12405972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35821C3E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C19D05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0EA2DB4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6A7251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B0D94FA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1.控制方程、边界条件与Peclet数定义</w:t>
      </w:r>
    </w:p>
    <w:p w14:paraId="4841B07B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1.1 控制方程</w:t>
      </w:r>
    </w:p>
    <w:p w14:paraId="1AC8852E">
      <w:pPr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在求解区间</w:t>
      </w:r>
      <w:r>
        <w:rPr>
          <w:rFonts w:hint="eastAsia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25" o:spt="75" type="#_x0000_t75" style="height:16pt;width:78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上，一维稳态对流扩散控制方程：</w:t>
      </w:r>
    </w:p>
    <w:p w14:paraId="59F619F3">
      <w:pPr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sz w:val="24"/>
          <w:szCs w:val="24"/>
          <w:lang w:val="en-US" w:eastAsia="zh-CN"/>
        </w:rPr>
        <w:object>
          <v:shape id="_x0000_i1026" o:spt="75" type="#_x0000_t75" style="height:33pt;width:9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3C4A9E7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式中：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27" o:spt="75" type="#_x0000_t75" style="height:15pt;width:31.9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：待求标量场；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28" o:spt="75" alt="" type="#_x0000_t75" style="height:13.95pt;width:31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扩散系数；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29" o:spt="75" alt="" type="#_x0000_t75" style="height:13.95pt;width:3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对流速度。</w:t>
      </w:r>
    </w:p>
    <w:p w14:paraId="6842CE6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1.2 边界条件</w:t>
      </w:r>
    </w:p>
    <w:p w14:paraId="6C25F611">
      <w:pPr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齐次Dirichlet左边界、单位值右边界：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30" o:spt="75" alt="" type="#_x0000_t75" style="height:15pt;width:5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31" o:spt="75" alt="" type="#_x0000_t75" style="height:15pt;width:49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10F2416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1.3 精确解析解（制造解）</w:t>
      </w:r>
    </w:p>
    <w:p w14:paraId="760DBDB5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通过代入法求得方程理论解析解，用于误差定量校验：</w:t>
      </w:r>
    </w:p>
    <w:p w14:paraId="31F5972E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54"/>
          <w:sz w:val="24"/>
          <w:szCs w:val="24"/>
          <w:lang w:val="en-US" w:eastAsia="zh-CN"/>
        </w:rPr>
        <w:object>
          <v:shape id="_x0000_i1032" o:spt="75" alt="" type="#_x0000_t75" style="height:60pt;width:108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620A4E5E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 vL/k 数值过大时，指数函数易发生浮点溢出，代码中需做数值稳定处理。</w:t>
      </w:r>
    </w:p>
    <w:p w14:paraId="5B1F045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1.4 单元Peclet数定义</w:t>
      </w:r>
    </w:p>
    <w:p w14:paraId="6B1F3F5E">
      <w:pPr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网格均匀划分为</w:t>
      </w:r>
      <w:r>
        <w:rPr>
          <w:rFonts w:hint="eastAsia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33" o:spt="75" type="#_x0000_t75" style="height:18pt;width:15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个线性单元，单单元长度</w:t>
      </w:r>
      <w:r>
        <w:rPr>
          <w:rFonts w:hint="eastAsia" w:ascii="宋体" w:hAnsi="宋体" w:eastAsia="宋体" w:cs="宋体"/>
          <w:b w:val="0"/>
          <w:bCs w:val="0"/>
          <w:position w:val="-16"/>
          <w:sz w:val="24"/>
          <w:szCs w:val="24"/>
          <w:lang w:val="en-US" w:eastAsia="zh-CN"/>
        </w:rPr>
        <w:object>
          <v:shape id="_x0000_i1034" o:spt="75" type="#_x0000_t75" style="height:20pt;width:34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430F2CF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单元Peclet数表征单元内对流作用与扩散作用的相对强弱：</w:t>
      </w:r>
    </w:p>
    <w:p w14:paraId="705244B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24"/>
          <w:sz w:val="24"/>
          <w:szCs w:val="24"/>
          <w:lang w:val="en-US" w:eastAsia="zh-CN"/>
        </w:rPr>
        <w:object>
          <v:shape id="_x0000_i1035" o:spt="75" type="#_x0000_t75" style="height:31pt;width:49.95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 w14:paraId="3CDC4A0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36" o:spt="75" alt="" type="#_x0000_t75" style="height:13.95pt;width:39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：扩散占优，标准Galerkin格式稳定；</w:t>
      </w:r>
    </w:p>
    <w:p w14:paraId="680BB75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37" o:spt="75" alt="" type="#_x0000_t75" style="height:13.95pt;width:39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：对流占优，标准Galerkin会产生数值振荡。</w:t>
      </w:r>
    </w:p>
    <w:p w14:paraId="6414B8A5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033A41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2.Galerkin单元矩阵推导与说明</w:t>
      </w:r>
    </w:p>
    <w:p w14:paraId="5BD3D99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2.1 弱形式推导</w:t>
      </w:r>
    </w:p>
    <w:p w14:paraId="393CB16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控制方程两边乘以检验函数 w，全域积分并分部积分消去二阶导数，得到弱形式：</w:t>
      </w:r>
    </w:p>
    <w:p w14:paraId="703F23B9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position w:val="-32"/>
          <w:sz w:val="24"/>
          <w:szCs w:val="24"/>
          <w:lang w:val="en-US" w:eastAsia="zh-CN"/>
        </w:rPr>
        <w:object>
          <v:shape id="_x0000_i1038" o:spt="75" type="#_x0000_t75" style="height:38pt;width:143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</w:p>
    <w:p w14:paraId="24016F1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第一项为扩散双线性项，第二项为对流双线性项。</w:t>
      </w:r>
    </w:p>
    <w:p w14:paraId="14F68FD3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2.2 两节点线性单元离散</w:t>
      </w:r>
    </w:p>
    <w:p w14:paraId="70E6F68F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单元局部坐标</w:t>
      </w:r>
      <w:r>
        <w:rPr>
          <w:rFonts w:hint="default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39" o:spt="75" type="#_x0000_t75" style="height:16pt;width:19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[0,1]，线性形函数：</w:t>
      </w:r>
    </w:p>
    <w:p w14:paraId="7EA378EC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40" o:spt="75" type="#_x0000_t75" style="height:17pt;width:67.95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41" o:spt="75" alt="" type="#_x0000_t75" style="height:17pt;width:5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</w:p>
    <w:p w14:paraId="0D4664A6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单元内场量近似</w:t>
      </w:r>
      <w:r>
        <w:rPr>
          <w:rFonts w:hint="default" w:ascii="宋体" w:hAnsi="宋体" w:eastAsia="宋体" w:cs="宋体"/>
          <w:b w:val="0"/>
          <w:bCs w:val="0"/>
          <w:position w:val="-10"/>
          <w:sz w:val="24"/>
          <w:szCs w:val="24"/>
          <w:lang w:val="en-US" w:eastAsia="zh-CN"/>
        </w:rPr>
        <w:object>
          <v:shape id="_x0000_i1042" o:spt="75" alt="" type="#_x0000_t75" style="height:18pt;width:83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，检验函数取形函数</w:t>
      </w:r>
      <w:r>
        <w:rPr>
          <w:rFonts w:hint="default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43" o:spt="75" alt="" type="#_x0000_t75" style="height:18pt;width:3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，分别积分扩散项、对流项。</w:t>
      </w:r>
    </w:p>
    <w:p w14:paraId="24E11DB7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1.扩散单元矩阵（对称正定）</w:t>
      </w:r>
    </w:p>
    <w:p w14:paraId="4A6E0CAB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position w:val="-30"/>
          <w:sz w:val="24"/>
          <w:szCs w:val="24"/>
          <w:lang w:val="en-US" w:eastAsia="zh-CN"/>
        </w:rPr>
        <w:object>
          <v:shape id="_x0000_i1044" o:spt="75" type="#_x0000_t75" style="height:36pt;width:96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</w:p>
    <w:p w14:paraId="56A627F8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2B79DA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</w:t>
      </w:r>
      <w:r>
        <w:rPr>
          <w:rFonts w:hint="eastAsia"/>
          <w:lang w:val="en-US" w:eastAsia="zh-CN"/>
        </w:rPr>
        <w:t>2.2</w:t>
      </w:r>
      <w:r>
        <w:rPr>
          <w:rFonts w:hint="eastAsia"/>
        </w:rPr>
        <w:t>对流单元矩阵（非对称）</w:t>
      </w:r>
    </w:p>
    <w:p w14:paraId="24F8AFA6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position w:val="-30"/>
          <w:sz w:val="24"/>
          <w:szCs w:val="24"/>
          <w:lang w:val="en-US" w:eastAsia="zh-CN"/>
        </w:rPr>
        <w:object>
          <v:shape id="_x0000_i1045" o:spt="75" alt="" type="#_x0000_t75" style="height:36pt;width:8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</w:p>
    <w:p w14:paraId="2914452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2.3 标准Galerkin单元总刚度矩阵</w:t>
      </w:r>
    </w:p>
    <w:p w14:paraId="3EB81C33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46" o:spt="75" alt="" type="#_x0000_t75" style="height:19pt;width:83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</w:p>
    <w:p w14:paraId="71360644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对流项引入反对称分量，因此单元矩阵整体不对称；对流占优时全局刚度矩阵丧失正定性。</w:t>
      </w:r>
    </w:p>
    <w:p w14:paraId="184AAE29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306158F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A0A9E1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⼈⼯扩散和alpha参数的作⽤说明</w:t>
      </w:r>
    </w:p>
    <w:p w14:paraId="5DF71D6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3.1 人工扩散修正格式</w:t>
      </w:r>
    </w:p>
    <w:p w14:paraId="51C1D41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为抑制对流占优工况的数值振荡，在原扩散系数基础上增加人工扩散项：</w:t>
      </w:r>
    </w:p>
    <w:p w14:paraId="58BD782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position w:val="-24"/>
          <w:sz w:val="24"/>
          <w:szCs w:val="24"/>
          <w:lang w:val="en-US" w:eastAsia="zh-CN" w:bidi="ar"/>
        </w:rPr>
        <w:object>
          <v:shape id="_x0000_i1047" o:spt="75" type="#_x0000_t75" style="height:31pt;width:67.95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</w:p>
    <w:p w14:paraId="2BC25A8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修正后单元刚度矩阵：</w:t>
      </w:r>
    </w:p>
    <w:p w14:paraId="2B722CB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position w:val="-30"/>
          <w:sz w:val="24"/>
          <w:szCs w:val="24"/>
          <w:lang w:val="en-US" w:eastAsia="zh-CN"/>
        </w:rPr>
        <w:object>
          <v:shape id="_x0000_i1049" o:spt="75" alt="" type="#_x0000_t75" style="height:41pt;width:146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8" r:id="rId50">
            <o:LockedField>false</o:LockedField>
          </o:OLEObject>
        </w:object>
      </w:r>
    </w:p>
    <w:p w14:paraId="6A9661D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参数</w:t>
      </w:r>
      <w:r>
        <w:rPr>
          <w:rFonts w:hint="eastAsia" w:ascii="宋体" w:hAnsi="宋体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50" o:spt="75" type="#_x0000_t75" style="height:11pt;width:12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49" r:id="rId5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控制人工扩散强度，共三类取值方案：</w:t>
      </w:r>
    </w:p>
    <w:p w14:paraId="3C216FE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2EA37E4">
      <w:pPr>
        <w:keepNext w:val="0"/>
        <w:keepLines w:val="0"/>
        <w:widowControl/>
        <w:numPr>
          <w:numId w:val="0"/>
        </w:numPr>
        <w:suppressLineNumbers w:val="0"/>
        <w:ind w:leftChars="0" w:firstLine="240" w:firstLineChars="1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3.1.1.</w:t>
      </w:r>
      <w:r>
        <w:rPr>
          <w:rFonts w:hint="eastAsia" w:ascii="宋体" w:hAnsi="宋体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51" o:spt="75" alt="" type="#_x0000_t75" style="height:13.95pt;width:30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0" r:id="rId5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：标准Galerkin格式，无人工扩散；</w:t>
      </w:r>
    </w:p>
    <w:p w14:paraId="6321854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8BC441D">
      <w:pPr>
        <w:keepNext w:val="0"/>
        <w:keepLines w:val="0"/>
        <w:widowControl/>
        <w:numPr>
          <w:numId w:val="0"/>
        </w:numPr>
        <w:suppressLineNumbers w:val="0"/>
        <w:ind w:leftChars="0" w:firstLine="240" w:firstLineChars="1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3.1.2.</w:t>
      </w:r>
      <w:r>
        <w:rPr>
          <w:rFonts w:hint="eastAsia" w:ascii="宋体" w:hAnsi="宋体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52" o:spt="75" alt="" type="#_x0000_t75" style="height:13.95pt;width:28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1" r:id="rId5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：迎风格式，固定常数人工扩散，强制阻尼数值振荡；</w:t>
      </w:r>
    </w:p>
    <w:p w14:paraId="386ABA4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F9750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="宋体" w:hAnsi="宋体" w:eastAsia="宋体" w:cs="宋体"/>
          <w:color w:val="000000"/>
          <w:kern w:val="0"/>
          <w:position w:val="-24"/>
          <w:sz w:val="24"/>
          <w:szCs w:val="24"/>
          <w:lang w:val="en-US" w:eastAsia="zh-CN" w:bidi="ar"/>
        </w:rPr>
        <w:object>
          <v:shape id="_x0000_i1053" o:spt="75" alt="" type="#_x0000_t75" style="height:31pt;width:121.9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2" r:id="rId5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：SUPG/Petrov-Galerkin自适应稳定参数。</w:t>
      </w:r>
    </w:p>
    <w:p w14:paraId="02D267A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9116CE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3.2</w:t>
      </w:r>
      <w:r>
        <w:rPr>
          <w:rFonts w:hint="eastAsia" w:ascii="宋体" w:hAnsi="宋体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54" o:spt="75" type="#_x0000_t75" style="height:11pt;width:12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4" DrawAspect="Content" ObjectID="_1468075753" r:id="rId6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参数物理作用</w:t>
      </w:r>
    </w:p>
    <w:p w14:paraId="1216C70D">
      <w:pPr>
        <w:keepNext w:val="0"/>
        <w:keepLines w:val="0"/>
        <w:widowControl/>
        <w:numPr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55" o:spt="75" type="#_x0000_t75" style="height:11pt;width:12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5" DrawAspect="Content" ObjectID="_1468075754" r:id="rId6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越大，人工扩散越强，对数值振荡的抑制效果越好；</w:t>
      </w:r>
    </w:p>
    <w:p w14:paraId="58F77A20">
      <w:pPr>
        <w:keepNext w:val="0"/>
        <w:keepLines w:val="0"/>
        <w:widowControl/>
        <w:numPr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人工扩散属于纯数值耗散，</w:t>
      </w:r>
      <w:r>
        <w:rPr>
          <w:rFonts w:hint="eastAsia" w:ascii="宋体" w:hAnsi="宋体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57" o:spt="75" type="#_x0000_t75" style="height:11pt;width:12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7" DrawAspect="Content" ObjectID="_1468075755" r:id="rId6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过大会抹平边界层梯度，引入不可逆的数值扩散误差；</w:t>
      </w:r>
    </w:p>
    <w:p w14:paraId="0F5B50A8">
      <w:pPr>
        <w:keepNext w:val="0"/>
        <w:keepLines w:val="0"/>
        <w:widowControl/>
        <w:numPr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SUPG的</w:t>
      </w:r>
      <w:r>
        <w:rPr>
          <w:rFonts w:hint="eastAsia" w:ascii="宋体" w:hAnsi="宋体" w:eastAsia="宋体" w:cs="宋体"/>
          <w:color w:val="000000"/>
          <w:kern w:val="0"/>
          <w:position w:val="-14"/>
          <w:sz w:val="24"/>
          <w:szCs w:val="24"/>
          <w:lang w:val="en-US" w:eastAsia="zh-CN" w:bidi="ar"/>
        </w:rPr>
        <w:object>
          <v:shape id="_x0000_i1056" o:spt="75" alt="" type="#_x0000_t75" style="height:19pt;width:21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随单元Peclet数自适应变化：小Pe时</w:t>
      </w:r>
      <w:r>
        <w:rPr>
          <w:rFonts w:hint="eastAsia" w:ascii="宋体" w:hAnsi="宋体" w:eastAsia="宋体" w:cs="宋体"/>
          <w:color w:val="000000"/>
          <w:kern w:val="0"/>
          <w:position w:val="-14"/>
          <w:sz w:val="24"/>
          <w:szCs w:val="24"/>
          <w:lang w:val="en-US" w:eastAsia="zh-CN" w:bidi="ar"/>
        </w:rPr>
        <w:object>
          <v:shape id="_x0000_i1058" o:spt="75" alt="" type="#_x0000_t75" style="height:19pt;width:40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8" DrawAspect="Content" ObjectID="_1468075757" r:id="rId6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，几乎不损失精度；大Pe时自动匹配最低限度稳定扩散，兼顾稳定性与计算精度。</w:t>
      </w:r>
    </w:p>
    <w:p w14:paraId="71359633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36B1529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7F6236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F15F0B4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4.计算结果图与误差表</w:t>
      </w:r>
    </w:p>
    <w:p w14:paraId="26F86D89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4.1 算例基础设置</w:t>
      </w:r>
    </w:p>
    <w:p w14:paraId="0AE1E44B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固定全局参数：L=1,</w:t>
      </w:r>
      <w:r>
        <w:rPr>
          <w:rFonts w:hint="eastAsia" w:ascii="宋体" w:hAnsi="宋体" w:eastAsia="宋体" w:cs="宋体"/>
          <w:b w:val="0"/>
          <w:bCs w:val="0"/>
          <w:position w:val="-12"/>
          <w:sz w:val="24"/>
          <w:szCs w:val="24"/>
          <w:lang w:val="en-US" w:eastAsia="zh-CN"/>
        </w:rPr>
        <w:object>
          <v:shape id="_x0000_i1059" o:spt="75" type="#_x0000_t75" style="height:18pt;width:15pt;" o:ole="t" filled="f" o:preferrelative="t" stroked="f" coordsize="21600,21600"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9" DrawAspect="Content" ObjectID="_1468075758" r:id="rId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=20,v=1；</w:t>
      </w:r>
    </w:p>
    <w:p w14:paraId="4C95AA25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两组测试工况：Pe=0.1（扩散占优）、Pe=3.0（对流占优）；</w:t>
      </w:r>
    </w:p>
    <w:p w14:paraId="201A84D5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误差指标定义：节点最大绝对误差</w:t>
      </w:r>
    </w:p>
    <w:p w14:paraId="76AAA1C3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position w:val="-14"/>
          <w:sz w:val="24"/>
          <w:szCs w:val="24"/>
          <w:lang w:val="en-US" w:eastAsia="zh-CN"/>
        </w:rPr>
        <w:object>
          <v:shape id="_x0000_i1060" o:spt="75" type="#_x0000_t75" style="height:20pt;width:210pt;" o:ole="t" filled="f" o:preferrelative="t" stroked="f" coordsize="21600,21600"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60" DrawAspect="Content" ObjectID="_1468075759" r:id="rId69">
            <o:LockedField>false</o:LockedField>
          </o:OLEObject>
        </w:object>
      </w:r>
    </w:p>
    <w:p w14:paraId="1EA6F50A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任务1：组装总体方程</w:t>
      </w:r>
    </w:p>
    <w:p w14:paraId="0619F7CD">
      <w:pPr>
        <w:numPr>
          <w:numId w:val="0"/>
        </w:numPr>
        <w:ind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代码实现单元循环组装总刚、Dirichlet边界条件施加、线性方程组求解，输出节点坐标、数值解、精确解；</w:t>
      </w:r>
    </w:p>
    <w:p w14:paraId="4A1A7284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任务2：不同Peclet对比</w:t>
      </w:r>
    </w:p>
    <w:p w14:paraId="75E50D0B">
      <w:pPr>
        <w:numPr>
          <w:numId w:val="0"/>
        </w:numPr>
        <w:ind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自动由目标Pe反求扩散系数\kappa，批量计算Pe=0.1、Pe=3.0下三种格式；</w:t>
      </w:r>
    </w:p>
    <w:p w14:paraId="65247B2F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任务3：绘图与误差分析</w:t>
      </w:r>
    </w:p>
    <w:p w14:paraId="2DEFEFCE">
      <w:pPr>
        <w:numPr>
          <w:numId w:val="0"/>
        </w:numPr>
        <w:ind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每张图包含4条曲线：精确解、标准Galerkin、迎风格式、SUPG；计算并汇总最大节点误差；</w:t>
      </w:r>
    </w:p>
    <w:p w14:paraId="1FE98181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任务4：矩阵性质分析</w:t>
      </w:r>
    </w:p>
    <w:p w14:paraId="7019A8E3">
      <w:pPr>
        <w:numPr>
          <w:numId w:val="0"/>
        </w:numPr>
        <w:ind w:firstLine="480" w:firstLineChars="20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针对Pe=3.0输出标准Galerkin总刚，检验对称性、正定性，分析对流项对矩阵与数值解的影响。</w:t>
      </w:r>
    </w:p>
    <w:p w14:paraId="02DDA101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5C4B3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4.2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Pe=0.1（扩散占优）</w:t>
      </w:r>
    </w:p>
    <w:p w14:paraId="66EF5A7E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4.2.1数值现象：标准Galerkin、迎风格、SUPG三条求解曲线都光滑连续，全程无节点振荡。</w:t>
      </w:r>
    </w:p>
    <w:p w14:paraId="6D7E3C92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4.2.2误差对比：标准Galerkin与SUPG最大误差极小且数值接近；迎风格因全局固定人工扩散，存在明显耗散误差，精度更低。</w:t>
      </w:r>
    </w:p>
    <w:p w14:paraId="23D4C5F3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4.2.3原理说明：扩散作用占主导，对称正定的扩散矩阵控制系统特性，对流干扰微弱，无需稳定修正就能得到高精度解。</w:t>
      </w:r>
    </w:p>
    <w:p w14:paraId="44843E6E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57D88DF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4.3 Pe=3.0（对流占优）</w:t>
      </w:r>
    </w:p>
    <w:p w14:paraId="2FF0C2FC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4.3.1标准Galerkin：解曲线剧烈上下振荡，出现非物理负值，最大误差很大，无法捕捉右端边界层；根源是总刚矩阵非对称、非正定，弱形式丢失椭圆稳定约束。</w:t>
      </w:r>
    </w:p>
    <w:p w14:paraId="7BD0B31B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4.3.2迎风格式：彻底消除振荡，但全域人工扩散抹平边界层梯度，数值解偏离精确解，存在大量虚假数值耗散，精度较差。</w:t>
      </w:r>
    </w:p>
    <w:p w14:paraId="3ABF3943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4.3.3SUPG格式：自适应调整人工扩散量，仅在不稳定区域添加微量耗散，曲线无振荡且贴合精确解，误差接近机器精度，平衡了稳定性与计算精度。</w:t>
      </w:r>
    </w:p>
    <w:p w14:paraId="64BE8664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0EA787CC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4.4 误差</w:t>
      </w:r>
    </w:p>
    <w:p w14:paraId="7A63368F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4.4.1 Pe=0.1工况</w:t>
      </w:r>
    </w:p>
    <w:p w14:paraId="71802577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标准Galerkin全局最大节点误差为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1" o:spt="75" type="#_x0000_t75" style="height:16pt;width:75pt;" o:ole="t" filled="f" o:preferrelative="t" stroked="f" coordsize="21600,21600"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1" DrawAspect="Content" ObjectID="_1468075760" r:id="rId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；迎风格式误差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2" o:spt="75" alt="" type="#_x0000_t75" style="height:16pt;width:76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2" DrawAspect="Content" ObjectID="_1468075761" r:id="rId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；SUPG误差仅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7" o:spt="75" alt="" type="#_x0000_t75" style="height:16pt;width:78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7" DrawAspect="Content" ObjectID="_1468075762" r:id="rId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，趋近机器精度。</w:t>
      </w:r>
    </w:p>
    <w:p w14:paraId="1E4F4189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4.4.2Pe=3.0工况</w:t>
      </w:r>
    </w:p>
    <w:p w14:paraId="4A647BDE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标准Galerkin最大误差高达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4" o:spt="75" alt="" type="#_x0000_t75" style="height:16pt;width:7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4" DrawAspect="Content" ObjectID="_1468075763" r:id="rId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，失真严重；迎风格式误差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5" o:spt="75" alt="" type="#_x0000_t75" style="height:16pt;width:7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5" DrawAspect="Content" ObjectID="_1468075764" r:id="rId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；SUPG误差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6" o:spt="75" alt="" type="#_x0000_t75" style="height:16pt;width:78.95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6" DrawAspect="Content" ObjectID="_1468075765" r:id="rId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，求解精度最优。</w:t>
      </w:r>
    </w:p>
    <w:p w14:paraId="3DCA54DB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4.5三种格式整体总结 </w:t>
      </w:r>
    </w:p>
    <w:p w14:paraId="5A93BE18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低Pe扩散工况下三者均稳定，Galerkin、SUPG精度更优；高Pe对流工况中标准Galerkin振荡失真，迎风格牺牲精度换稳定，SUPG自适应稳定方案综合性能最优。</w:t>
      </w:r>
    </w:p>
    <w:p w14:paraId="521D6FAE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A9C6051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D20455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5.数值振荡、数值扩散、SUPG稳定化效果解释</w:t>
      </w:r>
    </w:p>
    <w:p w14:paraId="6F956590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5.1 数值振荡产生原因</w:t>
      </w:r>
    </w:p>
    <w:p w14:paraId="1830E285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流项构造的单元矩阵不具备对称性，Pe=3对流占优时，组装得到的整体刚度矩阵非对称；虽然矩阵全部特征值大于0、满足正定，但离散系统丢失椭圆型方程的最大值约束，微小计算误差会沿对流方向放大，最终在边界层前产生正负交替的虚假数值振荡。</w:t>
      </w:r>
    </w:p>
    <w:p w14:paraId="19D33B28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5.2 人工扩散与数值扩散  </w:t>
      </w:r>
    </w:p>
    <w:p w14:paraId="2CF0D1A3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人工扩散通过增大等效扩散系数抑制振荡，迎风格式固定取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  <w:lang w:val="en-US" w:eastAsia="zh-CN"/>
        </w:rPr>
        <w:object>
          <v:shape id="_x0000_i1068" o:spt="75" type="#_x0000_t75" style="height:13.95pt;width:28pt;" o:ole="t" filled="f" o:preferrelative="t" stroked="f" coordsize="21600,21600"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8" DrawAspect="Content" ObjectID="_1468075766" r:id="rId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，在整个求解域均匀添加扩散项。该方法虽消除振荡，但平缓无梯度区域也会引入多余耗散，抹平物理边界层，这种无物理依据的虚假耗散就是数值扩散，会永久性降低计算精度。</w:t>
      </w:r>
    </w:p>
    <w:p w14:paraId="4F6C23D8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5.3 SUPG稳定化效果 </w:t>
      </w:r>
    </w:p>
    <w:p w14:paraId="4AF2B08F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SUPG采用自适应参数</w:t>
      </w:r>
      <w:r>
        <w:rPr>
          <w:rFonts w:hint="eastAsia" w:ascii="宋体" w:hAnsi="宋体" w:eastAsia="宋体" w:cs="宋体"/>
          <w:color w:val="000000"/>
          <w:kern w:val="0"/>
          <w:position w:val="-24"/>
          <w:sz w:val="24"/>
          <w:szCs w:val="24"/>
          <w:lang w:val="en-US" w:eastAsia="zh-CN" w:bidi="ar"/>
        </w:rPr>
        <w:object>
          <v:shape id="_x0000_i1069" o:spt="75" alt="" type="#_x0000_t75" style="height:31pt;width:102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9" DrawAspect="Content" ObjectID="_1468075767" r:id="rId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可随局部对流扩散强度自动调整耗散大小：低Pe时几乎不加人工扩散，保留原始高精度；高Pe时仅添加刚好抵消振荡的最小耗散量。既完全消除数值振荡，又不会产生大范围数值扩散，同时兼顾数值稳定性与求解精度。</w:t>
      </w:r>
    </w:p>
    <w:p w14:paraId="6EAC9E41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912870" cy="2620010"/>
            <wp:effectExtent l="0" t="0" r="3810" b="1270"/>
            <wp:docPr id="1" name="图片 1" descr="屏幕截图 2026-06-18 20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8 20031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5AAA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763770" cy="3163570"/>
            <wp:effectExtent l="0" t="0" r="6350" b="6350"/>
            <wp:docPr id="2" name="图片 2" descr="屏幕截图 2026-06-18 20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8 20124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B99F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832350" cy="3223895"/>
            <wp:effectExtent l="0" t="0" r="13970" b="6985"/>
            <wp:docPr id="3" name="图片 3" descr="屏幕截图 2026-06-18 20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8 20130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enlo-Regula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665C6"/>
    <w:multiLevelType w:val="singleLevel"/>
    <w:tmpl w:val="1C7665C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F51ED"/>
    <w:rsid w:val="3FDF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3.wmf"/><Relationship Id="rId89" Type="http://schemas.openxmlformats.org/officeDocument/2006/relationships/image" Target="media/image43.png"/><Relationship Id="rId88" Type="http://schemas.openxmlformats.org/officeDocument/2006/relationships/image" Target="media/image42.png"/><Relationship Id="rId87" Type="http://schemas.openxmlformats.org/officeDocument/2006/relationships/image" Target="media/image41.png"/><Relationship Id="rId86" Type="http://schemas.openxmlformats.org/officeDocument/2006/relationships/image" Target="media/image40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oleObject" Target="embeddings/oleObject31.bin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2026-06-18T07:41:00Z</dcterms:created>
  <dc:creator>钟</dc:creator>
  <cp:lastModifiedBy>钟</cp:lastModifiedBy>
  <dcterms:modified xsi:type="dcterms:W3CDTF">2026-06-18T12:15:01Z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6203F88A28024C3FAEAB2D6254A85BE3_11</vt:lpwstr>
  </property>
  <property fmtid="{D5CDD505-2E9C-101B-9397-08002B2CF9AE}" pid="4" name="KSOTemplateDocerSaveRecord">
    <vt:lpwstr>eyJoZGlkIjoiYmFkNDIwOTU2MmJiZDg4ZGM3MzdlNmU3MDU4YjE1Y2IiLCJ1c2VySWQiOiIxMjAyMzUzMTIwIn0=</vt:lpwstr>
  </property>
</Properties>
</file>