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181C1" w14:textId="12B47E34" w:rsidR="001F471A" w:rsidRPr="000C6126" w:rsidRDefault="00590FCB" w:rsidP="00B833AD">
      <w:pPr>
        <w:spacing w:line="276" w:lineRule="auto"/>
        <w:rPr>
          <w:rFonts w:ascii="Times New Roman" w:eastAsia="宋体" w:hAnsi="Times New Roman" w:cs="Times New Roman"/>
          <w:b/>
          <w:u w:val="single"/>
        </w:rPr>
      </w:pPr>
      <w:r w:rsidRPr="000C6126">
        <w:rPr>
          <w:rFonts w:ascii="Times New Roman" w:eastAsia="宋体" w:hAnsi="Times New Roman" w:cs="Times New Roman"/>
          <w:b/>
          <w:u w:val="single"/>
        </w:rPr>
        <w:t>S</w:t>
      </w:r>
      <w:r w:rsidR="00326EB0">
        <w:rPr>
          <w:rFonts w:ascii="Times New Roman" w:eastAsia="宋体" w:hAnsi="Times New Roman" w:cs="Times New Roman"/>
          <w:b/>
          <w:u w:val="single"/>
        </w:rPr>
        <w:t xml:space="preserve">cale </w:t>
      </w:r>
      <w:r w:rsidR="00D8246D" w:rsidRPr="000C6126">
        <w:rPr>
          <w:rFonts w:ascii="Times New Roman" w:eastAsia="宋体" w:hAnsi="Times New Roman" w:cs="Times New Roman"/>
          <w:b/>
          <w:u w:val="single"/>
        </w:rPr>
        <w:t xml:space="preserve">numerical </w:t>
      </w:r>
      <w:r w:rsidR="00EB35FF" w:rsidRPr="000C6126">
        <w:rPr>
          <w:rFonts w:ascii="Times New Roman" w:eastAsia="宋体" w:hAnsi="Times New Roman" w:cs="Times New Roman"/>
          <w:b/>
          <w:u w:val="single"/>
        </w:rPr>
        <w:t xml:space="preserve">DoE </w:t>
      </w:r>
      <w:r w:rsidR="00D8246D" w:rsidRPr="000C6126">
        <w:rPr>
          <w:rFonts w:ascii="Times New Roman" w:eastAsia="宋体" w:hAnsi="Times New Roman" w:cs="Times New Roman"/>
          <w:b/>
          <w:u w:val="single"/>
        </w:rPr>
        <w:t>variables</w:t>
      </w:r>
      <w:r w:rsidR="00326EB0">
        <w:rPr>
          <w:rFonts w:ascii="Times New Roman" w:eastAsia="宋体" w:hAnsi="Times New Roman" w:cs="Times New Roman"/>
          <w:b/>
          <w:u w:val="single"/>
        </w:rPr>
        <w:t xml:space="preserve"> by standardization</w:t>
      </w:r>
    </w:p>
    <w:p w14:paraId="7A0B6A9A" w14:textId="77777777" w:rsidR="001F471A" w:rsidRDefault="001F471A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3C9690F1" w14:textId="45D06F98" w:rsidR="00F12F6C" w:rsidRDefault="00B14853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We have 5 DoE (Design of Experiment) parameters</w:t>
      </w:r>
      <w:r w:rsidR="001E0B9A">
        <w:rPr>
          <w:rFonts w:ascii="Times New Roman" w:eastAsia="宋体" w:hAnsi="Times New Roman" w:cs="Times New Roman"/>
        </w:rPr>
        <w:t>.</w:t>
      </w:r>
      <w:r w:rsidR="00CB6902">
        <w:rPr>
          <w:rFonts w:ascii="Times New Roman" w:eastAsia="宋体" w:hAnsi="Times New Roman" w:cs="Times New Roman"/>
        </w:rPr>
        <w:t xml:space="preserve"> While the 2 categorical variables are treated as dummy variables in our linear regression models, the 3 numerical variables, namely </w:t>
      </w:r>
      <w:r w:rsidR="001E0B9A" w:rsidRPr="001E0B9A">
        <w:rPr>
          <w:rFonts w:ascii="Menlo" w:eastAsia="宋体" w:hAnsi="Menlo" w:cs="Menlo"/>
          <w:sz w:val="18"/>
          <w:szCs w:val="18"/>
        </w:rPr>
        <w:t>Adhesive.Out.Time</w:t>
      </w:r>
      <w:r w:rsidR="001E0B9A">
        <w:rPr>
          <w:rFonts w:ascii="Times New Roman" w:eastAsia="宋体" w:hAnsi="Times New Roman" w:cs="Times New Roman"/>
        </w:rPr>
        <w:t>,</w:t>
      </w:r>
      <w:r w:rsidR="001E0B9A" w:rsidRPr="001E0B9A">
        <w:rPr>
          <w:rFonts w:ascii="Menlo" w:eastAsia="宋体" w:hAnsi="Menlo" w:cs="Menlo"/>
          <w:sz w:val="18"/>
          <w:szCs w:val="18"/>
        </w:rPr>
        <w:t xml:space="preserve"> Prep..to.Bond.Time</w:t>
      </w:r>
      <w:r w:rsidR="001E0B9A">
        <w:rPr>
          <w:rFonts w:ascii="Times New Roman" w:eastAsia="宋体" w:hAnsi="Times New Roman" w:cs="Times New Roman"/>
        </w:rPr>
        <w:t>, and</w:t>
      </w:r>
      <w:r w:rsidR="001E0B9A">
        <w:rPr>
          <w:rFonts w:ascii="Menlo" w:eastAsia="宋体" w:hAnsi="Menlo" w:cs="Menlo"/>
          <w:sz w:val="18"/>
          <w:szCs w:val="18"/>
        </w:rPr>
        <w:t xml:space="preserve"> </w:t>
      </w:r>
      <w:r w:rsidR="001E0B9A" w:rsidRPr="001E0B9A">
        <w:rPr>
          <w:rFonts w:ascii="Menlo" w:eastAsia="宋体" w:hAnsi="Menlo" w:cs="Menlo"/>
          <w:sz w:val="18"/>
          <w:szCs w:val="18"/>
        </w:rPr>
        <w:t>Contamination.Amount</w:t>
      </w:r>
      <w:r w:rsidR="001E0B9A">
        <w:rPr>
          <w:rFonts w:ascii="Times New Roman" w:eastAsia="宋体" w:hAnsi="Times New Roman" w:cs="Times New Roman"/>
        </w:rPr>
        <w:t xml:space="preserve"> are </w:t>
      </w:r>
      <w:r w:rsidR="00CB6902">
        <w:rPr>
          <w:rFonts w:ascii="Times New Roman" w:eastAsia="宋体" w:hAnsi="Times New Roman" w:cs="Times New Roman"/>
        </w:rPr>
        <w:t xml:space="preserve">pretreated so that they are </w:t>
      </w:r>
      <w:r w:rsidR="002F5813">
        <w:rPr>
          <w:rFonts w:ascii="Times New Roman" w:eastAsia="宋体" w:hAnsi="Times New Roman" w:cs="Times New Roman"/>
        </w:rPr>
        <w:t>standardized</w:t>
      </w:r>
      <w:r w:rsidR="00CB6902">
        <w:rPr>
          <w:rFonts w:ascii="Times New Roman" w:eastAsia="宋体" w:hAnsi="Times New Roman" w:cs="Times New Roman"/>
        </w:rPr>
        <w:t xml:space="preserve"> and balanced. </w:t>
      </w:r>
    </w:p>
    <w:p w14:paraId="2841697C" w14:textId="77777777" w:rsidR="00F37282" w:rsidRDefault="00F37282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747BFD22" w14:textId="25B81657" w:rsidR="001E6169" w:rsidRPr="001E6169" w:rsidRDefault="001E6169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For each observed value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Times New Roman" w:eastAsia="宋体" w:hAnsi="Times New Roman" w:cs="Times New Roman"/>
        </w:rPr>
        <w:t xml:space="preserve"> of variable x, the standardized value </w:t>
      </w:r>
    </w:p>
    <w:p w14:paraId="707870D1" w14:textId="5AC715D0" w:rsidR="00F37282" w:rsidRDefault="0075782A" w:rsidP="00B833AD">
      <w:pPr>
        <w:spacing w:line="276" w:lineRule="auto"/>
        <w:jc w:val="center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="宋体" w:hAnsi="Cambria Math" w:cs="Times New Roman"/>
                </w:rPr>
                <m:t>s</m:t>
              </m:r>
            </m:den>
          </m:f>
        </m:oMath>
      </m:oMathPara>
    </w:p>
    <w:p w14:paraId="19763B2E" w14:textId="77777777" w:rsidR="00B35CAD" w:rsidRDefault="001E6169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where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/>
              </w:rPr>
              <m:t>x</m:t>
            </m:r>
          </m:e>
        </m:acc>
      </m:oMath>
      <w:r>
        <w:rPr>
          <w:rFonts w:ascii="Times New Roman" w:eastAsia="宋体" w:hAnsi="Times New Roman" w:cs="Times New Roman"/>
        </w:rPr>
        <w:t xml:space="preserve"> is the mean of x</w:t>
      </w:r>
      <w:r w:rsidR="00C9290E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and 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Times New Roman" w:eastAsia="宋体" w:hAnsi="Times New Roman" w:cs="Times New Roman"/>
        </w:rPr>
        <w:t xml:space="preserve"> the standard deviation.</w:t>
      </w:r>
      <w:r w:rsidR="0055432E">
        <w:rPr>
          <w:rFonts w:ascii="Times New Roman" w:eastAsia="宋体" w:hAnsi="Times New Roman" w:cs="Times New Roman"/>
        </w:rPr>
        <w:t xml:space="preserve"> </w:t>
      </w:r>
    </w:p>
    <w:p w14:paraId="26B82784" w14:textId="77777777" w:rsidR="00B35CAD" w:rsidRDefault="00B35CAD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7E5D321D" w14:textId="77777777" w:rsidR="00A72664" w:rsidRDefault="0055432E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Standardization is a common trick of </w:t>
      </w:r>
      <w:r>
        <w:rPr>
          <w:rFonts w:ascii="Times New Roman" w:eastAsia="宋体" w:hAnsi="Times New Roman" w:cs="Times New Roman"/>
        </w:rPr>
        <w:t>data transformation that is commonly used in</w:t>
      </w:r>
      <w:r>
        <w:rPr>
          <w:rFonts w:ascii="Times New Roman" w:eastAsia="宋体" w:hAnsi="Times New Roman" w:cs="Times New Roman"/>
        </w:rPr>
        <w:t xml:space="preserve"> applied</w:t>
      </w:r>
      <w:r>
        <w:rPr>
          <w:rFonts w:ascii="Times New Roman" w:eastAsia="宋体" w:hAnsi="Times New Roman" w:cs="Times New Roman"/>
        </w:rPr>
        <w:t xml:space="preserve"> regression and clustering analysis.</w:t>
      </w:r>
      <w:r w:rsidR="000D598E">
        <w:rPr>
          <w:rFonts w:ascii="Times New Roman" w:eastAsia="宋体" w:hAnsi="Times New Roman" w:cs="Times New Roman"/>
        </w:rPr>
        <w:t xml:space="preserve"> </w:t>
      </w:r>
      <w:r w:rsidR="000D598E" w:rsidRPr="000D598E">
        <w:rPr>
          <w:rFonts w:ascii="Times New Roman" w:eastAsia="宋体" w:hAnsi="Times New Roman" w:cs="Times New Roman"/>
        </w:rPr>
        <w:t>Subtracting the mean typically improves the interpretation of main effects in the presence of interact</w:t>
      </w:r>
      <w:r w:rsidR="000D598E">
        <w:rPr>
          <w:rFonts w:ascii="Times New Roman" w:eastAsia="宋体" w:hAnsi="Times New Roman" w:cs="Times New Roman"/>
        </w:rPr>
        <w:t>ions, and dividing by the stan</w:t>
      </w:r>
      <w:r w:rsidR="000D598E" w:rsidRPr="000D598E">
        <w:rPr>
          <w:rFonts w:ascii="Times New Roman" w:eastAsia="宋体" w:hAnsi="Times New Roman" w:cs="Times New Roman"/>
        </w:rPr>
        <w:t>dard deviation puts all predictors on a common scale.</w:t>
      </w:r>
      <w:r w:rsidR="004F01C2">
        <w:rPr>
          <w:rFonts w:ascii="Times New Roman" w:eastAsia="宋体" w:hAnsi="Times New Roman" w:cs="Times New Roman"/>
        </w:rPr>
        <w:t xml:space="preserve"> </w:t>
      </w:r>
      <w:r w:rsidR="00602AFD">
        <w:rPr>
          <w:rFonts w:ascii="Times New Roman" w:eastAsia="宋体" w:hAnsi="Times New Roman" w:cs="Times New Roman"/>
        </w:rPr>
        <w:t>[1]</w:t>
      </w:r>
      <w:r w:rsidR="004F01C2">
        <w:rPr>
          <w:rFonts w:ascii="Times New Roman" w:eastAsia="宋体" w:hAnsi="Times New Roman" w:cs="Times New Roman"/>
        </w:rPr>
        <w:t xml:space="preserve"> </w:t>
      </w:r>
    </w:p>
    <w:p w14:paraId="5876A8FE" w14:textId="77777777" w:rsidR="00A72664" w:rsidRDefault="00A72664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2D19B3A7" w14:textId="34BD6C74" w:rsidR="001E0B9A" w:rsidRDefault="005B745E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Furthermore, while interaction terms </w:t>
      </w:r>
      <w:r w:rsidRPr="005B745E">
        <w:rPr>
          <w:rFonts w:ascii="Times New Roman" w:eastAsia="宋体" w:hAnsi="Times New Roman" w:cs="Times New Roman"/>
        </w:rPr>
        <w:t>can provide extremely important information about the relationship between the response and predictor variables, they also produce excessive amounts of multicollinearity</w:t>
      </w:r>
      <w:r>
        <w:rPr>
          <w:rFonts w:ascii="Times New Roman" w:eastAsia="宋体" w:hAnsi="Times New Roman" w:cs="Times New Roman"/>
        </w:rPr>
        <w:t xml:space="preserve">, which </w:t>
      </w:r>
      <w:r w:rsidRPr="005B745E">
        <w:rPr>
          <w:rFonts w:ascii="Times New Roman" w:eastAsia="宋体" w:hAnsi="Times New Roman" w:cs="Times New Roman"/>
        </w:rPr>
        <w:t>is a problem because it can hide statistically significant terms, cause the coefficients to switch signs, and make it more difficult to specify the correct mode</w:t>
      </w:r>
      <w:r>
        <w:rPr>
          <w:rFonts w:ascii="Times New Roman" w:eastAsia="宋体" w:hAnsi="Times New Roman" w:cs="Times New Roman"/>
        </w:rPr>
        <w:t xml:space="preserve">. [2] </w:t>
      </w:r>
      <w:r w:rsidRPr="008F0D04">
        <w:rPr>
          <w:rFonts w:ascii="Times New Roman" w:eastAsia="宋体" w:hAnsi="Times New Roman" w:cs="Times New Roman"/>
          <w:i/>
        </w:rPr>
        <w:t>Fortunately, standardizing the predictors is an easy way to reduce multicollinearity and the associated problems that are caused by these higher-order terms.</w:t>
      </w:r>
      <w:r>
        <w:rPr>
          <w:rFonts w:ascii="Times New Roman" w:eastAsia="宋体" w:hAnsi="Times New Roman" w:cs="Times New Roman"/>
        </w:rPr>
        <w:t xml:space="preserve"> [2] </w:t>
      </w:r>
      <w:r w:rsidR="00284846">
        <w:rPr>
          <w:rFonts w:ascii="Times New Roman" w:eastAsia="宋体" w:hAnsi="Times New Roman" w:cs="Times New Roman"/>
        </w:rPr>
        <w:t xml:space="preserve">Therefore, </w:t>
      </w:r>
      <w:r w:rsidR="00774E9F">
        <w:rPr>
          <w:rFonts w:ascii="Times New Roman" w:eastAsia="宋体" w:hAnsi="Times New Roman" w:cs="Times New Roman"/>
        </w:rPr>
        <w:t>our regression analysis</w:t>
      </w:r>
      <w:r w:rsidR="00284846">
        <w:rPr>
          <w:rFonts w:ascii="Times New Roman" w:eastAsia="宋体" w:hAnsi="Times New Roman" w:cs="Times New Roman"/>
        </w:rPr>
        <w:t xml:space="preserve"> </w:t>
      </w:r>
      <w:r w:rsidR="00774E9F">
        <w:rPr>
          <w:rFonts w:ascii="Times New Roman" w:eastAsia="宋体" w:hAnsi="Times New Roman" w:cs="Times New Roman"/>
        </w:rPr>
        <w:t xml:space="preserve">will be </w:t>
      </w:r>
      <w:r w:rsidR="00284846">
        <w:rPr>
          <w:rFonts w:ascii="Times New Roman" w:eastAsia="宋体" w:hAnsi="Times New Roman" w:cs="Times New Roman"/>
        </w:rPr>
        <w:t>more or less benefited f</w:t>
      </w:r>
      <w:r w:rsidR="00125321">
        <w:rPr>
          <w:rFonts w:ascii="Times New Roman" w:eastAsia="宋体" w:hAnsi="Times New Roman" w:cs="Times New Roman"/>
        </w:rPr>
        <w:t>rom standardization</w:t>
      </w:r>
      <w:r w:rsidR="00774E9F">
        <w:rPr>
          <w:rFonts w:ascii="Times New Roman" w:eastAsia="宋体" w:hAnsi="Times New Roman" w:cs="Times New Roman"/>
        </w:rPr>
        <w:t xml:space="preserve"> due to t</w:t>
      </w:r>
      <w:r w:rsidR="0040518E">
        <w:rPr>
          <w:rFonts w:ascii="Times New Roman" w:eastAsia="宋体" w:hAnsi="Times New Roman" w:cs="Times New Roman"/>
        </w:rPr>
        <w:t>he presence of potential interactions</w:t>
      </w:r>
      <w:r w:rsidR="00362B3B">
        <w:rPr>
          <w:rFonts w:ascii="Times New Roman" w:eastAsia="宋体" w:hAnsi="Times New Roman" w:cs="Times New Roman"/>
        </w:rPr>
        <w:t>.</w:t>
      </w:r>
    </w:p>
    <w:p w14:paraId="108C740D" w14:textId="77777777" w:rsidR="0055432E" w:rsidRDefault="0055432E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774CCE8B" w14:textId="4490D8A7" w:rsidR="0055432E" w:rsidRDefault="002846F2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</w:t>
      </w:r>
      <w:r w:rsidR="0055432E">
        <w:rPr>
          <w:rFonts w:ascii="Times New Roman" w:eastAsia="宋体" w:hAnsi="Times New Roman" w:cs="Times New Roman"/>
        </w:rPr>
        <w:t>eferences:</w:t>
      </w:r>
    </w:p>
    <w:p w14:paraId="64F4A323" w14:textId="117FCBEA" w:rsidR="00602AFD" w:rsidRDefault="00B5107E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[1] </w:t>
      </w:r>
      <w:hyperlink r:id="rId5" w:history="1">
        <w:r w:rsidR="00602AFD" w:rsidRPr="00A0526C">
          <w:rPr>
            <w:rStyle w:val="Hyperlink"/>
            <w:rFonts w:ascii="Times New Roman" w:eastAsia="宋体" w:hAnsi="Times New Roman" w:cs="Times New Roman"/>
          </w:rPr>
          <w:t>http://www.stat.columbia.edu/~gelman/research/unpublished/standardizing.pdf</w:t>
        </w:r>
      </w:hyperlink>
    </w:p>
    <w:p w14:paraId="6EA58F0F" w14:textId="168076D2" w:rsidR="002B1417" w:rsidRDefault="002B1417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[2] </w:t>
      </w:r>
      <w:hyperlink r:id="rId6" w:history="1">
        <w:r w:rsidRPr="00A0526C">
          <w:rPr>
            <w:rStyle w:val="Hyperlink"/>
            <w:rFonts w:ascii="Times New Roman" w:eastAsia="宋体" w:hAnsi="Times New Roman" w:cs="Times New Roman"/>
          </w:rPr>
          <w:t>http://blog.minitab.com/blog/adventures-in-statistics-2/when-is-it-crucial-to-standardize-the-variables-in-a-regression-model</w:t>
        </w:r>
      </w:hyperlink>
    </w:p>
    <w:p w14:paraId="03D44DDF" w14:textId="77777777" w:rsidR="002846F2" w:rsidRDefault="002846F2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02BC1744" w14:textId="04D54879" w:rsidR="002846F2" w:rsidRDefault="002846F2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Other references</w:t>
      </w:r>
    </w:p>
    <w:p w14:paraId="7CC5C2DD" w14:textId="054A095A" w:rsidR="0055432E" w:rsidRDefault="0055432E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HYPERLINK "</w:instrText>
      </w:r>
      <w:r w:rsidRPr="0055432E">
        <w:rPr>
          <w:rFonts w:ascii="Times New Roman" w:eastAsia="宋体" w:hAnsi="Times New Roman" w:cs="Times New Roman"/>
        </w:rPr>
        <w:instrText>http://pj.freefaculty.org/guides/stat/Regression/StandardizedBeta/Standardized-1-lecture.pdf</w:instrText>
      </w:r>
      <w:r>
        <w:rPr>
          <w:rFonts w:ascii="Times New Roman" w:eastAsia="宋体" w:hAnsi="Times New Roman" w:cs="Times New Roman"/>
        </w:rPr>
        <w:instrText xml:space="preserve">" </w:instrText>
      </w:r>
      <w:r>
        <w:rPr>
          <w:rFonts w:ascii="Times New Roman" w:eastAsia="宋体" w:hAnsi="Times New Roman" w:cs="Times New Roman"/>
        </w:rPr>
        <w:fldChar w:fldCharType="separate"/>
      </w:r>
      <w:r w:rsidRPr="00A0526C">
        <w:rPr>
          <w:rStyle w:val="Hyperlink"/>
          <w:rFonts w:ascii="Times New Roman" w:eastAsia="宋体" w:hAnsi="Times New Roman" w:cs="Times New Roman"/>
        </w:rPr>
        <w:t>http://pj.freefaculty.org/guides/stat/Regression/StandardizedBeta/Standardized-1-lecture.pdf</w:t>
      </w:r>
      <w:r>
        <w:rPr>
          <w:rFonts w:ascii="Times New Roman" w:eastAsia="宋体" w:hAnsi="Times New Roman" w:cs="Times New Roman"/>
        </w:rPr>
        <w:fldChar w:fldCharType="end"/>
      </w:r>
    </w:p>
    <w:p w14:paraId="4B370B2C" w14:textId="77777777" w:rsidR="001D78DA" w:rsidRDefault="001D78DA" w:rsidP="00B833AD">
      <w:pPr>
        <w:pBdr>
          <w:bottom w:val="double" w:sz="6" w:space="1" w:color="auto"/>
        </w:pBdr>
        <w:spacing w:line="276" w:lineRule="auto"/>
        <w:rPr>
          <w:rFonts w:ascii="Times New Roman" w:eastAsia="宋体" w:hAnsi="Times New Roman" w:cs="Times New Roman"/>
        </w:rPr>
      </w:pPr>
    </w:p>
    <w:p w14:paraId="3AB52F6C" w14:textId="77777777" w:rsidR="00391506" w:rsidRDefault="00391506" w:rsidP="00B833AD">
      <w:pPr>
        <w:pBdr>
          <w:bottom w:val="double" w:sz="6" w:space="1" w:color="auto"/>
        </w:pBdr>
        <w:spacing w:line="276" w:lineRule="auto"/>
        <w:rPr>
          <w:rFonts w:ascii="Times New Roman" w:eastAsia="宋体" w:hAnsi="Times New Roman" w:cs="Times New Roman"/>
        </w:rPr>
      </w:pPr>
    </w:p>
    <w:p w14:paraId="162EE7DF" w14:textId="77777777" w:rsidR="00391506" w:rsidRDefault="00391506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53E923B7" w14:textId="77777777" w:rsidR="00391506" w:rsidRDefault="00391506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320C0962" w14:textId="7A49E26E" w:rsidR="00391506" w:rsidRPr="00E05831" w:rsidRDefault="00E05831" w:rsidP="00B833AD">
      <w:pPr>
        <w:spacing w:line="276" w:lineRule="auto"/>
        <w:rPr>
          <w:rFonts w:ascii="Times New Roman" w:eastAsia="宋体" w:hAnsi="Times New Roman" w:cs="Times New Roman"/>
          <w:b/>
        </w:rPr>
      </w:pPr>
      <w:r w:rsidRPr="00E05831">
        <w:rPr>
          <w:rFonts w:ascii="Times New Roman" w:eastAsia="宋体" w:hAnsi="Times New Roman" w:cs="Times New Roman"/>
          <w:b/>
        </w:rPr>
        <w:t>Adding interactions to linear regression model</w:t>
      </w:r>
    </w:p>
    <w:p w14:paraId="3262259E" w14:textId="77777777" w:rsidR="00E05831" w:rsidRDefault="00E05831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7F809376" w14:textId="4B0005BA" w:rsidR="00E05831" w:rsidRDefault="00E05831" w:rsidP="00B833AD">
      <w:pPr>
        <w:spacing w:line="276" w:lineRule="auto"/>
        <w:rPr>
          <w:rFonts w:ascii="Times New Roman" w:eastAsia="宋体" w:hAnsi="Times New Roman" w:cs="Times New Roman"/>
        </w:rPr>
      </w:pPr>
      <w:r w:rsidRPr="00E05831">
        <w:rPr>
          <w:rFonts w:ascii="Times New Roman" w:eastAsia="宋体" w:hAnsi="Times New Roman" w:cs="Times New Roman"/>
        </w:rPr>
        <w:lastRenderedPageBreak/>
        <w:t>Adding interaction terms to a regression model can grea</w:t>
      </w:r>
      <w:r w:rsidR="00883D0A">
        <w:rPr>
          <w:rFonts w:ascii="Times New Roman" w:eastAsia="宋体" w:hAnsi="Times New Roman" w:cs="Times New Roman"/>
        </w:rPr>
        <w:t xml:space="preserve">tly expand understanding of the </w:t>
      </w:r>
      <w:r w:rsidRPr="00E05831">
        <w:rPr>
          <w:rFonts w:ascii="Times New Roman" w:eastAsia="宋体" w:hAnsi="Times New Roman" w:cs="Times New Roman"/>
        </w:rPr>
        <w:t>relationships among the variables in the model and allows more hypotheses to be tested.</w:t>
      </w:r>
    </w:p>
    <w:p w14:paraId="6E6195F2" w14:textId="77777777" w:rsidR="00BB7D5F" w:rsidRDefault="00BB7D5F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30C26737" w14:textId="78FC1C31" w:rsidR="00BB7D5F" w:rsidRDefault="005B0DC9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To illustrate, a simple linear regression (additive) model between a response variable y and two predictors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Times New Roman" w:eastAsia="宋体" w:hAnsi="Times New Roman" w:cs="Times New Roman"/>
        </w:rPr>
        <w:t xml:space="preserve"> would be</w:t>
      </w:r>
    </w:p>
    <w:p w14:paraId="3F454FA4" w14:textId="1A70CDC5" w:rsidR="005B0DC9" w:rsidRPr="005B0DC9" w:rsidRDefault="005B0DC9" w:rsidP="00B833AD">
      <w:pPr>
        <w:spacing w:line="276" w:lineRule="auto"/>
        <w:rPr>
          <w:rFonts w:ascii="Times New Roman" w:eastAsia="宋体" w:hAnsi="Times New Roman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y</m:t>
          </m:r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error</m:t>
          </m:r>
        </m:oMath>
      </m:oMathPara>
    </w:p>
    <w:p w14:paraId="7AD28A38" w14:textId="52BFD957" w:rsidR="005B0DC9" w:rsidRDefault="005B0DC9" w:rsidP="00B833AD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while, in contrast, a model with interactions between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 xml:space="preserve"> would take the form</w:t>
      </w:r>
    </w:p>
    <w:p w14:paraId="6FF9BFCC" w14:textId="64E5748D" w:rsidR="005B0DC9" w:rsidRPr="005B0DC9" w:rsidRDefault="005B0DC9" w:rsidP="00B833AD">
      <w:pPr>
        <w:spacing w:line="276" w:lineRule="auto"/>
        <w:rPr>
          <w:rFonts w:ascii="Times New Roman" w:eastAsia="宋体" w:hAnsi="Times New Roman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y</m:t>
          </m:r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</w:rPr>
                <m:t>12</m:t>
              </m:r>
            </m:sub>
          </m:sSub>
          <m:r>
            <w:rPr>
              <w:rFonts w:ascii="Cambria Math" w:eastAsia="宋体" w:hAnsi="Cambria Math" w:cs="Times New Roman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)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error</m:t>
          </m:r>
        </m:oMath>
      </m:oMathPara>
    </w:p>
    <w:p w14:paraId="4AEEF29F" w14:textId="77777777" w:rsidR="00F10642" w:rsidRDefault="00F10642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2B5827C0" w14:textId="5D6E6DDC" w:rsidR="005B0DC9" w:rsidRDefault="00894213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 relationship to our regression analysis, </w:t>
      </w:r>
      <w:r>
        <w:rPr>
          <w:rFonts w:ascii="Times New Roman" w:eastAsia="宋体" w:hAnsi="Times New Roman" w:cs="Times New Roman"/>
        </w:rPr>
        <w:t xml:space="preserve">the components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Times New Roman" w:eastAsia="宋体" w:hAnsi="Times New Roman" w:cs="Times New Roman"/>
        </w:rPr>
        <w:t xml:space="preserve"> in a interaction term </w:t>
      </w:r>
      <m:oMath>
        <m:r>
          <w:rPr>
            <w:rFonts w:ascii="Cambria Math" w:eastAsia="宋体" w:hAnsi="Cambria Math" w:cs="Times New Roman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350702">
        <w:rPr>
          <w:rFonts w:ascii="Times New Roman" w:eastAsia="宋体" w:hAnsi="Times New Roman" w:cs="Times New Roman"/>
        </w:rPr>
        <w:t xml:space="preserve"> might be measurements or dummy variables in any combination. </w:t>
      </w:r>
      <w:r w:rsidR="00350702" w:rsidRPr="00350702">
        <w:rPr>
          <w:rFonts w:ascii="Times New Roman" w:eastAsia="宋体" w:hAnsi="Times New Roman" w:cs="Times New Roman"/>
        </w:rPr>
        <w:t xml:space="preserve">Interactions involving a dummy variable multiplied by a measurement variable are termed </w:t>
      </w:r>
      <w:r w:rsidR="00350702">
        <w:rPr>
          <w:rFonts w:ascii="Times New Roman" w:eastAsia="宋体" w:hAnsi="Times New Roman" w:cs="Times New Roman"/>
        </w:rPr>
        <w:t>“</w:t>
      </w:r>
      <w:r w:rsidR="00350702" w:rsidRPr="00350702">
        <w:rPr>
          <w:rFonts w:ascii="Times New Roman" w:eastAsia="宋体" w:hAnsi="Times New Roman" w:cs="Times New Roman"/>
        </w:rPr>
        <w:t>slope dummy variables</w:t>
      </w:r>
      <w:r w:rsidR="00350702">
        <w:rPr>
          <w:rFonts w:ascii="Times New Roman" w:eastAsia="宋体" w:hAnsi="Times New Roman" w:cs="Times New Roman"/>
        </w:rPr>
        <w:t>”</w:t>
      </w:r>
      <w:r w:rsidR="00A66446">
        <w:rPr>
          <w:rFonts w:ascii="Times New Roman" w:eastAsia="宋体" w:hAnsi="Times New Roman" w:cs="Times New Roman"/>
        </w:rPr>
        <w:t>.</w:t>
      </w:r>
      <w:r w:rsidR="00350702" w:rsidRPr="00350702">
        <w:rPr>
          <w:rFonts w:ascii="Times New Roman" w:eastAsia="宋体" w:hAnsi="Times New Roman" w:cs="Times New Roman"/>
        </w:rPr>
        <w:t xml:space="preserve"> </w:t>
      </w:r>
      <w:r w:rsidR="00350702">
        <w:rPr>
          <w:rFonts w:ascii="Times New Roman" w:eastAsia="宋体" w:hAnsi="Times New Roman" w:cs="Times New Roman"/>
        </w:rPr>
        <w:t xml:space="preserve">[1] </w:t>
      </w:r>
      <w:r w:rsidR="00A66446">
        <w:rPr>
          <w:rFonts w:ascii="Times New Roman" w:eastAsia="宋体" w:hAnsi="Times New Roman" w:cs="Times New Roman"/>
        </w:rPr>
        <w:t xml:space="preserve">For example, in our case, interaction between </w:t>
      </w:r>
      <w:r w:rsidR="00A66446" w:rsidRPr="001E0B9A">
        <w:rPr>
          <w:rFonts w:ascii="Menlo" w:eastAsia="宋体" w:hAnsi="Menlo" w:cs="Menlo"/>
          <w:sz w:val="18"/>
          <w:szCs w:val="18"/>
        </w:rPr>
        <w:t>Contamination.Amount</w:t>
      </w:r>
      <w:r w:rsidR="00A66446">
        <w:rPr>
          <w:rFonts w:ascii="Times New Roman" w:eastAsia="宋体" w:hAnsi="Times New Roman" w:cs="Times New Roman"/>
        </w:rPr>
        <w:t xml:space="preserve"> and a dummy variable representing</w:t>
      </w:r>
      <w:r w:rsidR="00DB7F74">
        <w:rPr>
          <w:rFonts w:ascii="Times New Roman" w:eastAsia="宋体" w:hAnsi="Times New Roman" w:cs="Times New Roman"/>
        </w:rPr>
        <w:t xml:space="preserve"> one group of </w:t>
      </w:r>
      <w:r w:rsidR="00DB7F74">
        <w:rPr>
          <w:rFonts w:ascii="Menlo" w:eastAsia="宋体" w:hAnsi="Menlo" w:cs="Menlo"/>
          <w:sz w:val="18"/>
          <w:szCs w:val="18"/>
        </w:rPr>
        <w:t>Contaminant</w:t>
      </w:r>
      <w:r w:rsidR="00DB7F74" w:rsidRPr="001E0B9A">
        <w:rPr>
          <w:rFonts w:ascii="Menlo" w:eastAsia="宋体" w:hAnsi="Menlo" w:cs="Menlo"/>
          <w:sz w:val="18"/>
          <w:szCs w:val="18"/>
        </w:rPr>
        <w:t>.</w:t>
      </w:r>
      <w:r w:rsidR="00DB7F74">
        <w:rPr>
          <w:rFonts w:ascii="Menlo" w:eastAsia="宋体" w:hAnsi="Menlo" w:cs="Menlo"/>
          <w:sz w:val="18"/>
          <w:szCs w:val="18"/>
        </w:rPr>
        <w:t xml:space="preserve">Type </w:t>
      </w:r>
      <w:r w:rsidR="00DB7F74">
        <w:rPr>
          <w:rFonts w:ascii="Times New Roman" w:eastAsia="宋体" w:hAnsi="Times New Roman" w:cs="Times New Roman"/>
        </w:rPr>
        <w:t>is a slope dummy variable, meaning the regression coefficient associated with it only contributes when the dummy variable equals 1.</w:t>
      </w:r>
    </w:p>
    <w:p w14:paraId="3EA47CBF" w14:textId="77777777" w:rsidR="00A66446" w:rsidRDefault="00A66446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4893D915" w14:textId="58E91C9D" w:rsidR="00350702" w:rsidRDefault="00A66446" w:rsidP="00B833AD">
      <w:pPr>
        <w:spacing w:line="276" w:lineRule="auto"/>
        <w:rPr>
          <w:rFonts w:ascii="Times New Roman" w:eastAsia="宋体" w:hAnsi="Times New Roman" w:cs="Times New Roman"/>
        </w:rPr>
      </w:pPr>
      <w:r w:rsidRPr="00A66446">
        <w:rPr>
          <w:rFonts w:ascii="Times New Roman" w:eastAsia="宋体" w:hAnsi="Times New Roman" w:cs="Times New Roman"/>
        </w:rPr>
        <w:t>When measurement variables are employed in interactions, it is often desirable to work with centering</w:t>
      </w:r>
      <w:r w:rsidR="00163D35">
        <w:rPr>
          <w:rFonts w:ascii="Times New Roman" w:eastAsia="宋体" w:hAnsi="Times New Roman" w:cs="Times New Roman"/>
        </w:rPr>
        <w:t xml:space="preserve"> which</w:t>
      </w:r>
      <w:r w:rsidRPr="00A66446">
        <w:rPr>
          <w:rFonts w:ascii="Times New Roman" w:eastAsia="宋体" w:hAnsi="Times New Roman" w:cs="Times New Roman"/>
        </w:rPr>
        <w:t xml:space="preserve"> makes the main effects in interaction models more interpretable. The coefficient a in the equation above, for example, represents the effect of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B250D0">
        <w:rPr>
          <w:rFonts w:ascii="Times New Roman" w:eastAsia="宋体" w:hAnsi="Times New Roman" w:cs="Times New Roman"/>
        </w:rPr>
        <w:t xml:space="preserve"> </w:t>
      </w:r>
      <w:r w:rsidR="00E04EC2">
        <w:rPr>
          <w:rFonts w:ascii="Times New Roman" w:eastAsia="宋体" w:hAnsi="Times New Roman" w:cs="Times New Roman"/>
        </w:rPr>
        <w:t>when</w:t>
      </w:r>
      <w:r w:rsidR="00B250D0">
        <w:rPr>
          <w:rFonts w:ascii="Times New Roman" w:eastAsia="宋体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A66446">
        <w:rPr>
          <w:rFonts w:ascii="Times New Roman" w:eastAsia="宋体" w:hAnsi="Times New Roman" w:cs="Times New Roman"/>
        </w:rPr>
        <w:t xml:space="preserve"> equals zero. Centering can also reduce problems with multicollinearity.</w:t>
      </w:r>
      <w:r w:rsidR="003740B5">
        <w:rPr>
          <w:rFonts w:ascii="Times New Roman" w:eastAsia="宋体" w:hAnsi="Times New Roman" w:cs="Times New Roman"/>
        </w:rPr>
        <w:t xml:space="preserve"> [1] This again emphasizes the need</w:t>
      </w:r>
      <w:r w:rsidR="00057F65">
        <w:rPr>
          <w:rFonts w:ascii="Times New Roman" w:eastAsia="宋体" w:hAnsi="Times New Roman" w:cs="Times New Roman"/>
        </w:rPr>
        <w:t xml:space="preserve"> for standardization</w:t>
      </w:r>
      <w:r w:rsidR="00787BA1">
        <w:rPr>
          <w:rFonts w:ascii="Times New Roman" w:eastAsia="宋体" w:hAnsi="Times New Roman" w:cs="Times New Roman"/>
        </w:rPr>
        <w:t xml:space="preserve"> of numerical DoE variables</w:t>
      </w:r>
      <w:r w:rsidR="00057F65">
        <w:rPr>
          <w:rFonts w:ascii="Times New Roman" w:eastAsia="宋体" w:hAnsi="Times New Roman" w:cs="Times New Roman"/>
        </w:rPr>
        <w:t>.</w:t>
      </w:r>
    </w:p>
    <w:p w14:paraId="22CA0007" w14:textId="77777777" w:rsidR="00CD054B" w:rsidRDefault="00CD054B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4636F809" w14:textId="52B4EE2B" w:rsidR="00063B97" w:rsidRDefault="00063B97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 our analysis, a linear regression model with up to 3-way interactions among all variables yields an adjusted-R</w:t>
      </w:r>
      <w:r w:rsidRPr="00063B97">
        <w:rPr>
          <w:rFonts w:ascii="Times New Roman" w:eastAsia="宋体" w:hAnsi="Times New Roman" w:cs="Times New Roman"/>
          <w:vertAlign w:val="superscript"/>
        </w:rPr>
        <w:t>2</w:t>
      </w:r>
      <w:r>
        <w:rPr>
          <w:rFonts w:ascii="Times New Roman" w:eastAsia="宋体" w:hAnsi="Times New Roman" w:cs="Times New Roman"/>
        </w:rPr>
        <w:t xml:space="preserve"> of 96%, comparing </w:t>
      </w:r>
      <w:r w:rsidR="0075782A">
        <w:rPr>
          <w:rFonts w:ascii="Times New Roman" w:eastAsia="宋体" w:hAnsi="Times New Roman" w:cs="Times New Roman"/>
        </w:rPr>
        <w:t xml:space="preserve">to that of ?% from a simple additive linear regression model. </w:t>
      </w:r>
      <w:bookmarkStart w:id="0" w:name="_GoBack"/>
      <w:bookmarkEnd w:id="0"/>
    </w:p>
    <w:p w14:paraId="45D63BC0" w14:textId="77777777" w:rsidR="00063B97" w:rsidRDefault="00063B97" w:rsidP="00B833AD">
      <w:pPr>
        <w:spacing w:line="276" w:lineRule="auto"/>
        <w:rPr>
          <w:rFonts w:ascii="Times New Roman" w:eastAsia="宋体" w:hAnsi="Times New Roman" w:cs="Times New Roman"/>
        </w:rPr>
      </w:pPr>
    </w:p>
    <w:p w14:paraId="5CEFD049" w14:textId="3304E585" w:rsidR="00350702" w:rsidRDefault="00350702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Reference:</w:t>
      </w:r>
    </w:p>
    <w:p w14:paraId="77167149" w14:textId="2CB20AC5" w:rsidR="00350702" w:rsidRDefault="00350702" w:rsidP="00B833A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[1] </w:t>
      </w:r>
      <w:hyperlink r:id="rId7" w:history="1">
        <w:r w:rsidRPr="00A0526C">
          <w:rPr>
            <w:rStyle w:val="Hyperlink"/>
            <w:rFonts w:ascii="Times New Roman" w:eastAsia="宋体" w:hAnsi="Times New Roman" w:cs="Times New Roman"/>
          </w:rPr>
          <w:t>https://en.wikipedia.org/wiki/Interaction_(statistics)</w:t>
        </w:r>
      </w:hyperlink>
    </w:p>
    <w:p w14:paraId="582D258C" w14:textId="77777777" w:rsidR="00350702" w:rsidRPr="005B0DC9" w:rsidRDefault="00350702" w:rsidP="00B833AD">
      <w:pPr>
        <w:spacing w:line="276" w:lineRule="auto"/>
        <w:rPr>
          <w:rFonts w:ascii="Times New Roman" w:eastAsia="宋体" w:hAnsi="Times New Roman" w:cs="Times New Roman"/>
        </w:rPr>
      </w:pPr>
    </w:p>
    <w:sectPr w:rsidR="00350702" w:rsidRPr="005B0DC9" w:rsidSect="00D86B7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DE"/>
    <w:rsid w:val="00057F65"/>
    <w:rsid w:val="00063B97"/>
    <w:rsid w:val="00071E6C"/>
    <w:rsid w:val="000C6126"/>
    <w:rsid w:val="000D598E"/>
    <w:rsid w:val="00105F49"/>
    <w:rsid w:val="00106CDE"/>
    <w:rsid w:val="00125321"/>
    <w:rsid w:val="00163D35"/>
    <w:rsid w:val="001D78DA"/>
    <w:rsid w:val="001E0B9A"/>
    <w:rsid w:val="001E5EBD"/>
    <w:rsid w:val="001E6169"/>
    <w:rsid w:val="001F471A"/>
    <w:rsid w:val="002846F2"/>
    <w:rsid w:val="00284846"/>
    <w:rsid w:val="002A3821"/>
    <w:rsid w:val="002B1417"/>
    <w:rsid w:val="002F5813"/>
    <w:rsid w:val="00326EB0"/>
    <w:rsid w:val="0034703E"/>
    <w:rsid w:val="00350702"/>
    <w:rsid w:val="00357DEF"/>
    <w:rsid w:val="00362B3B"/>
    <w:rsid w:val="003740B5"/>
    <w:rsid w:val="00391506"/>
    <w:rsid w:val="0040518E"/>
    <w:rsid w:val="004F01C2"/>
    <w:rsid w:val="005321E3"/>
    <w:rsid w:val="0055432E"/>
    <w:rsid w:val="00590FCB"/>
    <w:rsid w:val="005A5249"/>
    <w:rsid w:val="005B0DC9"/>
    <w:rsid w:val="005B745E"/>
    <w:rsid w:val="00602AFD"/>
    <w:rsid w:val="006E2C83"/>
    <w:rsid w:val="00725D68"/>
    <w:rsid w:val="0075782A"/>
    <w:rsid w:val="00774E9F"/>
    <w:rsid w:val="00787BA1"/>
    <w:rsid w:val="007F323D"/>
    <w:rsid w:val="007F582E"/>
    <w:rsid w:val="00841C24"/>
    <w:rsid w:val="00876674"/>
    <w:rsid w:val="00883D0A"/>
    <w:rsid w:val="00894213"/>
    <w:rsid w:val="008F0D04"/>
    <w:rsid w:val="0096753C"/>
    <w:rsid w:val="009920DB"/>
    <w:rsid w:val="00A66446"/>
    <w:rsid w:val="00A721C2"/>
    <w:rsid w:val="00A72664"/>
    <w:rsid w:val="00A73CCA"/>
    <w:rsid w:val="00B14853"/>
    <w:rsid w:val="00B2405E"/>
    <w:rsid w:val="00B250D0"/>
    <w:rsid w:val="00B35CAD"/>
    <w:rsid w:val="00B5107E"/>
    <w:rsid w:val="00B60F62"/>
    <w:rsid w:val="00B833AD"/>
    <w:rsid w:val="00BB7D5F"/>
    <w:rsid w:val="00BF706D"/>
    <w:rsid w:val="00C0652D"/>
    <w:rsid w:val="00C10959"/>
    <w:rsid w:val="00C820D7"/>
    <w:rsid w:val="00C9290E"/>
    <w:rsid w:val="00CB6902"/>
    <w:rsid w:val="00CD054B"/>
    <w:rsid w:val="00D8246D"/>
    <w:rsid w:val="00D86B75"/>
    <w:rsid w:val="00DB7F74"/>
    <w:rsid w:val="00DC645A"/>
    <w:rsid w:val="00E04EC2"/>
    <w:rsid w:val="00E05831"/>
    <w:rsid w:val="00E1618D"/>
    <w:rsid w:val="00EB35FF"/>
    <w:rsid w:val="00F10642"/>
    <w:rsid w:val="00F37282"/>
    <w:rsid w:val="00F4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ED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E0B9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43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at.columbia.edu/~gelman/research/unpublished/standardizing.pdf" TargetMode="External"/><Relationship Id="rId6" Type="http://schemas.openxmlformats.org/officeDocument/2006/relationships/hyperlink" Target="http://blog.minitab.com/blog/adventures-in-statistics-2/when-is-it-crucial-to-standardize-the-variables-in-a-regression-model" TargetMode="External"/><Relationship Id="rId7" Type="http://schemas.openxmlformats.org/officeDocument/2006/relationships/hyperlink" Target="https://en.wikipedia.org/wiki/Interaction_(statistics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4A7C77-E13C-4D45-8A46-C1F9E24C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604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Zhong</dc:creator>
  <cp:keywords/>
  <dc:description/>
  <cp:lastModifiedBy>Brianna Zhong</cp:lastModifiedBy>
  <cp:revision>69</cp:revision>
  <dcterms:created xsi:type="dcterms:W3CDTF">2017-06-14T19:05:00Z</dcterms:created>
  <dcterms:modified xsi:type="dcterms:W3CDTF">2017-06-15T05:48:00Z</dcterms:modified>
</cp:coreProperties>
</file>