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Microsoft YaHei" w:hAnsi="Microsoft YaHei" w:eastAsia="Microsoft YaHei"/>
          <w:b/>
          <w:color w:val="7A5A00"/>
          <w:sz w:val="22"/>
        </w:rPr>
        <w:t>研究专报</w:t>
      </w:r>
    </w:p>
    <w:p>
      <w:pPr>
        <w:spacing w:after="200"/>
        <w:jc w:val="center"/>
      </w:pPr>
      <w:r>
        <w:rPr>
          <w:rFonts w:ascii="Microsoft YaHei" w:hAnsi="Microsoft YaHei" w:eastAsia="Microsoft YaHei"/>
          <w:b/>
          <w:color w:val="0B2545"/>
          <w:sz w:val="56"/>
        </w:rPr>
        <w:t>从开放创新到受控互赖</w:t>
      </w:r>
    </w:p>
    <w:p>
      <w:pPr>
        <w:spacing w:after="640"/>
        <w:jc w:val="center"/>
      </w:pPr>
      <w:r>
        <w:rPr>
          <w:rFonts w:ascii="Microsoft YaHei" w:hAnsi="Microsoft YaHei" w:eastAsia="Microsoft YaHei"/>
          <w:b w:val="0"/>
          <w:color w:val="1F4D78"/>
          <w:sz w:val="28"/>
        </w:rPr>
        <w:t>国际主要科技智库十年科技战略议程的目标重排与工具硬化</w:t>
      </w:r>
    </w:p>
    <w:p>
      <w:pPr>
        <w:spacing w:after="80"/>
        <w:jc w:val="center"/>
      </w:pPr>
      <w:r>
        <w:rPr>
          <w:rFonts w:ascii="Microsoft YaHei" w:hAnsi="Microsoft YaHei" w:eastAsia="Microsoft YaHei"/>
          <w:b w:val="0"/>
          <w:color w:val="687386"/>
          <w:sz w:val="21"/>
        </w:rPr>
        <w:t>材料范围：2016年1月1日至2026年8月21日</w:t>
      </w:r>
    </w:p>
    <w:p>
      <w:pPr>
        <w:jc w:val="center"/>
      </w:pPr>
      <w:r>
        <w:rPr>
          <w:rFonts w:ascii="Microsoft YaHei" w:hAnsi="Microsoft YaHei" w:eastAsia="Microsoft YaHei"/>
          <w:b w:val="0"/>
          <w:color w:val="687386"/>
          <w:sz w:val="21"/>
        </w:rPr>
        <w:t>研究时点：2026年8月21日</w:t>
      </w:r>
    </w:p>
    <w:p>
      <w:r>
        <w:br w:type="page"/>
      </w:r>
    </w:p>
    <w:p>
      <w:pPr>
        <w:spacing w:before="80" w:after="200" w:line="276" w:lineRule="auto"/>
        <w:ind w:left="115" w:right="115"/>
        <w:shd w:fill="F4F6F9"/>
        <w:pBdr>
          <w:top w:val="single" w:sz="4" w:color="E1E6EE" w:space="8"/>
          <w:left w:val="single" w:sz="4" w:color="E1E6EE" w:space="8"/>
          <w:bottom w:val="single" w:sz="4" w:color="E1E6EE" w:space="8"/>
          <w:right w:val="single" w:sz="4" w:color="E1E6EE" w:space="8"/>
        </w:pBdr>
      </w:pPr>
      <w:r>
        <w:rPr>
          <w:rFonts w:ascii="Microsoft YaHei" w:hAnsi="Microsoft YaHei" w:eastAsia="Microsoft YaHei"/>
          <w:b/>
          <w:color w:val="0B2545"/>
          <w:sz w:val="22"/>
        </w:rPr>
        <w:t>核心判断</w:t>
      </w:r>
      <w:r>
        <w:br/>
      </w:r>
      <w:r>
        <w:rPr>
          <w:rFonts w:ascii="Microsoft YaHei" w:hAnsi="Microsoft YaHei" w:eastAsia="Microsoft YaHei"/>
          <w:b w:val="0"/>
          <w:color w:val="202124"/>
          <w:sz w:val="22"/>
        </w:rPr>
        <w:t>十年变化表现为科技政策目标从增长与创新效率扩展到转型、韧性与安全，政策工具由通用投入转向使命、关键产业、供应链和研究安全；国际合作被改写为可选择、可审查、可治理的互赖。</w:t>
      </w:r>
    </w:p>
    <w:p>
      <w:pPr>
        <w:pStyle w:val="Heading1"/>
      </w:pPr>
      <w:r>
        <w:t>国际主要科技智库十年科技战略议程的目标重排与工具硬化（2016—2026）</w:t>
      </w:r>
    </w:p>
    <w:p>
      <w:pPr>
        <w:pStyle w:val="Heading1"/>
      </w:pPr>
      <w:r>
        <w:t>摘要</w:t>
      </w:r>
    </w:p>
    <w:p>
      <w:pPr>
        <w:ind w:firstLine="403"/>
      </w:pPr>
      <w:r>
        <w:rPr>
          <w:rFonts w:ascii="Microsoft YaHei" w:hAnsi="Microsoft YaHei" w:eastAsia="Microsoft YaHei"/>
          <w:b w:val="0"/>
          <w:color w:val="202124"/>
          <w:sz w:val="22"/>
        </w:rPr>
        <w:t>过去十年，国际主要科技智库确实发生了可识别的战略重心迁移，但“开放创新被科技安全取代”不足以概括这一变化。跨机构证据显示，科技政策的目标函数由增长、生产率和创新扩散，扩展为增长、社会转型、产业韧性与国家安全并列；政府工具由通用研发投入、营商环境和国际规则，扩展到使命导向、关键产业、规模化融资、供应链多元化、投资审查、出口管制、研究安全和同盟协作。开放合作持续存在，其制度形态被改写为有边界、有对象选择、接受风险审查的“受控互赖”。</w:t>
      </w:r>
    </w:p>
    <w:p>
      <w:pPr>
        <w:ind w:firstLine="403"/>
      </w:pPr>
      <w:r>
        <w:rPr>
          <w:rFonts w:ascii="Microsoft YaHei" w:hAnsi="Microsoft YaHei" w:eastAsia="Microsoft YaHei"/>
          <w:b w:val="0"/>
          <w:color w:val="202124"/>
          <w:sz w:val="22"/>
        </w:rPr>
        <w:t>变化发生于三个阶段。2016—2018年，开放科学、国际合作和创新生态仍是默认框架，关键能力、使命导向和竞争性国家角色已经存在。2019—2021年，中美技术竞争、数字平台集中、半导体依赖和疫情冲击共同推动政策从生态培育转向定向能力建设。2022—2026年，科技安全化、供应链依赖和研究安全成为常设议程，政策工具明显硬化；与此同时，OECD、Carnegie、Chatham House、RAND、Bruegel和CSIS等持续限制安全化的外推，反对全面脱钩或自给自足。</w:t>
      </w:r>
    </w:p>
    <w:p>
      <w:pPr>
        <w:ind w:firstLine="403"/>
      </w:pPr>
      <w:r>
        <w:rPr>
          <w:rFonts w:ascii="Microsoft YaHei" w:hAnsi="Microsoft YaHei" w:eastAsia="Microsoft YaHei"/>
          <w:b w:val="0"/>
          <w:color w:val="202124"/>
          <w:sz w:val="22"/>
        </w:rPr>
        <w:t>因此，最符合证据的解释是“旧观点主流化和工具化”与“机构分化”并存。少数美国机构把科技竞争提升为国家力量和零和竞争；多边、欧洲及部分美国机构则寻求相称管制、韧性合作与可治理依赖。所谓战略转向，是政策目标的重排、工具的硬化和互赖条件的重写，尚未形成跨机构统一的理论范式。</w:t>
      </w:r>
    </w:p>
    <w:p>
      <w:pPr>
        <w:pStyle w:val="Heading1"/>
      </w:pPr>
      <w:r>
        <w:t>一、研究对象与证据边界</w:t>
      </w:r>
    </w:p>
    <w:p>
      <w:pPr>
        <w:ind w:firstLine="403"/>
      </w:pPr>
      <w:r>
        <w:rPr>
          <w:rFonts w:ascii="Microsoft YaHei" w:hAnsi="Microsoft YaHei" w:eastAsia="Microsoft YaHei"/>
          <w:b w:val="0"/>
          <w:color w:val="202124"/>
          <w:sz w:val="22"/>
        </w:rPr>
        <w:t>本研究选取11个具有代表性的机构或机构项目：OECD、ITIF、CSIS、Chatham House、Carnegie Endowment、Fraunhofer ISI、NISTEP、JST/CRDS、Bruegel、RAND和ASPI。样本覆盖多边组织、美国、英国、德国、欧盟、日本和澳大利亚，兼顾综合战略型、创新政策型、政府研究型和安全战略型机构。</w:t>
      </w:r>
    </w:p>
    <w:p>
      <w:pPr>
        <w:ind w:firstLine="403"/>
      </w:pPr>
      <w:r>
        <w:rPr>
          <w:rFonts w:ascii="Microsoft YaHei" w:hAnsi="Microsoft YaHei" w:eastAsia="Microsoft YaHei"/>
          <w:b w:val="0"/>
          <w:color w:val="202124"/>
          <w:sz w:val="22"/>
        </w:rPr>
        <w:t>材料目录共154条，其中49条为本轮补充的官方锚点，105条来自既有档案中的正式报告、研究报告、论文、政策简报或战略文本。时间分布为2016—2018年12条、2019—2021年15条、2022—2026年127条。后期材料明显过密，因此研究没有采用简单词频比较；核心结论依赖同一机构、同一旗舰系列或同类议题的前后比较，并对机构群体构成变化作单独处理。</w:t>
      </w:r>
    </w:p>
    <w:p>
      <w:pPr>
        <w:ind w:firstLine="403"/>
      </w:pPr>
      <w:r>
        <w:rPr>
          <w:rFonts w:ascii="Microsoft YaHei" w:hAnsi="Microsoft YaHei" w:eastAsia="Microsoft YaHei"/>
          <w:b w:val="0"/>
          <w:color w:val="202124"/>
          <w:sz w:val="22"/>
        </w:rPr>
        <w:t>观点归因分为三级：L3是旗舰系列或明确组织立场；L2是研究中心、正式项目或编辑统合文本；L1是署名作者报告。Bruegel、RAND、Carnegie和CSIS的多数材料只归因于作者或项目，不自动上升为全机构立场。ASPI Critical Technology Tracker在2022年前后形成项目影响力，主要用于识别安全型新进入者对总体话语的放大效应。</w:t>
      </w:r>
    </w:p>
    <w:p>
      <w:pPr>
        <w:ind w:firstLine="403"/>
      </w:pPr>
      <w:r>
        <w:rPr>
          <w:rFonts w:ascii="Microsoft YaHei" w:hAnsi="Microsoft YaHei" w:eastAsia="Microsoft YaHei"/>
          <w:b w:val="0"/>
          <w:color w:val="202124"/>
          <w:sz w:val="22"/>
        </w:rPr>
        <w:t>研究设计保留五种竞争性解释：H0，无共同转向；H1，存在跨机构共同转向；H2，机构位置分化；H3，变化由具体技术议题驱动；H4，早期观点在后期主流化和工具化。材料支持H4与H2，H3构成重要限定，H0仍被连续性机构部分保留。由于严格三期连续覆盖尚未达到原方案设定的全部阈值，本文不使用“全球智库共识”或“统一范式革命”等表述。</w:t>
      </w:r>
    </w:p>
    <w:p>
      <w:pPr>
        <w:pStyle w:val="Heading1"/>
      </w:pPr>
      <w:r>
        <w:t>二、第一阶段：开放创新框架中的战略国家（2016—2018）</w:t>
      </w:r>
    </w:p>
    <w:p>
      <w:pPr>
        <w:ind w:firstLine="403"/>
      </w:pPr>
      <w:r>
        <w:rPr>
          <w:rFonts w:ascii="Microsoft YaHei" w:hAnsi="Microsoft YaHei" w:eastAsia="Microsoft YaHei"/>
          <w:b w:val="0"/>
          <w:color w:val="202124"/>
          <w:sz w:val="22"/>
        </w:rPr>
        <w:t>2016年前后的主导语言是创新、增长、政策组合与开放。OECD《Science, Technology and Innovation Outlook 2016》讨论企业研发、公共研究约束、政策效率、开放科学和国际合作，政策问题主要表现为如何提高创新体系的产出与扩散能力。</w:t>
      </w:r>
      <w:hyperlink r:id="rId11">
        <w:r>
          <w:rPr>
            <w:color w:val="2E74B5"/>
            <w:u w:val="single"/>
          </w:rPr>
          <w:t>OECD 2016官方PDF</w:t>
        </w:r>
      </w:hyperlink>
      <w:r>
        <w:rPr>
          <w:rFonts w:ascii="Microsoft YaHei" w:hAnsi="Microsoft YaHei" w:eastAsia="Microsoft YaHei"/>
          <w:b w:val="0"/>
          <w:color w:val="202124"/>
          <w:sz w:val="22"/>
        </w:rPr>
        <w:t xml:space="preserve"> Chatham House参与的《Navigating the New Normal》把跨境创新合作、共同协议与标准视为应对全球风险的必要条件。NISTEP的《Japanese Science and Technology Indicators》则长期以研发投入、研究人员、论文和专利测量国家科技能力，构成相对稳定的政策认知基础。</w:t>
      </w:r>
      <w:hyperlink r:id="rId12">
        <w:r>
          <w:rPr>
            <w:color w:val="2E74B5"/>
            <w:u w:val="single"/>
          </w:rPr>
          <w:t>NISTEP指标系列</w:t>
        </w:r>
      </w:hyperlink>
    </w:p>
    <w:p>
      <w:pPr>
        <w:ind w:firstLine="403"/>
      </w:pPr>
      <w:r>
        <w:rPr>
          <w:rFonts w:ascii="Microsoft YaHei" w:hAnsi="Microsoft YaHei" w:eastAsia="Microsoft YaHei"/>
          <w:b w:val="0"/>
          <w:color w:val="202124"/>
          <w:sz w:val="22"/>
        </w:rPr>
        <w:t>这一阶段不能被描述为战略性国家角色的缺席。ITIF在2016年已经按照各国对全球创新体系的“贡献”与“损害”进行排名，把中国的创新重商主义视为系统性问题。</w:t>
      </w:r>
      <w:hyperlink r:id="rId13">
        <w:r>
          <w:rPr>
            <w:color w:val="2E74B5"/>
            <w:u w:val="single"/>
          </w:rPr>
          <w:t>ITIF 2016报告</w:t>
        </w:r>
      </w:hyperlink>
      <w:r>
        <w:rPr>
          <w:rFonts w:ascii="Microsoft YaHei" w:hAnsi="Microsoft YaHei" w:eastAsia="Microsoft YaHei"/>
          <w:b w:val="0"/>
          <w:color w:val="202124"/>
          <w:sz w:val="22"/>
        </w:rPr>
        <w:t xml:space="preserve"> CSIS在2018年提出国家机器智能战略，覆盖研发投资、产业专长、社会影响和国际竞争。</w:t>
      </w:r>
      <w:hyperlink r:id="rId14">
        <w:r>
          <w:rPr>
            <w:color w:val="2E74B5"/>
            <w:u w:val="single"/>
          </w:rPr>
          <w:t>CSIS 2018报告</w:t>
        </w:r>
      </w:hyperlink>
      <w:r>
        <w:rPr>
          <w:rFonts w:ascii="Microsoft YaHei" w:hAnsi="Microsoft YaHei" w:eastAsia="Microsoft YaHei"/>
          <w:b w:val="0"/>
          <w:color w:val="202124"/>
          <w:sz w:val="22"/>
        </w:rPr>
        <w:t xml:space="preserve"> OECD 2018年旗舰报告也开始系统讨论使命导向、敏捷治理、负责任创新和对技术变化进行方向设定。</w:t>
      </w:r>
      <w:hyperlink r:id="rId15">
        <w:r>
          <w:rPr>
            <w:color w:val="2E74B5"/>
            <w:u w:val="single"/>
          </w:rPr>
          <w:t>OECD 2018报告</w:t>
        </w:r>
      </w:hyperlink>
    </w:p>
    <w:p>
      <w:pPr>
        <w:ind w:firstLine="403"/>
      </w:pPr>
      <w:r>
        <w:rPr>
          <w:rFonts w:ascii="Microsoft YaHei" w:hAnsi="Microsoft YaHei" w:eastAsia="Microsoft YaHei"/>
          <w:b w:val="0"/>
          <w:color w:val="202124"/>
          <w:sz w:val="22"/>
        </w:rPr>
        <w:t>这一阶段的理论结构可以概括为：市场和开放网络负责发现与扩散，政府负责修复失灵、建设公共科研能力、协调规则和提升政策组合效率。竞争、安全和方向设定已经存在，但尚未成为统摄其他目标的常设约束。后期出现的使命、关键能力和技术竞争具有明确的早期先例。</w:t>
      </w:r>
    </w:p>
    <w:p>
      <w:pPr>
        <w:pStyle w:val="Heading1"/>
      </w:pPr>
      <w:r>
        <w:t>三、第二阶段：从创新生态到定向能力建设（2019—2021）</w:t>
      </w:r>
    </w:p>
    <w:p>
      <w:pPr>
        <w:ind w:firstLine="403"/>
      </w:pPr>
      <w:r>
        <w:rPr>
          <w:rFonts w:ascii="Microsoft YaHei" w:hAnsi="Microsoft YaHei" w:eastAsia="Microsoft YaHei"/>
          <w:b w:val="0"/>
          <w:color w:val="202124"/>
          <w:sz w:val="22"/>
        </w:rPr>
        <w:t>2019—2021年的关键变化，是科技政策的评价对象从一般创新环境转向可被识别、测量和支持的战略能力。中国技术崛起、数字平台、半导体集中和疫情冲击，使“提高总体创新效率”难以覆盖供应中断、规模化失败和竞争性依赖等问题。</w:t>
      </w:r>
    </w:p>
    <w:p>
      <w:pPr>
        <w:ind w:firstLine="403"/>
      </w:pPr>
      <w:r>
        <w:rPr>
          <w:rFonts w:ascii="Microsoft YaHei" w:hAnsi="Microsoft YaHei" w:eastAsia="Microsoft YaHei"/>
          <w:b w:val="0"/>
          <w:color w:val="202124"/>
          <w:sz w:val="22"/>
        </w:rPr>
        <w:t>ITIF 2020年直接主张国家产业战略，认为市场与通用要素投入不能保证先进可贸易部门的国内能力，政策需要覆盖研发、规模化融资、生产和国际竞争，并与盟友协调。</w:t>
      </w:r>
      <w:hyperlink r:id="rId16">
        <w:r>
          <w:rPr>
            <w:color w:val="2E74B5"/>
            <w:u w:val="single"/>
          </w:rPr>
          <w:t>ITIF 2020报告</w:t>
        </w:r>
      </w:hyperlink>
      <w:r>
        <w:rPr>
          <w:rFonts w:ascii="Microsoft YaHei" w:hAnsi="Microsoft YaHei" w:eastAsia="Microsoft YaHei"/>
          <w:b w:val="0"/>
          <w:color w:val="202124"/>
          <w:sz w:val="22"/>
        </w:rPr>
        <w:t xml:space="preserve"> CSIS同年提出从传统产业政策转向关键技术创新战略，要求政府在技术选择、研发投资与商业化之间发挥更积极作用。</w:t>
      </w:r>
      <w:hyperlink r:id="rId17">
        <w:r>
          <w:rPr>
            <w:color w:val="2E74B5"/>
            <w:u w:val="single"/>
          </w:rPr>
          <w:t>CSIS 2020报告</w:t>
        </w:r>
      </w:hyperlink>
    </w:p>
    <w:p>
      <w:pPr>
        <w:ind w:firstLine="403"/>
      </w:pPr>
      <w:r>
        <w:rPr>
          <w:rFonts w:ascii="Microsoft YaHei" w:hAnsi="Microsoft YaHei" w:eastAsia="Microsoft YaHei"/>
          <w:b w:val="0"/>
          <w:color w:val="202124"/>
          <w:sz w:val="22"/>
        </w:rPr>
        <w:t>欧洲材料显示相似变化，但其理论来源不完全相同。Fraunhofer ISI将使命导向创新政策放入德国高技术战略的执行过程，关注跨部门协调、利益相关者参与、政策组合和实施瓶颈。使命政策的中心问题并非单纯对外竞争，而是如何使科技创新对气候、健康和社会转型承担方向性责任。Bruegel 2021年在半导体议题中讨论欧盟层面的产业能力、投资审查、国家补贴与协调，说明产业政策已经进入过去更强调竞争政策和开放市场的欧洲政策空间。</w:t>
      </w:r>
    </w:p>
    <w:p>
      <w:pPr>
        <w:ind w:firstLine="403"/>
      </w:pPr>
      <w:r>
        <w:rPr>
          <w:rFonts w:ascii="Microsoft YaHei" w:hAnsi="Microsoft YaHei" w:eastAsia="Microsoft YaHei"/>
          <w:b w:val="0"/>
          <w:color w:val="202124"/>
          <w:sz w:val="22"/>
        </w:rPr>
        <w:t>OECD 2021年旗舰报告为这一阶段提供多边组织层面的概括：疫情揭示科技体系的关键作用，也暴露国际协调、科研资助结构和政策响应的局限；科技创新政策需要承担韧性和转型任务，使命导向与国际合作同时加强。</w:t>
      </w:r>
      <w:hyperlink r:id="rId18">
        <w:r>
          <w:rPr>
            <w:color w:val="2E74B5"/>
            <w:u w:val="single"/>
          </w:rPr>
          <w:t>OECD 2021报告</w:t>
        </w:r>
      </w:hyperlink>
    </w:p>
    <w:p>
      <w:pPr>
        <w:ind w:firstLine="403"/>
      </w:pPr>
      <w:r>
        <w:rPr>
          <w:rFonts w:ascii="Microsoft YaHei" w:hAnsi="Microsoft YaHei" w:eastAsia="Microsoft YaHei"/>
          <w:b w:val="0"/>
          <w:color w:val="202124"/>
          <w:sz w:val="22"/>
        </w:rPr>
        <w:t>由此形成第二阶段的政策机制：政府不再只提供通用条件，还要识别任务、组织组合、弥补规模化融资缺口、维持关键生产能力并协调跨境伙伴。产业政策复归的实质，是国家对能力形成过程承担更具体的责任。不同机构仍存在显著差异：ITIF以对华竞争和先进产业为中心，Fraunhofer以社会挑战和使命治理为中心，OECD则试图把韧性、转型与国际合作纳入同一政策框架。</w:t>
      </w:r>
    </w:p>
    <w:p>
      <w:pPr>
        <w:pStyle w:val="Heading1"/>
      </w:pPr>
      <w:r>
        <w:t>四、第三阶段：安全化与互赖条件的重写（2022—2026）</w:t>
      </w:r>
    </w:p>
    <w:p>
      <w:pPr>
        <w:ind w:firstLine="403"/>
      </w:pPr>
      <w:r>
        <w:rPr>
          <w:rFonts w:ascii="Microsoft YaHei" w:hAnsi="Microsoft YaHei" w:eastAsia="Microsoft YaHei"/>
          <w:b w:val="0"/>
          <w:color w:val="202124"/>
          <w:sz w:val="22"/>
        </w:rPr>
        <w:t>2022年后，“依赖”由经济结构事实变成需要主动治理的战略变量。半导体、关键矿产、人工智能、5G、清洁技术和科研合作都被纳入风险识别。政策工具随之硬化：供应链多元化、投资审查、出口管制、研究安全、可信供应商、同盟协作和战略情报从例外工具变成常设选项。</w:t>
      </w:r>
    </w:p>
    <w:p>
      <w:pPr>
        <w:ind w:firstLine="403"/>
      </w:pPr>
      <w:r>
        <w:rPr>
          <w:rFonts w:ascii="Microsoft YaHei" w:hAnsi="Microsoft YaHei" w:eastAsia="Microsoft YaHei"/>
          <w:b w:val="0"/>
          <w:color w:val="202124"/>
          <w:sz w:val="22"/>
        </w:rPr>
        <w:t>OECD 2023年旗舰报告直接使用科技政策“安全化”概念，指出降低依赖、限制技术流动和构建同道伙伴关系与全球合作之间存在结构性张力。</w:t>
      </w:r>
      <w:hyperlink r:id="rId19">
        <w:r>
          <w:rPr>
            <w:color w:val="2E74B5"/>
            <w:u w:val="single"/>
          </w:rPr>
          <w:t>OECD 2023报告</w:t>
        </w:r>
      </w:hyperlink>
      <w:r>
        <w:rPr>
          <w:rFonts w:ascii="Microsoft YaHei" w:hAnsi="Microsoft YaHei" w:eastAsia="Microsoft YaHei"/>
          <w:b w:val="0"/>
          <w:color w:val="202124"/>
          <w:sz w:val="22"/>
        </w:rPr>
        <w:t xml:space="preserve"> 到2025年，OECD进一步提出研究安全措施必须精确、相称，并由科研界、企业和政府共同塑造，同时维护开放科学和研究自主。</w:t>
      </w:r>
      <w:hyperlink r:id="rId20">
        <w:r>
          <w:rPr>
            <w:color w:val="2E74B5"/>
            <w:u w:val="single"/>
          </w:rPr>
          <w:t>OECD 2025报告</w:t>
        </w:r>
      </w:hyperlink>
      <w:r>
        <w:rPr>
          <w:rFonts w:ascii="Microsoft YaHei" w:hAnsi="Microsoft YaHei" w:eastAsia="Microsoft YaHei"/>
          <w:b w:val="0"/>
          <w:color w:val="202124"/>
          <w:sz w:val="22"/>
        </w:rPr>
        <w:t xml:space="preserve"> 这说明安全已成为制度目标，但其合法性依赖于边界控制。</w:t>
      </w:r>
    </w:p>
    <w:p>
      <w:pPr>
        <w:ind w:firstLine="403"/>
      </w:pPr>
      <w:r>
        <w:rPr>
          <w:rFonts w:ascii="Microsoft YaHei" w:hAnsi="Microsoft YaHei" w:eastAsia="Microsoft YaHei"/>
          <w:b w:val="0"/>
          <w:color w:val="202124"/>
          <w:sz w:val="22"/>
        </w:rPr>
        <w:t>ITIF代表了安全化的强硬上界。其2026年“Mobilizing for Techno-Economic War”报告把中美关系定义为技术—经济—贸易战争，把先进可贸易部门称为“国家力量产业”，认为市场只会偶然产生国家力量所需能力，提出国家力量产业战略、盟友联合以及“国家力量资本主义”。</w:t>
      </w:r>
      <w:hyperlink r:id="rId21">
        <w:r>
          <w:rPr>
            <w:color w:val="2E74B5"/>
            <w:u w:val="single"/>
          </w:rPr>
          <w:t>ITIF 2026报告</w:t>
        </w:r>
      </w:hyperlink>
      <w:r>
        <w:rPr>
          <w:rFonts w:ascii="Microsoft YaHei" w:hAnsi="Microsoft YaHei" w:eastAsia="Microsoft YaHei"/>
          <w:b w:val="0"/>
          <w:color w:val="202124"/>
          <w:sz w:val="22"/>
        </w:rPr>
        <w:t xml:space="preserve"> 与2020年相比，变化不仅是工具增加，评价标准也从增长与竞争力进一步转向军事能力、战略独立和全球力量地位。</w:t>
      </w:r>
    </w:p>
    <w:p>
      <w:pPr>
        <w:ind w:firstLine="403"/>
      </w:pPr>
      <w:r>
        <w:rPr>
          <w:rFonts w:ascii="Microsoft YaHei" w:hAnsi="Microsoft YaHei" w:eastAsia="Microsoft YaHei"/>
          <w:b w:val="0"/>
          <w:color w:val="202124"/>
          <w:sz w:val="22"/>
        </w:rPr>
        <w:t>ASPI的Critical Technology Tracker以44项关键技术的高影响力研究产出测量领先度，认为中国在多数领域领先，并提出联盟协作、人才吸引、情报能力和高风险“登月项目”。</w:t>
      </w:r>
      <w:hyperlink r:id="rId22">
        <w:r>
          <w:rPr>
            <w:color w:val="2E74B5"/>
            <w:u w:val="single"/>
          </w:rPr>
          <w:t>ASPI Critical Technology Tracker</w:t>
        </w:r>
      </w:hyperlink>
      <w:r>
        <w:rPr>
          <w:rFonts w:ascii="Microsoft YaHei" w:hAnsi="Microsoft YaHei" w:eastAsia="Microsoft YaHei"/>
          <w:b w:val="0"/>
          <w:color w:val="202124"/>
          <w:sz w:val="22"/>
        </w:rPr>
        <w:t xml:space="preserve"> 该项目显著增强了全球科技讨论中的竞赛语言，但其研究在2022年前后启动，更多体现安全型项目进入样本后的构成变化，不能作为ASPI或全部智库十年内同步转向的充分证据。</w:t>
      </w:r>
    </w:p>
    <w:p>
      <w:pPr>
        <w:ind w:firstLine="403"/>
      </w:pPr>
      <w:r>
        <w:rPr>
          <w:rFonts w:ascii="Microsoft YaHei" w:hAnsi="Microsoft YaHei" w:eastAsia="Microsoft YaHei"/>
          <w:b w:val="0"/>
          <w:color w:val="202124"/>
          <w:sz w:val="22"/>
        </w:rPr>
        <w:t>Fraunhofer ISI 2026年关于“安全作为挑战导向创新政策新目标”的讨论，为这一阶段提供了更具分析力的解释。安全没有取代经济增长和可持续转型，而是叠加到既有目标之上，产生预算、开放、速度、合法性和国际合作方面的协同与张力。JST/CRDS也把科技政策安全化列为全球趋势，同时通过负责任创新和科技外交协调国家利益、社会价值和全球问题。</w:t>
      </w:r>
      <w:hyperlink r:id="rId23">
        <w:r>
          <w:rPr>
            <w:color w:val="2E74B5"/>
            <w:u w:val="single"/>
          </w:rPr>
          <w:t>JST/CRDS出版目录</w:t>
        </w:r>
      </w:hyperlink>
    </w:p>
    <w:p>
      <w:pPr>
        <w:pStyle w:val="Heading1"/>
      </w:pPr>
      <w:r>
        <w:t>五、受控互赖：安全化的边界校正</w:t>
      </w:r>
    </w:p>
    <w:p>
      <w:pPr>
        <w:ind w:firstLine="403"/>
      </w:pPr>
      <w:r>
        <w:rPr>
          <w:rFonts w:ascii="Microsoft YaHei" w:hAnsi="Microsoft YaHei" w:eastAsia="Microsoft YaHei"/>
          <w:b w:val="0"/>
          <w:color w:val="202124"/>
          <w:sz w:val="22"/>
        </w:rPr>
        <w:t>如果只观察ITIF和ASPI，容易得到“开放创新终结、科技政策全面进入零和竞争”的结论。跨机构材料不支持这一判断。</w:t>
      </w:r>
    </w:p>
    <w:p>
      <w:pPr>
        <w:ind w:firstLine="403"/>
      </w:pPr>
      <w:r>
        <w:rPr>
          <w:rFonts w:ascii="Microsoft YaHei" w:hAnsi="Microsoft YaHei" w:eastAsia="Microsoft YaHei"/>
          <w:b w:val="0"/>
          <w:color w:val="202124"/>
          <w:sz w:val="22"/>
        </w:rPr>
        <w:t>Carnegie 2022年承认中美部分技术脱钩正在发生，同时警告失控脱钩会损害创新、企业与危机稳定，建议把管制限定在少数高风险技术，并设置高门槛、跨部门评估和可校准机制。</w:t>
      </w:r>
      <w:hyperlink r:id="rId24">
        <w:r>
          <w:rPr>
            <w:color w:val="2E74B5"/>
            <w:u w:val="single"/>
          </w:rPr>
          <w:t>Carnegie 2022报告</w:t>
        </w:r>
      </w:hyperlink>
      <w:r>
        <w:rPr>
          <w:rFonts w:ascii="Microsoft YaHei" w:hAnsi="Microsoft YaHei" w:eastAsia="Microsoft YaHei"/>
          <w:b w:val="0"/>
          <w:color w:val="202124"/>
          <w:sz w:val="22"/>
        </w:rPr>
        <w:t xml:space="preserve"> Chatham House对半导体供应链的研究主张多元化，但指出完整自主既不可实现，也可能因成本、规模和复杂分工而适得其反。</w:t>
      </w:r>
      <w:hyperlink r:id="rId25">
        <w:r>
          <w:rPr>
            <w:color w:val="2E74B5"/>
            <w:u w:val="single"/>
          </w:rPr>
          <w:t>Chatham House 2022报告</w:t>
        </w:r>
      </w:hyperlink>
      <w:r>
        <w:rPr>
          <w:rFonts w:ascii="Microsoft YaHei" w:hAnsi="Microsoft YaHei" w:eastAsia="Microsoft YaHei"/>
          <w:b w:val="0"/>
          <w:color w:val="202124"/>
          <w:sz w:val="22"/>
        </w:rPr>
        <w:t xml:space="preserve"> 其2025年数字公共基础设施报告进一步把主权解释为建设、选择和塑造依赖技术的能力，而非拥有所有技术组件。</w:t>
      </w:r>
    </w:p>
    <w:p>
      <w:pPr>
        <w:ind w:firstLine="403"/>
      </w:pPr>
      <w:r>
        <w:rPr>
          <w:rFonts w:ascii="Microsoft YaHei" w:hAnsi="Microsoft YaHei" w:eastAsia="Microsoft YaHei"/>
          <w:b w:val="0"/>
          <w:color w:val="202124"/>
          <w:sz w:val="22"/>
        </w:rPr>
        <w:t>CSIS 2026年将中国高技术驱动视为战略力量，同时提出“校准耦合”：对关键风险设置边界，继续利用研究、市场和供应链联系的收益。</w:t>
      </w:r>
      <w:hyperlink r:id="rId26">
        <w:r>
          <w:rPr>
            <w:color w:val="2E74B5"/>
            <w:u w:val="single"/>
          </w:rPr>
          <w:t>CSIS 2026报告</w:t>
        </w:r>
      </w:hyperlink>
      <w:r>
        <w:rPr>
          <w:rFonts w:ascii="Microsoft YaHei" w:hAnsi="Microsoft YaHei" w:eastAsia="Microsoft YaHei"/>
          <w:b w:val="0"/>
          <w:color w:val="202124"/>
          <w:sz w:val="22"/>
        </w:rPr>
        <w:t xml:space="preserve"> RAND的材料则从政策效果侧构成反证：2022年研究发现企业对高成本脱钩和供应链迁移存在现实约束；2024年报告系统评估2017—2024年美国对华限制性经济政策，核心问题转为政策是否达成目标、产生何种替代效应和成本。</w:t>
      </w:r>
    </w:p>
    <w:p>
      <w:pPr>
        <w:ind w:firstLine="403"/>
      </w:pPr>
      <w:r>
        <w:rPr>
          <w:rFonts w:ascii="Microsoft YaHei" w:hAnsi="Microsoft YaHei" w:eastAsia="Microsoft YaHei"/>
          <w:b w:val="0"/>
          <w:color w:val="202124"/>
          <w:sz w:val="22"/>
        </w:rPr>
        <w:t>Bruegel 2024年政策简报明确描述俄乌冲突后欧洲从经济效率和开放贸易转向经济安全，同时要求抵制内向保护主义，通过绿色外交、国际伙伴关系和多元供应维持转型能力。其意义在于，战略自主并不等于封闭；它要求在依赖不可消除的条件下分散脆弱性、保留选择权并增强谈判能力。</w:t>
      </w:r>
    </w:p>
    <w:p>
      <w:pPr>
        <w:ind w:firstLine="403"/>
      </w:pPr>
      <w:r>
        <w:rPr>
          <w:rFonts w:ascii="Microsoft YaHei" w:hAnsi="Microsoft YaHei" w:eastAsia="Microsoft YaHei"/>
          <w:b w:val="0"/>
          <w:color w:val="202124"/>
          <w:sz w:val="22"/>
        </w:rPr>
        <w:t>这些材料共同形成“受控互赖”的中间位置：</w:t>
      </w:r>
    </w:p>
    <w:p>
      <w:pPr>
        <w:pStyle w:val="ListNumber"/>
      </w:pPr>
      <w:r>
        <w:rPr>
          <w:rFonts w:ascii="Microsoft YaHei" w:hAnsi="Microsoft YaHei" w:eastAsia="Microsoft YaHei"/>
          <w:b w:val="0"/>
          <w:color w:val="202124"/>
          <w:sz w:val="22"/>
        </w:rPr>
        <w:t>承认技术、产业和科研网络具有不可消除的跨境依赖；</w:t>
      </w:r>
    </w:p>
    <w:p>
      <w:pPr>
        <w:pStyle w:val="ListNumber"/>
      </w:pPr>
      <w:r>
        <w:rPr>
          <w:rFonts w:ascii="Microsoft YaHei" w:hAnsi="Microsoft YaHei" w:eastAsia="Microsoft YaHei"/>
          <w:b w:val="0"/>
          <w:color w:val="202124"/>
          <w:sz w:val="22"/>
        </w:rPr>
        <w:t>对少数高风险技术、主体和用途实施精确管制；</w:t>
      </w:r>
    </w:p>
    <w:p>
      <w:pPr>
        <w:pStyle w:val="ListNumber"/>
      </w:pPr>
      <w:r>
        <w:rPr>
          <w:rFonts w:ascii="Microsoft YaHei" w:hAnsi="Microsoft YaHei" w:eastAsia="Microsoft YaHei"/>
          <w:b w:val="0"/>
          <w:color w:val="202124"/>
          <w:sz w:val="22"/>
        </w:rPr>
        <w:t>通过多元化、冗余、盟友协作和国内能力降低单点脆弱性；</w:t>
      </w:r>
    </w:p>
    <w:p>
      <w:pPr>
        <w:pStyle w:val="ListNumber"/>
      </w:pPr>
      <w:r>
        <w:rPr>
          <w:rFonts w:ascii="Microsoft YaHei" w:hAnsi="Microsoft YaHei" w:eastAsia="Microsoft YaHei"/>
          <w:b w:val="0"/>
          <w:color w:val="202124"/>
          <w:sz w:val="22"/>
        </w:rPr>
        <w:t>保留开放科学、市场规模和国际合作带来的创新收益；</w:t>
      </w:r>
    </w:p>
    <w:p>
      <w:pPr>
        <w:pStyle w:val="ListNumber"/>
      </w:pPr>
      <w:r>
        <w:rPr>
          <w:rFonts w:ascii="Microsoft YaHei" w:hAnsi="Microsoft YaHei" w:eastAsia="Microsoft YaHei"/>
          <w:b w:val="0"/>
          <w:color w:val="202124"/>
          <w:sz w:val="22"/>
        </w:rPr>
        <w:t>对安全工具进行成本、有效性、比例性和外溢影响评估。</w:t>
      </w:r>
    </w:p>
    <w:p>
      <w:pPr>
        <w:pStyle w:val="Heading1"/>
      </w:pPr>
      <w:r>
        <w:t>六、机构分化：同一转向中的不同战略位置</w:t>
      </w:r>
    </w:p>
    <w:p>
      <w:pPr>
        <w:pStyle w:val="Heading2"/>
      </w:pPr>
      <w:r>
        <w:t>1. 竞争性国家能力路线</w:t>
      </w:r>
    </w:p>
    <w:p>
      <w:pPr>
        <w:ind w:firstLine="403"/>
      </w:pPr>
      <w:r>
        <w:rPr>
          <w:rFonts w:ascii="Microsoft YaHei" w:hAnsi="Microsoft YaHei" w:eastAsia="Microsoft YaHei"/>
          <w:b w:val="0"/>
          <w:color w:val="202124"/>
          <w:sz w:val="22"/>
        </w:rPr>
        <w:t>ITIF最接近完整的范式转向：市场效率不足以成为最终标准，先进产业能力直接服务于国家力量。ASPI通过领先度追踪和联盟政策强化技术竞赛。CSIS部分材料接近这一位置，但保留校准耦合和风险分层。</w:t>
      </w:r>
    </w:p>
    <w:p>
      <w:pPr>
        <w:pStyle w:val="Heading2"/>
      </w:pPr>
      <w:r>
        <w:t>2. 使命—韧性—安全叠加路线</w:t>
      </w:r>
    </w:p>
    <w:p>
      <w:pPr>
        <w:ind w:firstLine="403"/>
      </w:pPr>
      <w:r>
        <w:rPr>
          <w:rFonts w:ascii="Microsoft YaHei" w:hAnsi="Microsoft YaHei" w:eastAsia="Microsoft YaHei"/>
          <w:b w:val="0"/>
          <w:color w:val="202124"/>
          <w:sz w:val="22"/>
        </w:rPr>
        <w:t>OECD和Fraunhofer ISI把安全纳入既有的使命、转型和创新体系，重点是如何协调多目标、保持政策合法性并避免安全目标吞噬开放科学与社会挑战。JST/CRDS的负责任创新和科技外交也属于这一位置。</w:t>
      </w:r>
    </w:p>
    <w:p>
      <w:pPr>
        <w:pStyle w:val="Heading2"/>
      </w:pPr>
      <w:r>
        <w:t>3. 可治理依赖与政策效果路线</w:t>
      </w:r>
    </w:p>
    <w:p>
      <w:pPr>
        <w:ind w:firstLine="403"/>
      </w:pPr>
      <w:r>
        <w:rPr>
          <w:rFonts w:ascii="Microsoft YaHei" w:hAnsi="Microsoft YaHei" w:eastAsia="Microsoft YaHei"/>
          <w:b w:val="0"/>
          <w:color w:val="202124"/>
          <w:sz w:val="22"/>
        </w:rPr>
        <w:t>Carnegie、Chatham House、RAND和Bruegel承认依赖风险与能力缺口，但把重点放在管制边界、政策成本、伙伴关系和替代效应。这些机构并不否认战略竞争，而是反对把竞争诊断直接转化为无限扩张的限制工具。</w:t>
      </w:r>
    </w:p>
    <w:p>
      <w:pPr>
        <w:pStyle w:val="Heading2"/>
      </w:pPr>
      <w:r>
        <w:t>4. 连续性能力测量路线</w:t>
      </w:r>
    </w:p>
    <w:p>
      <w:pPr>
        <w:ind w:firstLine="403"/>
      </w:pPr>
      <w:r>
        <w:rPr>
          <w:rFonts w:ascii="Microsoft YaHei" w:hAnsi="Microsoft YaHei" w:eastAsia="Microsoft YaHei"/>
          <w:b w:val="0"/>
          <w:color w:val="202124"/>
          <w:sz w:val="22"/>
        </w:rPr>
        <w:t>NISTEP长期维持科技指标和预见框架，说明创新体系的投入、人才、论文、专利和情景分析没有因安全化而失去基础地位。它构成“所有智库同步转向”假说的重要反证。</w:t>
      </w:r>
    </w:p>
    <w:p>
      <w:pPr>
        <w:pStyle w:val="Heading1"/>
      </w:pPr>
      <w:r>
        <w:t>七、主要报告与核心观点索引</w:t>
      </w:r>
    </w:p>
    <w:tbl>
      <w:tblPr>
        <w:tblStyle w:val="TableGrid"/>
        <w:tblW w:type="dxa" w:w="9360"/>
        <w:jc w:val="left"/>
        <w:tblLayout w:type="fixed"/>
        <w:tblLook w:firstColumn="1" w:firstRow="1" w:lastColumn="0" w:lastRow="0" w:noHBand="0" w:noVBand="1" w:val="04A0"/>
        <w:tblInd w:w="120" w:type="dxa"/>
      </w:tblPr>
      <w:tblGrid>
        <w:gridCol w:w="1500"/>
        <w:gridCol w:w="2750"/>
        <w:gridCol w:w="2900"/>
        <w:gridCol w:w="2210"/>
      </w:tblGrid>
      <w:tr>
        <w:trPr>
          <w:cantSplit/>
          <w:tblHeader/>
        </w:trPr>
        <w:tc>
          <w:tcPr>
            <w:tcW w:type="dxa" w:w="15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8"/>
              </w:rPr>
              <w:t>机构</w:t>
            </w:r>
          </w:p>
        </w:tc>
        <w:tc>
          <w:tcPr>
            <w:tcW w:type="dxa" w:w="275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8"/>
              </w:rPr>
              <w:t>代表性报告/系列</w:t>
            </w:r>
          </w:p>
        </w:tc>
        <w:tc>
          <w:tcPr>
            <w:tcW w:type="dxa" w:w="290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8"/>
              </w:rPr>
              <w:t>十年核心轨迹</w:t>
            </w:r>
          </w:p>
        </w:tc>
        <w:tc>
          <w:tcPr>
            <w:tcW w:type="dxa" w:w="2210"/>
            <w:tcMar>
              <w:top w:w="80" w:type="dxa"/>
              <w:start w:w="120" w:type="dxa"/>
              <w:bottom w:w="80" w:type="dxa"/>
              <w:end w:w="120" w:type="dxa"/>
            </w:tcMar>
            <w:vAlign w:val="center"/>
            <w:shd w:fill="F2F4F7"/>
          </w:tcPr>
          <w:p>
            <w:pPr>
              <w:spacing w:after="0"/>
            </w:pPr>
            <w:r>
              <w:rPr>
                <w:rFonts w:ascii="Microsoft YaHei" w:hAnsi="Microsoft YaHei" w:eastAsia="Microsoft YaHei"/>
                <w:b/>
                <w:color w:val="0B2545"/>
                <w:sz w:val="18"/>
              </w:rPr>
              <w:t>当前战略位置</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OECD</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STI Outlook 2016/2018/2021/2023/2025</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政策组合与开放科学→使命与韧性→相称研究安全</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多目标协调、边界化开放</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ITIF</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Contributors and Detractors 2016；National Industrial Strategy 2020；Mobilizing 2026</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创新重商主义→部门定向产业战略→国家力量产业</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竞争性国家能力上界</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CSIS</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Innovation-Led Growth 2017；Innovation Strategy 2020；Power of Innovation 2026</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生态催化→关键技术战略→校准耦合</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安全强化、保留联系</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Chatham House</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New Normal 2016；US-China Competition 2019；Semiconductors 2022；DPI Sovereignty 2025</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跨境合作→竞争风险→多元化和可治理依赖</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受控互赖</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Carnegie</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Governing Cyberspace 2016；Competing with China 2019；Decoupling 2022</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开放治理→关键技术竞争→窄范围管制</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反失控脱钩</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Fraunhofer ISI</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Innovation System 2016；Mission Policies 2022；Security Objective 2026</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系统观→使命实施→安全目标叠加</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多目标使命治理</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NISTEP</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Indicators；11th Foresight；Post-COVID Foresight</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能力测量与预见持续更新</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连续性反证</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JST/CRDS</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Society 5.0 Systems 2021；Responsible Innovation 2023；ST Diplomacy 2025</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数据治理→价值前置→安全化与外交协调</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战略治理复合化</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Bruegel</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Innovation Divide 2016；Semiconductors 2021；Blueprint 2023；Green Reach 2024</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能力诊断→产业政策→经济安全与伙伴关系</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开放战略自主</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RAND</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Bridging the Gap 2022；Shared Future 2023；Effectiveness 2024</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企业约束→共存议程→限制工具效果审计</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政策成本与效果校正</w:t>
            </w:r>
          </w:p>
        </w:tc>
      </w:tr>
      <w:tr>
        <w:trPr>
          <w:cantSplit/>
        </w:trPr>
        <w:tc>
          <w:tcPr>
            <w:tcW w:type="dxa" w:w="15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ASPI</w:t>
            </w:r>
          </w:p>
        </w:tc>
        <w:tc>
          <w:tcPr>
            <w:tcW w:type="dxa" w:w="275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Trusted 5G 2020；Critical Technology Tracker 2023</w:t>
            </w:r>
          </w:p>
        </w:tc>
        <w:tc>
          <w:tcPr>
            <w:tcW w:type="dxa" w:w="290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单项基础设施安全→系统性技术竞赛测量</w:t>
            </w:r>
          </w:p>
        </w:tc>
        <w:tc>
          <w:tcPr>
            <w:tcW w:type="dxa" w:w="2210"/>
            <w:tcMar>
              <w:top w:w="80" w:type="dxa"/>
              <w:start w:w="120" w:type="dxa"/>
              <w:bottom w:w="80" w:type="dxa"/>
              <w:end w:w="120" w:type="dxa"/>
            </w:tcMar>
            <w:vAlign w:val="center"/>
          </w:tcPr>
          <w:p>
            <w:pPr>
              <w:spacing w:after="0"/>
            </w:pPr>
            <w:r>
              <w:rPr>
                <w:rFonts w:ascii="Microsoft YaHei" w:hAnsi="Microsoft YaHei" w:eastAsia="Microsoft YaHei"/>
                <w:b w:val="0"/>
                <w:color w:val="202124"/>
                <w:sz w:val="17"/>
              </w:rPr>
              <w:t>安全型新进入项目</w:t>
            </w:r>
          </w:p>
        </w:tc>
      </w:tr>
    </w:tbl>
    <w:p>
      <w:pPr>
        <w:spacing w:after="40"/>
      </w:pPr>
    </w:p>
    <w:p>
      <w:pPr>
        <w:pStyle w:val="Heading1"/>
      </w:pPr>
      <w:r>
        <w:t>八、结论：转向发生在目标权重与政策工具，而非开放原则的消失</w:t>
      </w:r>
    </w:p>
    <w:p>
      <w:pPr>
        <w:ind w:firstLine="403"/>
      </w:pPr>
      <w:r>
        <w:rPr>
          <w:rFonts w:ascii="Microsoft YaHei" w:hAnsi="Microsoft YaHei" w:eastAsia="Microsoft YaHei"/>
          <w:b w:val="0"/>
          <w:color w:val="202124"/>
          <w:sz w:val="22"/>
        </w:rPr>
        <w:t>2016—2026年国际主要科技智库的共同变化，可以压缩为三条相互关联的链条。</w:t>
      </w:r>
    </w:p>
    <w:p>
      <w:pPr>
        <w:ind w:firstLine="403"/>
      </w:pPr>
      <w:r>
        <w:rPr>
          <w:rFonts w:ascii="Microsoft YaHei" w:hAnsi="Microsoft YaHei" w:eastAsia="Microsoft YaHei"/>
          <w:b w:val="0"/>
          <w:color w:val="202124"/>
          <w:sz w:val="22"/>
        </w:rPr>
        <w:t>第一，目标从创新效率扩展到韧性、转型和安全。科技政策不再只回答“怎样产生更多创新”，还要回答“为哪些任务形成能力”“怎样避免关键依赖”“哪些联系需要保护或限制”。</w:t>
      </w:r>
    </w:p>
    <w:p>
      <w:pPr>
        <w:ind w:firstLine="403"/>
      </w:pPr>
      <w:r>
        <w:rPr>
          <w:rFonts w:ascii="Microsoft YaHei" w:hAnsi="Microsoft YaHei" w:eastAsia="Microsoft YaHei"/>
          <w:b w:val="0"/>
          <w:color w:val="202124"/>
          <w:sz w:val="22"/>
        </w:rPr>
        <w:t>第二，工具从通用条件转向定向能力。研发投入、人才和营商环境仍然重要，但使命组合、部门战略、规模化融资、供应链地图、战略情报、投资审查、出口管制和研究安全成为新的常设工具。</w:t>
      </w:r>
    </w:p>
    <w:p>
      <w:pPr>
        <w:ind w:firstLine="403"/>
      </w:pPr>
      <w:r>
        <w:rPr>
          <w:rFonts w:ascii="Microsoft YaHei" w:hAnsi="Microsoft YaHei" w:eastAsia="Microsoft YaHei"/>
          <w:b w:val="0"/>
          <w:color w:val="202124"/>
          <w:sz w:val="22"/>
        </w:rPr>
        <w:t>第三，国际合作从默认开放转为条件化开放。主要机构并未形成自给自足或全面脱钩共识。合作对象、技术范围、用途和风险等级受到更严格区分，互赖被要求具备多元化、可替代、可审查和可校准属性。</w:t>
      </w:r>
    </w:p>
    <w:p>
      <w:pPr>
        <w:ind w:firstLine="403"/>
      </w:pPr>
      <w:r>
        <w:rPr>
          <w:rFonts w:ascii="Microsoft YaHei" w:hAnsi="Microsoft YaHei" w:eastAsia="Microsoft YaHei"/>
          <w:b w:val="0"/>
          <w:color w:val="202124"/>
          <w:sz w:val="22"/>
        </w:rPr>
        <w:t>这场变化最适合命名为“从开放创新到受控互赖”。它承认地缘政治已经进入科技创新政策的内部，安全由外部约束变成目标函数的一部分；同时也承认现代科技能力依赖跨境知识、市场、人才和复杂供应链，封闭会削弱被保护的创新基础。未来政策争论的中心不再是开放或安全的抽象二选一，而是哪些能力必须内生、哪些依赖可以治理、哪些管制具有相称性，以及怎样防止安全工具因目标漂移而无限扩张。</w:t>
      </w:r>
    </w:p>
    <w:p>
      <w:pPr>
        <w:pStyle w:val="Heading1"/>
      </w:pPr>
      <w:r>
        <w:t>附：证据使用限制</w:t>
      </w:r>
    </w:p>
    <w:p>
      <w:pPr>
        <w:pStyle w:val="ListBullet"/>
      </w:pPr>
      <w:r>
        <w:rPr>
          <w:rFonts w:ascii="Microsoft YaHei" w:hAnsi="Microsoft YaHei" w:eastAsia="Microsoft YaHei"/>
          <w:b w:val="0"/>
          <w:color w:val="202124"/>
          <w:sz w:val="22"/>
        </w:rPr>
        <w:t>本地历史档案在2022年前明显稀疏，W1和W2结论主要依赖本轮补充的官方锚点。</w:t>
      </w:r>
    </w:p>
    <w:p>
      <w:pPr>
        <w:pStyle w:val="ListBullet"/>
      </w:pPr>
      <w:r>
        <w:rPr>
          <w:rFonts w:ascii="Microsoft YaHei" w:hAnsi="Microsoft YaHei" w:eastAsia="Microsoft YaHei"/>
          <w:b w:val="0"/>
          <w:color w:val="202124"/>
          <w:sz w:val="22"/>
        </w:rPr>
        <w:t>49条官方锚点中，部分网页材料只能使用章节标题定位；12份PDF已形成物理页切片，RAND三份PDF通过官方地址的文本转写读取，未虚构印刷页码。</w:t>
      </w:r>
    </w:p>
    <w:p>
      <w:pPr>
        <w:pStyle w:val="ListBullet"/>
      </w:pPr>
      <w:r>
        <w:rPr>
          <w:rFonts w:ascii="Microsoft YaHei" w:hAnsi="Microsoft YaHei" w:eastAsia="Microsoft YaHei"/>
          <w:b w:val="0"/>
          <w:color w:val="202124"/>
          <w:sz w:val="22"/>
        </w:rPr>
        <w:t>机构影响政策的因果链尚未系统验证。正文只讨论观点与政策议程的对应，不宣称某一报告直接促成具体法规。</w:t>
      </w:r>
    </w:p>
    <w:p>
      <w:pPr>
        <w:pStyle w:val="ListBullet"/>
      </w:pPr>
      <w:r>
        <w:rPr>
          <w:rFonts w:ascii="Microsoft YaHei" w:hAnsi="Microsoft YaHei" w:eastAsia="Microsoft YaHei"/>
          <w:b w:val="0"/>
          <w:color w:val="202124"/>
          <w:sz w:val="22"/>
        </w:rPr>
        <w:t>本文聚焦2016—2026年。更早理论只作为可能先例，不进入正式编码和趋势判断。</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68738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D9DEE7"/>
      </w:pBdr>
    </w:pPr>
    <w:r>
      <w:rPr>
        <w:rFonts w:ascii="Microsoft YaHei" w:hAnsi="Microsoft YaHei" w:eastAsia="Microsoft YaHei"/>
        <w:b w:val="0"/>
        <w:color w:val="687386"/>
        <w:sz w:val="17"/>
      </w:rPr>
      <w:t>国际科技智库观点演变研究 | 2016—2026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ecd.org/content/dam/oecd/en/publications/reports/2016/12/oecd-science-technology-and-innovation-outlook-2016_g1g6dae9/sti_in_outlook-2016-en.pdf" TargetMode="External"/><Relationship Id="rId12" Type="http://schemas.openxmlformats.org/officeDocument/2006/relationships/hyperlink" Target="https://www.nistep.go.jp/en/?page_id=52" TargetMode="External"/><Relationship Id="rId13" Type="http://schemas.openxmlformats.org/officeDocument/2006/relationships/hyperlink" Target="https://itif.org/publications/2016/01/20/contributors-and-detractors-ranking-countries-impact-global-innovation/" TargetMode="External"/><Relationship Id="rId14" Type="http://schemas.openxmlformats.org/officeDocument/2006/relationships/hyperlink" Target="https://www.csis.org/analysis/national-machine-intelligence-strategy-united-states" TargetMode="External"/><Relationship Id="rId15" Type="http://schemas.openxmlformats.org/officeDocument/2006/relationships/hyperlink" Target="https://www.oecd.org/en/publications/oecd-science-technology-and-innovation-outlook-2018_sti_in_outlook-2018-en.html" TargetMode="External"/><Relationship Id="rId16" Type="http://schemas.openxmlformats.org/officeDocument/2006/relationships/hyperlink" Target="https://itif.org/publications/2020/04/13/case-national-industrial-strategy-counter-chinas-technological-rise/" TargetMode="External"/><Relationship Id="rId17" Type="http://schemas.openxmlformats.org/officeDocument/2006/relationships/hyperlink" Target="https://www.csis.org/analysis/industrial-policy-innovation-strategy" TargetMode="External"/><Relationship Id="rId18" Type="http://schemas.openxmlformats.org/officeDocument/2006/relationships/hyperlink" Target="https://www.oecd.org/en/publications/oecd-science-technology-and-innovation-outlook-2021_75f79015-en.html" TargetMode="External"/><Relationship Id="rId19" Type="http://schemas.openxmlformats.org/officeDocument/2006/relationships/hyperlink" Target="https://www.oecd.org/en/publications/2023/03/oecd-science-technology-and-innovation-outlook-2023_fb6e6c20.html" TargetMode="External"/><Relationship Id="rId20" Type="http://schemas.openxmlformats.org/officeDocument/2006/relationships/hyperlink" Target="https://www.oecd.org/en/publications/oecd-science-technology-and-innovation-outlook-2025_5fe57b90-en.html" TargetMode="External"/><Relationship Id="rId21" Type="http://schemas.openxmlformats.org/officeDocument/2006/relationships/hyperlink" Target="https://itif.org/publications/2026/02/02/mobilizing-for-techno-economic-war-part-1-the-case-for-policy-transformation/" TargetMode="External"/><Relationship Id="rId22" Type="http://schemas.openxmlformats.org/officeDocument/2006/relationships/hyperlink" Target="https://www.aspi.org.au/report/critical-technology-tracker/" TargetMode="External"/><Relationship Id="rId23" Type="http://schemas.openxmlformats.org/officeDocument/2006/relationships/hyperlink" Target="https://www.jst.go.jp/crds/en/publications/" TargetMode="External"/><Relationship Id="rId24" Type="http://schemas.openxmlformats.org/officeDocument/2006/relationships/hyperlink" Target="https://carnegieendowment.org/research/2022/04/us-china-technological-decoupling-a-strategy-and-policy-framework" TargetMode="External"/><Relationship Id="rId25" Type="http://schemas.openxmlformats.org/officeDocument/2006/relationships/hyperlink" Target="https://www.chathamhouse.org/2022/01/solutions-resilient-semiconductor-supply-chains" TargetMode="External"/><Relationship Id="rId26" Type="http://schemas.openxmlformats.org/officeDocument/2006/relationships/hyperlink" Target="https://www.csis.org/analysis/power-innovation-strategic-value-chinas-high-tech-dr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从开放创新到受控互赖</dc:title>
  <dc:subject>国际主要科技智库观点演变研究（2016—2026）</dc:subject>
  <dc:creator>研究知识库</dc:creator>
  <cp:keywords>科技智库, 科技战略, 受控互赖, 产业政策, 研究安全</cp:keywords>
  <dc:description>generated by python-docx</dc:description>
  <cp:lastModifiedBy/>
  <cp:revision>1</cp:revision>
  <dcterms:created xsi:type="dcterms:W3CDTF">2013-12-23T23:15:00Z</dcterms:created>
  <dcterms:modified xsi:type="dcterms:W3CDTF">2013-12-23T23:15:00Z</dcterms:modified>
  <cp:category/>
</cp:coreProperties>
</file>