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826F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报账单封面：</w:t>
      </w:r>
      <w:r>
        <w:rPr>
          <w:rFonts w:hint="eastAsia"/>
          <w:lang w:val="en-US" w:eastAsia="zh-CN"/>
        </w:rPr>
        <w:t>报账系统录入完毕后“打印”；摘要：xx部门报销xxxx年xx月xx日、xx日业务招待费</w:t>
      </w:r>
    </w:p>
    <w:p w14:paraId="2099349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业务招待费报账付款确认单：</w:t>
      </w:r>
      <w:r>
        <w:rPr>
          <w:rFonts w:hint="eastAsia"/>
          <w:lang w:val="en-US" w:eastAsia="zh-CN"/>
        </w:rPr>
        <w:t>报账单号是否一致；多个供应商是否勾选费用明细清单；有网格成本时勾选“是否含网格成本”+勾选其他+备注“网格分摊表”+附件管理中是否添加该附件；供应商有个人时必勾支付凭证；2025年6月1日后招待单发票通过系统校验无需提供发票查验；外部招待时招待单位认证必勾。</w:t>
      </w:r>
    </w:p>
    <w:p w14:paraId="04DE772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业务招待费结算单:</w:t>
      </w:r>
      <w:r>
        <w:rPr>
          <w:rFonts w:hint="eastAsia"/>
          <w:lang w:val="en-US" w:eastAsia="zh-CN"/>
        </w:rPr>
        <w:t>同一申请单，经办人=收款人；若不等于，则需特殊说明或备注，收款人应为实际招待人</w:t>
      </w:r>
    </w:p>
    <w:p w14:paraId="44F79CF6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业务招待费审批表</w:t>
      </w:r>
      <w:r>
        <w:rPr>
          <w:rFonts w:hint="eastAsia"/>
          <w:b/>
          <w:bCs/>
          <w:lang w:val="en-US" w:eastAsia="zh-CN"/>
        </w:rPr>
        <w:t>:</w:t>
      </w:r>
      <w:r>
        <w:rPr>
          <w:rFonts w:hint="eastAsia"/>
          <w:lang w:val="en-US" w:eastAsia="zh-CN"/>
        </w:rPr>
        <w:t>发票金额、实际金额&lt;=招待标准中的招待金额；陪同人数不超标；发票日期=招待日期；招待日期&gt;=申请日期（智慧报账系统有强控，现不用看）；对外招待：招待类型为其他公务招待/商务招待：党政军机关必为其他公务招待、招待对象=招待单位认证；对内招待，招待类型为内部业务招待，默认工作餐，一天最多为2餐；饭堂发票日期必有特殊情况说明。</w:t>
      </w:r>
    </w:p>
    <w:p w14:paraId="36884C0A">
      <w:pPr>
        <w:rPr>
          <w:rFonts w:hint="eastAsia"/>
          <w:highlight w:val="red"/>
          <w:lang w:val="en-US" w:eastAsia="zh-CN"/>
        </w:rPr>
      </w:pPr>
      <w:r>
        <w:rPr>
          <w:rFonts w:hint="default"/>
          <w:b/>
          <w:bCs/>
          <w:highlight w:val="red"/>
          <w:lang w:val="en-US" w:eastAsia="zh-CN"/>
        </w:rPr>
        <w:t>发票</w:t>
      </w:r>
      <w:r>
        <w:rPr>
          <w:rFonts w:hint="eastAsia"/>
          <w:b/>
          <w:bCs/>
          <w:highlight w:val="red"/>
          <w:lang w:val="en-US" w:eastAsia="zh-CN"/>
        </w:rPr>
        <w:t>：</w:t>
      </w:r>
      <w:r>
        <w:rPr>
          <w:rFonts w:hint="eastAsia"/>
          <w:highlight w:val="red"/>
          <w:lang w:val="en-US" w:eastAsia="zh-CN"/>
        </w:rPr>
        <w:t>电子普通发票+餐饮服务税目；销售方名称、金额、开票日期与审批表一致；</w:t>
      </w:r>
    </w:p>
    <w:p w14:paraId="6C05F113">
      <w:pPr>
        <w:rPr>
          <w:rFonts w:hint="eastAsia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支付凭证</w:t>
      </w:r>
      <w:r>
        <w:rPr>
          <w:rFonts w:hint="eastAsia"/>
          <w:highlight w:val="red"/>
          <w:lang w:val="en-US" w:eastAsia="zh-CN"/>
        </w:rPr>
        <w:t>：商户全称、支付时间、金额与审批表实际金额一致；支付时间日期可以从交易单号等中检验是否真实</w:t>
      </w:r>
    </w:p>
    <w:p w14:paraId="13E6526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网格分摊表：</w:t>
      </w:r>
      <w:r>
        <w:rPr>
          <w:rFonts w:hint="eastAsia"/>
          <w:lang w:val="en-US" w:eastAsia="zh-CN"/>
        </w:rPr>
        <w:t>是否签章</w:t>
      </w:r>
    </w:p>
    <w:p w14:paraId="2DADD002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公函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除</w:t>
      </w:r>
      <w:r>
        <w:rPr>
          <w:rFonts w:hint="eastAsia"/>
          <w:highlight w:val="red"/>
          <w:lang w:val="en-US" w:eastAsia="zh-CN"/>
        </w:rPr>
        <w:t>工作餐</w:t>
      </w:r>
      <w:r>
        <w:rPr>
          <w:rFonts w:hint="eastAsia"/>
          <w:lang w:val="en-US" w:eastAsia="zh-CN"/>
        </w:rPr>
        <w:t>，招待一律需要提供</w:t>
      </w:r>
      <w:r>
        <w:rPr>
          <w:rFonts w:hint="eastAsia"/>
          <w:highlight w:val="red"/>
          <w:lang w:val="en-US" w:eastAsia="zh-CN"/>
        </w:rPr>
        <w:t>公函</w:t>
      </w:r>
    </w:p>
    <w:p w14:paraId="127C1946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招待标准-陪同人数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第十二条 对外业务招待时，招待对象在5人（含）以内的，陪餐人数可对等；招待对象超过5人的，超过部分陪餐人数原则上不超过招待对象超过部分的二分之一。</w:t>
      </w:r>
    </w:p>
    <w:p w14:paraId="198563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内部业务招待活动，招待对象在10人以内的，陪同人数不得超过3人；招待对象在10人以上的，陪同人数不得超过招待对象的三分之一。</w:t>
      </w:r>
    </w:p>
    <w:p w14:paraId="5C688C3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47C13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来宾单位：当招待类型为外部招待（商务招待，其它公务招待，外事招待）时，来宾单位</w:t>
      </w:r>
      <w:r>
        <w:rPr>
          <w:rFonts w:hint="eastAsia"/>
          <w:lang w:val="en-US" w:eastAsia="zh-CN"/>
        </w:rPr>
        <w:t>状态需为存续（在营、开业、在册），不能为已注销/注销公示期/破产公示期/注销公示期；无揭露影响在营的重大风险；招待单位是否与审批表一致；招待单位是否与审批表一致。商务招待，招待对象不包括党政军机关工作人员和国有企业集团总部工作人员</w:t>
      </w:r>
    </w:p>
    <w:p w14:paraId="2E282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招待党政军：严格按照《党政机关国内公务接待管理规定》执行： 需有被接待单位公函， 报销凭证包括财务票据、往来公函、招待费申请单、电子支付凭证、支付凭证交易流水等。</w:t>
      </w:r>
    </w:p>
    <w:p w14:paraId="1C0D7262">
      <w:pPr>
        <w:rPr>
          <w:rFonts w:hint="eastAsia"/>
          <w:lang w:val="en-US" w:eastAsia="zh-CN"/>
        </w:rPr>
      </w:pPr>
    </w:p>
    <w:p w14:paraId="2362A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商务招待：在商业谈判或商业合作中招待客户、合资合作方、经贸联络考察团组，招待对象不包括党政军机关工作人员和国有企业集团总部工作人员</w:t>
      </w:r>
    </w:p>
    <w:p w14:paraId="6559D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外事招待：因公招待外宾或其他外籍关系人员</w:t>
      </w:r>
    </w:p>
    <w:p w14:paraId="79CDA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其他公务招待：招待其他人员的公务活动；招待党政军等单位，要严格按照《党政机关国内公务接待管理规定》执行</w:t>
      </w:r>
    </w:p>
    <w:p w14:paraId="34DD9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内部业务招待单位包括：集团公司、各省移动、专业公司及直属单位；兄弟公司驻粤机构（不同城）</w:t>
      </w:r>
    </w:p>
    <w:p w14:paraId="34A10668">
      <w:pPr>
        <w:rPr>
          <w:rFonts w:hint="eastAsia"/>
          <w:lang w:val="en-US" w:eastAsia="zh-CN"/>
        </w:rPr>
      </w:pPr>
      <w:r>
        <w:rPr>
          <w:rFonts w:hint="eastAsia"/>
          <w:color w:val="0000FF"/>
          <w:highlight w:val="red"/>
          <w:lang w:val="en-US" w:eastAsia="zh-CN"/>
        </w:rPr>
        <w:t>专业公司</w:t>
      </w:r>
      <w:r>
        <w:rPr>
          <w:rFonts w:hint="eastAsia"/>
          <w:highlight w:val="red"/>
          <w:lang w:val="en-US" w:eastAsia="zh-CN"/>
        </w:rPr>
        <w:t>及</w:t>
      </w:r>
      <w:r>
        <w:rPr>
          <w:rFonts w:hint="eastAsia"/>
          <w:color w:val="0000FF"/>
          <w:highlight w:val="red"/>
          <w:lang w:val="en-US" w:eastAsia="zh-CN"/>
        </w:rPr>
        <w:t>直属单位</w:t>
      </w:r>
      <w:r>
        <w:rPr>
          <w:rFonts w:hint="eastAsia"/>
          <w:lang w:val="en-US" w:eastAsia="zh-CN"/>
        </w:rPr>
        <w:t>包括【移动办公可以直接搜索到的单位】：铁通公司、设计院、国际公司、终端公司、政企分公司、财务公司、中移物联网公司、智慧家庭运营中心、在线营销服务中心、杭州研发中心、苏州研发中心、咪咕公司、中移互联网公司、研究院、移动学院、信息港中心、信安中心、采购共享中心、信息技术中心、卓望公司、投资公司、上海产业研究院、成都产业研究院、中移系统集成有限公司、电商公司</w:t>
      </w:r>
    </w:p>
    <w:p w14:paraId="50643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开展内部公务活动期间如需用餐，一般应安排</w:t>
      </w:r>
      <w:r>
        <w:rPr>
          <w:rFonts w:hint="eastAsia"/>
          <w:highlight w:val="red"/>
          <w:lang w:val="en-US" w:eastAsia="zh-CN"/>
        </w:rPr>
        <w:t>工作餐</w:t>
      </w:r>
      <w:r>
        <w:rPr>
          <w:rFonts w:hint="eastAsia"/>
          <w:lang w:val="en-US" w:eastAsia="zh-CN"/>
        </w:rPr>
        <w:t>。工作餐原则上在单位食堂，优先采用自助形式，用餐标准参照所在单位食堂正常标准或差旅伙食补贴标准合理确定，不上烟酒。如因外出调研等原因无法在食堂用餐，可参照上述标准就近安排。出差人员按规定领取差旅伙食补贴的，应交纳相关费用。</w:t>
      </w:r>
    </w:p>
    <w:p w14:paraId="7BF72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可安排</w:t>
      </w:r>
      <w:r>
        <w:rPr>
          <w:rFonts w:hint="eastAsia"/>
          <w:color w:val="0000FF"/>
          <w:lang w:val="en-US" w:eastAsia="zh-CN"/>
        </w:rPr>
        <w:t>工作餐的场景：</w:t>
      </w:r>
      <w:r>
        <w:rPr>
          <w:rFonts w:hint="eastAsia"/>
          <w:lang w:val="en-US" w:eastAsia="zh-CN"/>
        </w:rPr>
        <w:t>广东公司与同城专业公司之间、省公司与地市公司之间、不同地市公司之间，或在同地市内部饭堂系统未互通、无法使用饭卡就餐等情况下，原则上不安排内部业务招待，但可根据实际情况按需安排工作餐</w:t>
      </w:r>
    </w:p>
    <w:p w14:paraId="2F435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不得安排工作餐的场景：</w:t>
      </w:r>
      <w:r>
        <w:rPr>
          <w:rFonts w:hint="eastAsia"/>
          <w:color w:val="0000FF"/>
          <w:lang w:val="en-US" w:eastAsia="zh-CN"/>
        </w:rPr>
        <w:t>全省各地市公司的内部单位之间，在饭堂系统互通并可使用饭卡刷卡用餐的情况下，原则上不得安排内部业务接待或工作餐。</w:t>
      </w:r>
    </w:p>
    <w:p w14:paraId="2F62E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可安排工作餐的场景：省公司人员到清远市/县、兄弟地市公司人员到清远市/县，本地铁通公司/本地终端公司等本地内部单位人员到市/县，不安排内部招待围餐，但可根据实际情况安排工作餐。</w:t>
      </w:r>
    </w:p>
    <w:p w14:paraId="627B518D">
      <w:pPr>
        <w:rPr>
          <w:rFonts w:hint="eastAsia"/>
          <w:lang w:val="en-US" w:eastAsia="zh-CN"/>
        </w:rPr>
      </w:pPr>
    </w:p>
    <w:p w14:paraId="0BFCE701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工作餐</w:t>
      </w:r>
      <w:r>
        <w:rPr>
          <w:rFonts w:hint="eastAsia"/>
          <w:lang w:val="en-US" w:eastAsia="zh-CN"/>
        </w:rPr>
        <w:t>原则上在单位食堂，优先采用自助形式，工作餐用餐标准上限60元/人，组织方人员餐费自付，不上烟酒。如因外出调研等原因无法在食堂用餐，可参照上述标准就近安排。工作餐按需发生。</w:t>
      </w:r>
    </w:p>
    <w:p w14:paraId="37078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不安排工作餐的场景：</w:t>
      </w:r>
      <w:r>
        <w:rPr>
          <w:rFonts w:hint="eastAsia"/>
          <w:highlight w:val="none"/>
          <w:lang w:val="en-US" w:eastAsia="zh-CN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市公司与各县饭堂系统</w:t>
      </w:r>
      <w:r>
        <w:rPr>
          <w:rFonts w:hint="eastAsia"/>
          <w:lang w:val="en-US" w:eastAsia="zh-CN"/>
        </w:rPr>
        <w:t>已互通，市公司人员到各县，原则上不安排内部招待围餐或工作餐，参与人员均自行刷卡就餐。</w:t>
      </w:r>
    </w:p>
    <w:p w14:paraId="2022C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特殊的场景： 到偏远网格或周末饭堂不提供就餐服务的特殊情况下，可视情况安排使用工作餐，在接待申请单中备注说明情况。</w:t>
      </w:r>
    </w:p>
    <w:p w14:paraId="30216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招待前，经审批同意后方可开展招待活动，确因紧急事由无法履行事前审批程序，应在请示有审批权限的相关领导同意后开展业务招待活动，并事后及时审批（审批完成时间如晚于招待发生日期需办公室会签）</w:t>
      </w:r>
    </w:p>
    <w:p w14:paraId="60AB8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招待后，报账资料要齐全，审批要件和明细单据要齐全</w:t>
      </w:r>
    </w:p>
    <w:p w14:paraId="1DBA9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2024年04月01日起，全市支付凭证为100%，</w:t>
      </w:r>
    </w:p>
    <w:p w14:paraId="469EA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2025年09月01日起，全市支付流水证明100%</w:t>
      </w:r>
    </w:p>
    <w:p w14:paraId="1514A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2025年12月04日起，全市外部招待必需有往来公函100%</w:t>
      </w:r>
    </w:p>
    <w:p w14:paraId="3DAD9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如确需在重大节日（元旦、春节、清明节、劳动节、端午节、中秋节、国庆节）前、节日后3个工作日内，以及节日期间安排业务招待活动，招待发生部门应主动提前向同级主责部门备案并向同级纪委报告</w:t>
      </w:r>
    </w:p>
    <w:p w14:paraId="26A4F074">
      <w:pPr>
        <w:rPr>
          <w:rFonts w:hint="eastAsia"/>
          <w:lang w:val="en-US" w:eastAsia="zh-CN"/>
        </w:rPr>
      </w:pPr>
    </w:p>
    <w:p w14:paraId="3D9C9E50">
      <w:pPr>
        <w:rPr>
          <w:rFonts w:hint="eastAsia"/>
          <w:lang w:val="en-US" w:eastAsia="zh-CN"/>
        </w:rPr>
      </w:pPr>
    </w:p>
    <w:p w14:paraId="6C8401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禁止性规定：</w:t>
      </w:r>
    </w:p>
    <w:p w14:paraId="0647A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严禁讲排场、杜绝奢侈浪费，应优先在公司餐厅或定点饭店、宾馆安排，不得安排私人会所及高档的娱乐、休闲、健身、保健等高消费场所；</w:t>
      </w:r>
    </w:p>
    <w:p w14:paraId="4A68B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不得提供用野生保护动物制作的菜肴，不得提供鱼翅、燕窝等高档菜肴；</w:t>
      </w:r>
    </w:p>
    <w:p w14:paraId="771E1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严禁用公款购买香烟和高档酒水、珍稀药材、天价茶叶、名贵木材、珠宝玉石、名瓷名画等名贵特产类特殊资源；</w:t>
      </w:r>
    </w:p>
    <w:p w14:paraId="7D3DA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不得以业务招待名义变相开展旅游，商务招待活动确需参观本地景点或观看本地特色演出的，应当严格控制陪同人数，本着节俭、就近原则安排；</w:t>
      </w:r>
    </w:p>
    <w:p w14:paraId="19CB5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严禁违反中央八项规定精神，用公款开展相互走访、送礼、宴请等拜年活动。上下级单位之间、单位内部各部门之间，一律不准用公款送礼；</w:t>
      </w:r>
    </w:p>
    <w:p w14:paraId="5B2EC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不得滥用赠送、回馈等手段扰乱市场经营秩序；</w:t>
      </w:r>
    </w:p>
    <w:p w14:paraId="4D9F8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不得支付应由个人负担的招待费用；</w:t>
      </w:r>
    </w:p>
    <w:p w14:paraId="3B74E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严禁赠送现金、购物卡、会员卡、商业预付卡和各种有价证券、支付凭证、贵重物品、名贵土特产；</w:t>
      </w:r>
    </w:p>
    <w:p w14:paraId="6061C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严禁以会议、培训、调研等费用的名义虚列、隐匿业务招待费用；</w:t>
      </w:r>
    </w:p>
    <w:p w14:paraId="10280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业务招待费应据实列支，不得调剂使用，不得按任何形式预提、留存，不得向所属单位摊派或在所属单位列支；</w:t>
      </w:r>
    </w:p>
    <w:p w14:paraId="7BD94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严禁以虚假发票、过期发票、白条作为报销凭据。</w:t>
      </w:r>
    </w:p>
    <w:p w14:paraId="6E9B84E0">
      <w:pPr>
        <w:rPr>
          <w:rFonts w:hint="eastAsia"/>
          <w:lang w:val="en-US" w:eastAsia="zh-CN"/>
        </w:rPr>
      </w:pPr>
    </w:p>
    <w:p w14:paraId="1DB9D22C">
      <w:pPr>
        <w:rPr>
          <w:rFonts w:hint="eastAsia"/>
          <w:lang w:val="en-US" w:eastAsia="zh-CN"/>
        </w:rPr>
      </w:pPr>
    </w:p>
    <w:p w14:paraId="57B2695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典型招待违规问题：</w:t>
      </w:r>
    </w:p>
    <w:p w14:paraId="0B4FC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单据填写不规范：</w:t>
      </w:r>
      <w:r>
        <w:rPr>
          <w:rFonts w:hint="eastAsia"/>
          <w:highlight w:val="green"/>
          <w:lang w:val="en-US" w:eastAsia="zh-CN"/>
        </w:rPr>
        <w:t>招待对象</w:t>
      </w:r>
      <w:r>
        <w:rPr>
          <w:rFonts w:hint="eastAsia"/>
          <w:lang w:val="en-US" w:eastAsia="zh-CN"/>
        </w:rPr>
        <w:t>名称错漏字等</w:t>
      </w:r>
    </w:p>
    <w:p w14:paraId="3FB71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报销单据不齐全：如个</w:t>
      </w:r>
      <w:r>
        <w:rPr>
          <w:rFonts w:hint="eastAsia"/>
          <w:highlight w:val="red"/>
          <w:lang w:val="en-US" w:eastAsia="zh-CN"/>
        </w:rPr>
        <w:t>人垫付资金，报销时未按规定提供银行卡POS机刷卡单或电子消费</w:t>
      </w:r>
      <w:r>
        <w:rPr>
          <w:rFonts w:hint="eastAsia"/>
          <w:lang w:val="en-US" w:eastAsia="zh-CN"/>
        </w:rPr>
        <w:t>凭证</w:t>
      </w:r>
      <w:bookmarkStart w:id="0" w:name="_GoBack"/>
      <w:bookmarkEnd w:id="0"/>
    </w:p>
    <w:p w14:paraId="19C83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招待类型选错导致超标准接待：比如招待系统内专业公司，错选“商务招待”或“其他公务招待”导致人均接待超标</w:t>
      </w:r>
    </w:p>
    <w:p w14:paraId="33A1913B">
      <w:pPr>
        <w:rPr>
          <w:rFonts w:hint="eastAsia"/>
          <w:highlight w:val="red"/>
          <w:lang w:val="en-US" w:eastAsia="zh-CN"/>
        </w:rPr>
      </w:pPr>
      <w:r>
        <w:rPr>
          <w:rFonts w:hint="eastAsia"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招待对象经营状态异常：招待对象在招待时为注销/吊销状态/清算公示期/注销公示期，或招待对象在招待结束后短时间内被注销（一个月内）</w:t>
      </w:r>
    </w:p>
    <w:p w14:paraId="54334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差旅期间发生非差旅所在地招待：在A市出差期间，出现了其工作所在地B市的业务招待申请单</w:t>
      </w:r>
    </w:p>
    <w:p w14:paraId="76BC9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同时报销业务招待费和差旅全额餐补：A同事出差提差旅单申请全额餐补，B同事则在A同事出差期间申请业务招待单，由A同事代收报销的招待费用</w:t>
      </w:r>
    </w:p>
    <w:p w14:paraId="7E6A8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虚构业务招待事项用于其他用途：如虚构招待事项，违规报销业务招待费用于加班餐费、团建活动费、慰问等</w:t>
      </w:r>
    </w:p>
    <w:p w14:paraId="66973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超标准业务招待，拆分报账</w:t>
      </w:r>
    </w:p>
    <w:p w14:paraId="62AF0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费用报账资料不合规：如</w:t>
      </w:r>
      <w:r>
        <w:rPr>
          <w:rFonts w:hint="eastAsia"/>
          <w:highlight w:val="red"/>
          <w:lang w:val="en-US" w:eastAsia="zh-CN"/>
        </w:rPr>
        <w:t>发票日期与招待日期</w:t>
      </w:r>
      <w:r>
        <w:rPr>
          <w:rFonts w:hint="eastAsia"/>
          <w:lang w:val="en-US" w:eastAsia="zh-CN"/>
        </w:rPr>
        <w:t>不一致、电子支付凭证或电子支付交易流水证明PS篡改等</w:t>
      </w:r>
    </w:p>
    <w:p w14:paraId="47299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</w:t>
      </w:r>
      <w:r>
        <w:rPr>
          <w:rFonts w:hint="eastAsia"/>
          <w:highlight w:val="red"/>
          <w:lang w:val="en-US" w:eastAsia="zh-CN"/>
        </w:rPr>
        <w:t>重大节日前后3个工作日</w:t>
      </w:r>
      <w:r>
        <w:rPr>
          <w:rFonts w:hint="eastAsia"/>
          <w:lang w:val="en-US" w:eastAsia="zh-CN"/>
        </w:rPr>
        <w:t>内安排业务招待且未报备</w:t>
      </w:r>
    </w:p>
    <w:p w14:paraId="78859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批量购买酒水</w:t>
      </w:r>
    </w:p>
    <w:p w14:paraId="6939E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隐形场所公款吃喝 ：如在一桌餐、一围餐、私人会所、宿舍、高档小区、写字楼、烟酒专卖店、“农家乐”等隐形场所公款吃喝</w:t>
      </w:r>
    </w:p>
    <w:p w14:paraId="067E6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以变通形式报销业务招待费用：如虚拟接待对象、接待事由、虚报来访人数、天数等报销业务招待费用     </w:t>
      </w:r>
    </w:p>
    <w:p w14:paraId="475BA2BF">
      <w:pPr>
        <w:rPr>
          <w:rFonts w:hint="eastAsia"/>
          <w:lang w:val="en-US" w:eastAsia="zh-CN"/>
        </w:rPr>
      </w:pPr>
    </w:p>
    <w:p w14:paraId="63DE2C85">
      <w:pPr>
        <w:rPr>
          <w:rFonts w:hint="eastAsia"/>
          <w:lang w:val="en-US" w:eastAsia="zh-CN"/>
        </w:rPr>
      </w:pPr>
    </w:p>
    <w:p w14:paraId="4CC496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潜在风险问题</w:t>
      </w:r>
    </w:p>
    <w:p w14:paraId="15999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未履行</w:t>
      </w:r>
      <w:r>
        <w:rPr>
          <w:rFonts w:hint="eastAsia"/>
          <w:highlight w:val="red"/>
          <w:lang w:val="en-US" w:eastAsia="zh-CN"/>
        </w:rPr>
        <w:t>事前审批程序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red"/>
          <w:lang w:val="en-US" w:eastAsia="zh-CN"/>
        </w:rPr>
        <w:t>申请日期、</w:t>
      </w:r>
      <w:r>
        <w:rPr>
          <w:rFonts w:hint="eastAsia"/>
          <w:lang w:val="en-US" w:eastAsia="zh-CN"/>
        </w:rPr>
        <w:t>审批日期均要早于招待发生日期。如晚于招待发生日期，需流转到办公室会签。各单位应进一步改善业务招待的计划性管理，建议提前1-2天进行业务招待申请。</w:t>
      </w:r>
    </w:p>
    <w:p w14:paraId="15A3D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虚假招待：</w:t>
      </w:r>
    </w:p>
    <w:p w14:paraId="5959B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参与接待人员任职层级与招待对象经营规模进行匹配稽核</w:t>
      </w:r>
    </w:p>
    <w:p w14:paraId="2D92C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highlight w:val="red"/>
          <w:lang w:val="en-US" w:eastAsia="zh-CN"/>
        </w:rPr>
        <w:t xml:space="preserve"> 招待对象经营范围与招待事由进行匹配稽核</w:t>
      </w:r>
      <w:r>
        <w:rPr>
          <w:rFonts w:hint="eastAsia"/>
          <w:lang w:val="en-US" w:eastAsia="zh-CN"/>
        </w:rPr>
        <w:t>：如招待对象是某某贸易公司，但是招待事由是校园安防什么什么项目。招待对象贸易公司不具备经营校园什么项目资质的。</w:t>
      </w:r>
    </w:p>
    <w:p w14:paraId="3023A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招待费与差旅费用进行交叉稽核：如核查招待经办人是否同期出现出差情况，尤其需注意避免接待期间有出差及报账差旅费的情况。</w:t>
      </w:r>
    </w:p>
    <w:p w14:paraId="5649C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招待用餐地点人均消费标准：</w:t>
      </w:r>
    </w:p>
    <w:p w14:paraId="43C97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招待用餐地点异常情况：如用餐地点是否距离我司或被接待对象超30公里</w:t>
      </w:r>
    </w:p>
    <w:p w14:paraId="4D62E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短期内重复招待情况：</w:t>
      </w:r>
      <w:r>
        <w:rPr>
          <w:rFonts w:hint="eastAsia"/>
          <w:highlight w:val="red"/>
          <w:lang w:val="en-US" w:eastAsia="zh-CN"/>
        </w:rPr>
        <w:t>当月</w:t>
      </w:r>
      <w:r>
        <w:rPr>
          <w:rFonts w:hint="eastAsia"/>
          <w:lang w:val="en-US" w:eastAsia="zh-CN"/>
        </w:rPr>
        <w:t>同一部门重复招待同一对象≥2次</w:t>
      </w:r>
    </w:p>
    <w:p w14:paraId="70782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   </w:t>
      </w:r>
      <w:r>
        <w:rPr>
          <w:rFonts w:hint="eastAsia"/>
          <w:highlight w:val="red"/>
          <w:lang w:val="en-US" w:eastAsia="zh-CN"/>
        </w:rPr>
        <w:t>超标准招待</w:t>
      </w:r>
      <w:r>
        <w:rPr>
          <w:rFonts w:hint="eastAsia"/>
          <w:lang w:val="en-US" w:eastAsia="zh-CN"/>
        </w:rPr>
        <w:t>：业务招待对象与业务招待类型要匹配。招待</w:t>
      </w:r>
      <w:r>
        <w:rPr>
          <w:rFonts w:hint="eastAsia"/>
          <w:highlight w:val="red"/>
          <w:lang w:val="en-US" w:eastAsia="zh-CN"/>
        </w:rPr>
        <w:t>内部单位</w:t>
      </w:r>
      <w:r>
        <w:rPr>
          <w:rFonts w:hint="eastAsia"/>
          <w:lang w:val="en-US" w:eastAsia="zh-CN"/>
        </w:rPr>
        <w:t>不能选择商务招待/外事招待/其他公务招待类型；招待党政军机关工作人员和国有企业集团</w:t>
      </w:r>
      <w:r>
        <w:rPr>
          <w:rFonts w:hint="eastAsia"/>
          <w:highlight w:val="red"/>
          <w:lang w:val="en-US" w:eastAsia="zh-CN"/>
        </w:rPr>
        <w:t>总部工作人员</w:t>
      </w:r>
      <w:r>
        <w:rPr>
          <w:rFonts w:hint="eastAsia"/>
          <w:lang w:val="en-US" w:eastAsia="zh-CN"/>
        </w:rPr>
        <w:t>要选择其他公务招待。进一步规范各单位当期商务招待、其他公务接待分类，持续关注招待类型选择的合理性、招待事由填写规范性。</w:t>
      </w:r>
    </w:p>
    <w:p w14:paraId="5B900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  混淆费用：严格区分业务招待费和市场营销类等相关费用，加强对会议及客户服务、市场营销等活动中涉及餐饮费用的规范管理和列支。</w:t>
      </w:r>
      <w:r>
        <w:rPr>
          <w:rFonts w:hint="eastAsia"/>
          <w:highlight w:val="red"/>
          <w:lang w:val="en-US" w:eastAsia="zh-CN"/>
        </w:rPr>
        <w:t>业务招待费</w:t>
      </w:r>
      <w:r>
        <w:rPr>
          <w:rFonts w:hint="eastAsia"/>
          <w:lang w:val="en-US" w:eastAsia="zh-CN"/>
        </w:rPr>
        <w:t>应据实列支，不得调剂使用，不得按任何形式预提、留存，不得向所属单位摊派或在所属单位列支。</w:t>
      </w:r>
    </w:p>
    <w:p w14:paraId="62D8F0E9">
      <w:pPr>
        <w:rPr>
          <w:rFonts w:hint="eastAsia"/>
          <w:lang w:val="en-US" w:eastAsia="zh-CN"/>
        </w:rPr>
      </w:pPr>
    </w:p>
    <w:p w14:paraId="69D793C3">
      <w:pPr>
        <w:rPr>
          <w:rFonts w:hint="eastAsia"/>
          <w:lang w:val="en-US" w:eastAsia="zh-CN"/>
        </w:rPr>
      </w:pPr>
    </w:p>
    <w:p w14:paraId="7EB4DAEA">
      <w:pPr>
        <w:rPr>
          <w:rFonts w:hint="default"/>
          <w:lang w:val="en-US" w:eastAsia="zh-CN"/>
        </w:rPr>
      </w:pPr>
    </w:p>
    <w:p w14:paraId="5025E33A">
      <w:pPr>
        <w:rPr>
          <w:rFonts w:hint="default"/>
          <w:lang w:val="en-US" w:eastAsia="zh-CN"/>
        </w:rPr>
      </w:pPr>
    </w:p>
    <w:p w14:paraId="13A91AE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433C0E">
      <w:pPr>
        <w:rPr>
          <w:rFonts w:hint="eastAsia"/>
          <w:lang w:val="en-US" w:eastAsia="zh-CN"/>
        </w:rPr>
      </w:pPr>
    </w:p>
    <w:p w14:paraId="4619BC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67140"/>
    <w:multiLevelType w:val="singleLevel"/>
    <w:tmpl w:val="E7367140"/>
    <w:lvl w:ilvl="0" w:tentative="0">
      <w:start w:val="13"/>
      <w:numFmt w:val="chineseCounting"/>
      <w:suff w:val="space"/>
      <w:lvlText w:val="第%1条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262E"/>
    <w:rsid w:val="122D47F8"/>
    <w:rsid w:val="50FF026C"/>
    <w:rsid w:val="7AA2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2026-04-15T01:55:00Z</dcterms:created>
  <dc:creator>Administrator</dc:creator>
  <cp:lastModifiedBy>mini pc</cp:lastModifiedBy>
  <dcterms:modified xsi:type="dcterms:W3CDTF">2026-05-18T03:33:56Z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F02BCD6A006C48308271AA07803BA46D_13</vt:lpwstr>
  </property>
</Properties>
</file>