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68A32">
      <w:pPr>
        <w:adjustRightInd w:val="0"/>
        <w:snapToGrid w:val="0"/>
        <w:spacing w:line="360" w:lineRule="auto"/>
        <w:jc w:val="center"/>
        <w:rPr>
          <w:rFonts w:ascii="华文中宋" w:hAnsi="华文中宋" w:eastAsia="华文中宋"/>
          <w:b/>
          <w:color w:val="auto"/>
          <w:sz w:val="36"/>
          <w:szCs w:val="32"/>
          <w:shd w:val="clear" w:color="auto" w:fill="auto"/>
        </w:rPr>
      </w:pPr>
      <w:r>
        <w:rPr>
          <w:rFonts w:hint="eastAsia" w:ascii="华文中宋" w:hAnsi="华文中宋" w:eastAsia="华文中宋"/>
          <w:b/>
          <w:color w:val="auto"/>
          <w:sz w:val="36"/>
          <w:szCs w:val="32"/>
          <w:shd w:val="clear" w:color="auto" w:fill="auto"/>
        </w:rPr>
        <w:t>中国移动通信集团广东有限公司清</w:t>
      </w:r>
      <w:r>
        <w:rPr>
          <w:rFonts w:ascii="华文中宋" w:hAnsi="华文中宋" w:eastAsia="华文中宋"/>
          <w:b/>
          <w:color w:val="auto"/>
          <w:sz w:val="36"/>
          <w:szCs w:val="32"/>
          <w:shd w:val="clear" w:color="auto" w:fill="auto"/>
        </w:rPr>
        <w:t>远分公司</w:t>
      </w:r>
    </w:p>
    <w:p w14:paraId="746917AD">
      <w:pPr>
        <w:adjustRightInd w:val="0"/>
        <w:snapToGrid w:val="0"/>
        <w:spacing w:line="360" w:lineRule="auto"/>
        <w:jc w:val="center"/>
        <w:rPr>
          <w:rFonts w:ascii="华文中宋" w:hAnsi="华文中宋" w:eastAsia="华文中宋"/>
          <w:b/>
          <w:color w:val="auto"/>
          <w:sz w:val="36"/>
          <w:szCs w:val="32"/>
          <w:shd w:val="clear" w:color="auto" w:fill="auto"/>
        </w:rPr>
      </w:pPr>
      <w:r>
        <w:rPr>
          <w:rFonts w:hint="eastAsia" w:ascii="华文中宋" w:hAnsi="华文中宋" w:eastAsia="华文中宋"/>
          <w:b/>
          <w:color w:val="auto"/>
          <w:sz w:val="36"/>
          <w:szCs w:val="32"/>
          <w:shd w:val="clear" w:color="auto" w:fill="auto"/>
        </w:rPr>
        <w:t>业务招待费管理办法</w:t>
      </w:r>
    </w:p>
    <w:p w14:paraId="4BD325B5">
      <w:pPr>
        <w:adjustRightInd w:val="0"/>
        <w:snapToGrid w:val="0"/>
        <w:spacing w:line="360" w:lineRule="auto"/>
        <w:jc w:val="center"/>
        <w:rPr>
          <w:rFonts w:ascii="华文中宋" w:hAnsi="华文中宋" w:eastAsia="华文中宋"/>
          <w:b/>
          <w:color w:val="auto"/>
          <w:sz w:val="36"/>
          <w:szCs w:val="32"/>
          <w:shd w:val="clear" w:color="auto" w:fill="auto"/>
        </w:rPr>
      </w:pPr>
      <w:r>
        <w:rPr>
          <w:rFonts w:ascii="华文中宋" w:hAnsi="华文中宋" w:eastAsia="华文中宋"/>
          <w:b/>
          <w:color w:val="auto"/>
          <w:sz w:val="36"/>
          <w:szCs w:val="32"/>
          <w:shd w:val="clear" w:color="auto" w:fill="auto"/>
        </w:rPr>
        <w:t>（</w:t>
      </w:r>
      <w:r>
        <w:rPr>
          <w:rFonts w:hint="eastAsia" w:ascii="华文中宋" w:hAnsi="华文中宋" w:eastAsia="华文中宋"/>
          <w:b/>
          <w:color w:val="auto"/>
          <w:sz w:val="36"/>
          <w:szCs w:val="32"/>
          <w:shd w:val="clear" w:color="auto" w:fill="auto"/>
        </w:rPr>
        <w:t>V</w:t>
      </w:r>
      <w:r>
        <w:rPr>
          <w:rFonts w:hint="eastAsia" w:ascii="华文中宋" w:hAnsi="华文中宋" w:eastAsia="华文中宋"/>
          <w:b/>
          <w:color w:val="auto"/>
          <w:sz w:val="36"/>
          <w:szCs w:val="32"/>
          <w:shd w:val="clear" w:color="auto" w:fill="auto"/>
          <w:lang w:val="en-US" w:eastAsia="zh-CN"/>
        </w:rPr>
        <w:t>9</w:t>
      </w:r>
      <w:r>
        <w:rPr>
          <w:rFonts w:hint="eastAsia" w:ascii="华文中宋" w:hAnsi="华文中宋" w:eastAsia="华文中宋"/>
          <w:b/>
          <w:color w:val="auto"/>
          <w:sz w:val="36"/>
          <w:szCs w:val="32"/>
          <w:shd w:val="clear" w:color="auto" w:fill="auto"/>
        </w:rPr>
        <w:t>.</w:t>
      </w:r>
      <w:r>
        <w:rPr>
          <w:rFonts w:hint="eastAsia" w:ascii="华文中宋" w:hAnsi="华文中宋" w:eastAsia="华文中宋"/>
          <w:b/>
          <w:color w:val="auto"/>
          <w:sz w:val="36"/>
          <w:szCs w:val="32"/>
          <w:shd w:val="clear" w:color="auto" w:fill="auto"/>
          <w:lang w:val="en-US" w:eastAsia="zh-CN"/>
        </w:rPr>
        <w:t>0</w:t>
      </w:r>
      <w:r>
        <w:rPr>
          <w:rFonts w:ascii="华文中宋" w:hAnsi="华文中宋" w:eastAsia="华文中宋"/>
          <w:b/>
          <w:color w:val="auto"/>
          <w:sz w:val="36"/>
          <w:szCs w:val="32"/>
          <w:shd w:val="clear" w:color="auto" w:fill="auto"/>
        </w:rPr>
        <w:t>）</w:t>
      </w:r>
    </w:p>
    <w:p w14:paraId="255B0891">
      <w:pPr>
        <w:adjustRightInd w:val="0"/>
        <w:snapToGrid w:val="0"/>
        <w:spacing w:line="360" w:lineRule="auto"/>
        <w:jc w:val="center"/>
        <w:rPr>
          <w:rFonts w:ascii="黑体" w:hAnsi="黑体" w:eastAsia="黑体" w:cs="Times New Roman"/>
          <w:color w:val="auto"/>
          <w:sz w:val="32"/>
          <w:szCs w:val="32"/>
          <w:shd w:val="clear" w:color="auto" w:fill="auto"/>
        </w:rPr>
      </w:pPr>
    </w:p>
    <w:p w14:paraId="293699FE">
      <w:pPr>
        <w:adjustRightInd w:val="0"/>
        <w:snapToGrid w:val="0"/>
        <w:spacing w:before="156" w:beforeLines="50" w:after="156" w:afterLines="50" w:line="360" w:lineRule="auto"/>
        <w:jc w:val="center"/>
        <w:rPr>
          <w:rFonts w:ascii="黑体" w:hAnsi="黑体" w:eastAsia="黑体" w:cs="Times New Roman"/>
          <w:color w:val="auto"/>
          <w:shd w:val="clear" w:color="auto" w:fill="auto"/>
        </w:rPr>
      </w:pPr>
      <w:r>
        <w:rPr>
          <w:rFonts w:hint="eastAsia" w:ascii="黑体" w:hAnsi="黑体" w:eastAsia="黑体" w:cs="Times New Roman"/>
          <w:b/>
          <w:bCs/>
          <w:color w:val="auto"/>
          <w:sz w:val="32"/>
          <w:szCs w:val="32"/>
          <w:shd w:val="clear" w:color="auto" w:fill="auto"/>
        </w:rPr>
        <w:t>第一章  总则</w:t>
      </w:r>
    </w:p>
    <w:p w14:paraId="674EF1D6">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 xml:space="preserve">第一条 </w:t>
      </w:r>
      <w:r>
        <w:rPr>
          <w:rFonts w:hint="eastAsia" w:ascii="仿宋_GB2312" w:eastAsia="仿宋_GB2312" w:cs="仿宋_GB2312"/>
          <w:color w:val="auto"/>
          <w:sz w:val="32"/>
          <w:szCs w:val="32"/>
          <w:shd w:val="clear" w:color="auto" w:fill="auto"/>
        </w:rPr>
        <w:t>为深入贯彻落实中央八项规定精神，厉行勤俭节约，进一步规范公司的业务招待行为，根据省公司有关规定，结合公司实际，制订本办法。</w:t>
      </w:r>
    </w:p>
    <w:p w14:paraId="1A8A019F">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hAnsi="宋体" w:eastAsia="仿宋_GB2312" w:cs="宋体"/>
          <w:b/>
          <w:color w:val="auto"/>
          <w:kern w:val="0"/>
          <w:sz w:val="32"/>
          <w:szCs w:val="32"/>
          <w:shd w:val="clear" w:color="auto" w:fill="auto"/>
        </w:rPr>
        <w:t>第二条</w:t>
      </w:r>
      <w:r>
        <w:rPr>
          <w:rFonts w:ascii="仿宋_GB2312" w:hAnsi="宋体" w:eastAsia="仿宋_GB2312" w:cs="宋体"/>
          <w:b/>
          <w:color w:val="auto"/>
          <w:kern w:val="0"/>
          <w:sz w:val="32"/>
          <w:szCs w:val="32"/>
          <w:shd w:val="clear" w:color="auto" w:fill="auto"/>
        </w:rPr>
        <w:t xml:space="preserve"> </w:t>
      </w:r>
      <w:r>
        <w:rPr>
          <w:rFonts w:hint="eastAsia" w:ascii="仿宋_GB2312" w:eastAsia="仿宋_GB2312" w:cs="仿宋_GB2312"/>
          <w:color w:val="auto"/>
          <w:sz w:val="32"/>
          <w:szCs w:val="32"/>
          <w:shd w:val="clear" w:color="auto" w:fill="auto"/>
        </w:rPr>
        <w:t>本办法适用于中国移动广东公司清远分公司市公司本部及所辖各县区分公司（以下简称：各单位）。</w:t>
      </w:r>
    </w:p>
    <w:p w14:paraId="085F61EC">
      <w:pPr>
        <w:pStyle w:val="14"/>
        <w:adjustRightInd w:val="0"/>
        <w:snapToGrid w:val="0"/>
        <w:spacing w:line="360" w:lineRule="auto"/>
        <w:ind w:firstLine="640"/>
        <w:rPr>
          <w:rFonts w:ascii="仿宋_GB2312" w:eastAsia="仿宋_GB2312" w:cs="仿宋_GB2312"/>
          <w:color w:val="000000" w:themeColor="text1"/>
          <w:sz w:val="32"/>
          <w:szCs w:val="32"/>
          <w14:textFill>
            <w14:solidFill>
              <w14:schemeClr w14:val="tx1"/>
            </w14:solidFill>
          </w14:textFill>
        </w:rPr>
      </w:pPr>
      <w:r>
        <w:rPr>
          <w:rFonts w:hint="eastAsia" w:ascii="楷体_GB2312" w:hAnsi="楷体" w:eastAsia="楷体_GB2312" w:cs="仿宋_GB2312"/>
          <w:color w:val="000000" w:themeColor="text1"/>
          <w:sz w:val="32"/>
          <w:szCs w:val="32"/>
          <w14:textFill>
            <w14:solidFill>
              <w14:schemeClr w14:val="tx1"/>
            </w14:solidFill>
          </w14:textFill>
        </w:rPr>
        <w:t>第三条</w:t>
      </w:r>
      <w:r>
        <w:rPr>
          <w:rFonts w:ascii="仿宋_GB2312" w:eastAsia="仿宋_GB2312" w:cs="仿宋_GB2312"/>
          <w:color w:val="000000" w:themeColor="text1"/>
          <w:sz w:val="32"/>
          <w:szCs w:val="32"/>
          <w14:textFill>
            <w14:solidFill>
              <w14:schemeClr w14:val="tx1"/>
            </w14:solidFill>
          </w14:textFill>
        </w:rPr>
        <w:t xml:space="preserve"> </w:t>
      </w:r>
      <w:r>
        <w:rPr>
          <w:rFonts w:hint="eastAsia" w:ascii="仿宋_GB2312" w:eastAsia="仿宋_GB2312" w:cs="仿宋_GB2312"/>
          <w:color w:val="000000" w:themeColor="text1"/>
          <w:sz w:val="32"/>
          <w:szCs w:val="32"/>
          <w14:textFill>
            <w14:solidFill>
              <w14:schemeClr w14:val="tx1"/>
            </w14:solidFill>
          </w14:textFill>
        </w:rPr>
        <w:t>业务招待分为对外业务招待和内部业务招待。对外业务招待主要分为商务、外事、其他公务招待活动等。在商业谈判或商业合作中招待客户、合资合作方、经贸联络考察团组的活动属于商务招待，商务招待对象不包括党政军机关工作人员和国有企业集团总部工作人员。招待党政军机关工作人员，招待单位（招待部门）要参照《党政机关国内公务接待管理规定》执行。因公招待外宾或其他外籍关系人员的活动属于外事招待。招待其他人员的公务活动属于其他公务招待。内部业务招待是指集团公司内部上下级单位之间、平级单位之间的公务招待活动。</w:t>
      </w:r>
    </w:p>
    <w:p w14:paraId="661C1601">
      <w:pPr>
        <w:adjustRightInd w:val="0"/>
        <w:snapToGrid w:val="0"/>
        <w:spacing w:line="360" w:lineRule="auto"/>
        <w:ind w:firstLine="630"/>
        <w:rPr>
          <w:rFonts w:ascii="黑体" w:hAnsi="黑体" w:eastAsia="黑体"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第四条</w:t>
      </w:r>
      <w:r>
        <w:rPr>
          <w:rFonts w:hint="eastAsia" w:ascii="楷体_GB2312" w:hAnsi="楷体" w:eastAsia="楷体_GB2312" w:cs="仿宋_GB2312"/>
          <w:color w:val="auto"/>
          <w:sz w:val="32"/>
          <w:szCs w:val="32"/>
          <w:shd w:val="clear" w:color="auto" w:fill="auto"/>
        </w:rPr>
        <w:t xml:space="preserve"> </w:t>
      </w:r>
      <w:r>
        <w:rPr>
          <w:rFonts w:hint="eastAsia" w:ascii="仿宋_GB2312" w:eastAsia="仿宋_GB2312" w:cs="仿宋_GB2312"/>
          <w:color w:val="auto"/>
          <w:sz w:val="32"/>
          <w:szCs w:val="32"/>
          <w:shd w:val="clear" w:color="auto" w:fill="auto"/>
        </w:rPr>
        <w:t>各单位</w:t>
      </w:r>
      <w:r>
        <w:rPr>
          <w:rFonts w:hint="eastAsia" w:ascii="仿宋_GB2312" w:eastAsia="仿宋_GB2312"/>
          <w:color w:val="auto"/>
          <w:sz w:val="32"/>
          <w:szCs w:val="32"/>
          <w:shd w:val="clear" w:color="auto" w:fill="auto"/>
        </w:rPr>
        <w:t>应严格遵照中央八项规定精神、广东公司及市公司相关规定等的要求，</w:t>
      </w:r>
      <w:r>
        <w:rPr>
          <w:rFonts w:hint="eastAsia" w:ascii="仿宋_GB2312" w:eastAsia="仿宋_GB2312" w:cs="仿宋_GB2312"/>
          <w:color w:val="auto"/>
          <w:sz w:val="32"/>
          <w:szCs w:val="32"/>
          <w:shd w:val="clear" w:color="auto" w:fill="auto"/>
        </w:rPr>
        <w:t>本着“依法依规、从严从紧、廉洁节俭、规范透明”的原则，加强业务招待费管理，综合考虑业务性质、地区物价指数等因素，从紧核定各类业务招待活动的开支标准，并在日常管理中严格执行相关标准，杜绝奢侈浪费。公司将定期审视业务招待费开支标准，及时优化调整。</w:t>
      </w:r>
    </w:p>
    <w:p w14:paraId="18222646">
      <w:pPr>
        <w:adjustRightInd w:val="0"/>
        <w:snapToGrid w:val="0"/>
        <w:spacing w:before="156" w:beforeLines="50" w:after="156" w:afterLines="50" w:line="360" w:lineRule="auto"/>
        <w:jc w:val="center"/>
        <w:rPr>
          <w:rFonts w:ascii="仿宋_GB2312" w:eastAsia="仿宋_GB2312" w:cs="仿宋_GB2312"/>
          <w:b/>
          <w:bCs/>
          <w:color w:val="auto"/>
          <w:shd w:val="clear" w:color="auto" w:fill="auto"/>
        </w:rPr>
      </w:pPr>
      <w:r>
        <w:rPr>
          <w:rFonts w:hint="eastAsia" w:ascii="黑体" w:hAnsi="黑体" w:eastAsia="黑体" w:cs="Times New Roman"/>
          <w:b/>
          <w:bCs/>
          <w:color w:val="auto"/>
          <w:sz w:val="32"/>
          <w:szCs w:val="32"/>
          <w:shd w:val="clear" w:color="auto" w:fill="auto"/>
        </w:rPr>
        <w:t>第二章 分工和职责</w:t>
      </w:r>
    </w:p>
    <w:p w14:paraId="5EB8D93D">
      <w:pPr>
        <w:adjustRightInd w:val="0"/>
        <w:snapToGrid w:val="0"/>
        <w:spacing w:line="360" w:lineRule="auto"/>
        <w:ind w:firstLine="630"/>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 xml:space="preserve"> 第五条 业务招待费办公室（党委办公室）归口管理。办公室（党委办公室）协同财务等相关部门，制订本单位业务招待费开支标准。办公室（党委办公室）负责对业务招待费预算进行额度控制，审核制定业务招待费年度预算方案，分解落实各单位业务招待费部门预算。各单位应强化业务招待费预算执行跟踪监督机制，不得超预算或无预算安排支出，确需调整预算的，应重新按照公司预算管理流程执行。</w:t>
      </w:r>
    </w:p>
    <w:p w14:paraId="3D9E4E6C">
      <w:pPr>
        <w:adjustRightInd w:val="0"/>
        <w:snapToGrid w:val="0"/>
        <w:spacing w:line="360" w:lineRule="auto"/>
        <w:ind w:firstLine="630"/>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第六条  各单位应当严格执行有关财经制度，实行预算管理，合理控制预算总额，加强预算硬约束，将各类业务招待费全部纳入年度预算范围，并建立健全业务招待费预算编制、审核和执行监督工作机制：</w:t>
      </w:r>
    </w:p>
    <w:p w14:paraId="2AFD4349">
      <w:pPr>
        <w:adjustRightInd w:val="0"/>
        <w:snapToGrid w:val="0"/>
        <w:spacing w:line="360" w:lineRule="auto"/>
        <w:ind w:firstLine="630"/>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一）上级单位每年年初根据所属单位实际经营情况及相关监管要求，按照业务招待费占营业收入比或业务招待费变化率等计算方式，下达本单位业务招待费年度管控目标，并明确相关管控要求,加强对所属单位的业务招待费管理。</w:t>
      </w:r>
    </w:p>
    <w:p w14:paraId="24414818">
      <w:pPr>
        <w:adjustRightInd w:val="0"/>
        <w:snapToGrid w:val="0"/>
        <w:spacing w:line="360" w:lineRule="auto"/>
        <w:ind w:firstLine="630"/>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（二）本级单位对业务招待费实施分部门预算额度管控。办公室根据上级单位确定的年度业务招待费额度，制定各单位年度预算分解方案，报呈公司领导审批，经批准后作为各单位招待费年度预算。</w:t>
      </w:r>
    </w:p>
    <w:p w14:paraId="75EB937A">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b/>
          <w:bCs/>
          <w:color w:val="auto"/>
          <w:sz w:val="32"/>
          <w:szCs w:val="32"/>
          <w:shd w:val="clear" w:color="auto" w:fill="auto"/>
        </w:rPr>
        <w:t xml:space="preserve">第七条 </w:t>
      </w:r>
      <w:r>
        <w:rPr>
          <w:rFonts w:hint="eastAsia" w:ascii="仿宋_GB2312" w:eastAsia="仿宋_GB2312" w:cs="仿宋_GB2312"/>
          <w:color w:val="auto"/>
          <w:sz w:val="32"/>
          <w:szCs w:val="32"/>
          <w:shd w:val="clear" w:color="auto" w:fill="auto"/>
        </w:rPr>
        <w:t>业务招待的组织开展遵循业务相关性原则分工负责：</w:t>
      </w:r>
    </w:p>
    <w:p w14:paraId="2586A578">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（一）市公司多部门共同开展的业务招待：由办公室主办，对口专业部门协办，做好资源调配，服务执行等工作。</w:t>
      </w:r>
    </w:p>
    <w:p w14:paraId="37469E9B">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（二）市公司单一部门开展的业务招待：由各部门按照本办法独立办理。</w:t>
      </w:r>
    </w:p>
    <w:p w14:paraId="0A4B291A">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（三）县区分公司可参考市公司原则进行分工。</w:t>
      </w:r>
    </w:p>
    <w:p w14:paraId="7870B32B">
      <w:pPr>
        <w:adjustRightInd w:val="0"/>
        <w:snapToGrid w:val="0"/>
        <w:spacing w:line="360" w:lineRule="auto"/>
        <w:ind w:firstLine="645"/>
        <w:rPr>
          <w:rFonts w:hint="eastAsia" w:ascii="仿宋_GB2312" w:eastAsia="仿宋_GB2312" w:cs="仿宋_GB2312"/>
          <w:color w:val="auto"/>
          <w:sz w:val="32"/>
          <w:szCs w:val="32"/>
          <w:shd w:val="clear" w:color="auto" w:fill="auto"/>
        </w:rPr>
      </w:pPr>
    </w:p>
    <w:p w14:paraId="1AC706EA">
      <w:pPr>
        <w:adjustRightInd w:val="0"/>
        <w:snapToGrid w:val="0"/>
        <w:spacing w:before="156" w:beforeLines="50" w:after="156" w:afterLines="50" w:line="360" w:lineRule="auto"/>
        <w:jc w:val="center"/>
        <w:rPr>
          <w:rFonts w:ascii="黑体" w:hAnsi="黑体" w:eastAsia="黑体" w:cs="Times New Roman"/>
          <w:b/>
          <w:bCs/>
          <w:color w:val="auto"/>
          <w:sz w:val="32"/>
          <w:szCs w:val="32"/>
          <w:shd w:val="clear" w:color="auto" w:fill="auto"/>
        </w:rPr>
      </w:pPr>
      <w:r>
        <w:rPr>
          <w:rFonts w:hint="eastAsia" w:ascii="黑体" w:hAnsi="黑体" w:eastAsia="黑体" w:cs="Times New Roman"/>
          <w:b/>
          <w:bCs/>
          <w:color w:val="auto"/>
          <w:sz w:val="32"/>
          <w:szCs w:val="32"/>
          <w:shd w:val="clear" w:color="auto" w:fill="auto"/>
        </w:rPr>
        <w:t>第三章 业务招待范围及标准</w:t>
      </w:r>
    </w:p>
    <w:p w14:paraId="4D417264">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b/>
          <w:bCs/>
          <w:color w:val="auto"/>
          <w:sz w:val="32"/>
          <w:szCs w:val="32"/>
          <w:shd w:val="clear" w:color="auto" w:fill="auto"/>
        </w:rPr>
        <w:t xml:space="preserve">第八条 </w:t>
      </w:r>
      <w:r>
        <w:rPr>
          <w:rFonts w:hint="eastAsia" w:ascii="仿宋_GB2312" w:eastAsia="仿宋_GB2312" w:cs="仿宋_GB2312"/>
          <w:color w:val="auto"/>
          <w:sz w:val="32"/>
          <w:szCs w:val="32"/>
          <w:shd w:val="clear" w:color="auto" w:fill="auto"/>
        </w:rPr>
        <w:t>下列费用可列支业务招待费：</w:t>
      </w:r>
    </w:p>
    <w:p w14:paraId="34692391">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（一）在公务活动中，宴请客户、合作伙伴、来宾，或提供工作餐。</w:t>
      </w:r>
    </w:p>
    <w:p w14:paraId="25B8611F">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（二）因开展商务招待活动或外事招待活动，赠送纪念品；</w:t>
      </w:r>
    </w:p>
    <w:p w14:paraId="1CC43D49">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（三）因开展商务招待活动，提供招待用车、住宿；</w:t>
      </w:r>
    </w:p>
    <w:p w14:paraId="3DBC55BA">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（四）招待客户、来宾发生的零星开支（如茶叶、水果等）。</w:t>
      </w:r>
    </w:p>
    <w:p w14:paraId="1E76A371">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b/>
          <w:bCs/>
          <w:color w:val="auto"/>
          <w:sz w:val="32"/>
          <w:szCs w:val="32"/>
          <w:shd w:val="clear" w:color="auto" w:fill="auto"/>
        </w:rPr>
        <w:t>第</w:t>
      </w:r>
      <w:r>
        <w:rPr>
          <w:rFonts w:hint="eastAsia" w:ascii="仿宋_GB2312" w:eastAsia="仿宋_GB2312" w:cs="仿宋_GB2312"/>
          <w:b/>
          <w:bCs/>
          <w:color w:val="auto"/>
          <w:sz w:val="32"/>
          <w:szCs w:val="32"/>
          <w:shd w:val="clear" w:color="auto" w:fill="auto"/>
          <w:lang w:eastAsia="zh-CN"/>
        </w:rPr>
        <w:t>九</w:t>
      </w:r>
      <w:r>
        <w:rPr>
          <w:rFonts w:hint="eastAsia" w:ascii="仿宋_GB2312" w:eastAsia="仿宋_GB2312" w:cs="仿宋_GB2312"/>
          <w:b/>
          <w:bCs/>
          <w:color w:val="auto"/>
          <w:sz w:val="32"/>
          <w:szCs w:val="32"/>
          <w:shd w:val="clear" w:color="auto" w:fill="auto"/>
        </w:rPr>
        <w:t xml:space="preserve">条 </w:t>
      </w:r>
      <w:r>
        <w:rPr>
          <w:rFonts w:hint="eastAsia" w:ascii="仿宋_GB2312" w:eastAsia="仿宋_GB2312" w:cs="仿宋_GB2312"/>
          <w:color w:val="auto"/>
          <w:sz w:val="32"/>
          <w:szCs w:val="32"/>
          <w:shd w:val="clear" w:color="auto" w:fill="auto"/>
        </w:rPr>
        <w:t>对外业务招待标准（含酒水、饮料等）如下：</w:t>
      </w:r>
    </w:p>
    <w:p w14:paraId="2E627FFA">
      <w:pPr>
        <w:pStyle w:val="14"/>
        <w:spacing w:line="360" w:lineRule="auto"/>
        <w:ind w:firstLine="643"/>
        <w:rPr>
          <w:rFonts w:ascii="仿宋_GB2312" w:eastAsia="仿宋_GB2312" w:cs="仿宋_GB2312"/>
          <w:b/>
          <w:color w:val="auto"/>
          <w:sz w:val="32"/>
          <w:szCs w:val="32"/>
          <w:shd w:val="clear" w:color="auto" w:fill="auto"/>
        </w:rPr>
      </w:pPr>
      <w:r>
        <w:rPr>
          <w:rFonts w:hint="eastAsia" w:ascii="仿宋_GB2312" w:eastAsia="仿宋_GB2312" w:cs="仿宋_GB2312"/>
          <w:b/>
          <w:color w:val="auto"/>
          <w:sz w:val="32"/>
          <w:szCs w:val="32"/>
          <w:shd w:val="clear" w:color="auto" w:fill="auto"/>
        </w:rPr>
        <w:t>（一）省管中层经理</w:t>
      </w:r>
      <w:r>
        <w:rPr>
          <w:rFonts w:ascii="仿宋_GB2312" w:eastAsia="仿宋_GB2312" w:cs="仿宋_GB2312"/>
          <w:b/>
          <w:color w:val="auto"/>
          <w:sz w:val="32"/>
          <w:szCs w:val="32"/>
          <w:shd w:val="clear" w:color="auto" w:fill="auto"/>
        </w:rPr>
        <w:t>人员</w:t>
      </w:r>
      <w:r>
        <w:rPr>
          <w:rFonts w:hint="eastAsia" w:ascii="仿宋_GB2312" w:eastAsia="仿宋_GB2312" w:cs="仿宋_GB2312"/>
          <w:b/>
          <w:color w:val="auto"/>
          <w:sz w:val="32"/>
          <w:szCs w:val="32"/>
          <w:shd w:val="clear" w:color="auto" w:fill="auto"/>
        </w:rPr>
        <w:t>开展的业务招待活动：</w:t>
      </w:r>
    </w:p>
    <w:p w14:paraId="48A27C5D">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（1）外事</w:t>
      </w:r>
      <w:r>
        <w:rPr>
          <w:rFonts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商务招待活动：宴请标准不得超过</w:t>
      </w:r>
      <w:r>
        <w:rPr>
          <w:rFonts w:ascii="仿宋_GB2312" w:eastAsia="仿宋_GB2312" w:cs="仿宋_GB2312"/>
          <w:color w:val="auto"/>
          <w:sz w:val="32"/>
          <w:szCs w:val="32"/>
          <w:shd w:val="clear" w:color="auto" w:fill="auto"/>
        </w:rPr>
        <w:t>400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次，赠送纪念品标准不得超过</w:t>
      </w:r>
      <w:r>
        <w:rPr>
          <w:rFonts w:ascii="仿宋_GB2312" w:eastAsia="仿宋_GB2312" w:cs="仿宋_GB2312"/>
          <w:color w:val="auto"/>
          <w:sz w:val="32"/>
          <w:szCs w:val="32"/>
          <w:shd w:val="clear" w:color="auto" w:fill="auto"/>
        </w:rPr>
        <w:t>400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4417D99B">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（2）其他公务招待活动：宴请标准不得超过20</w:t>
      </w:r>
      <w:r>
        <w:rPr>
          <w:rFonts w:ascii="仿宋_GB2312" w:eastAsia="仿宋_GB2312" w:cs="仿宋_GB2312"/>
          <w:color w:val="auto"/>
          <w:sz w:val="32"/>
          <w:szCs w:val="32"/>
          <w:shd w:val="clear" w:color="auto" w:fill="auto"/>
        </w:rPr>
        <w:t>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次，不得赠送纪念品。</w:t>
      </w:r>
    </w:p>
    <w:p w14:paraId="304DCCC7">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（3）不得提供高档酒水，白酒每500毫升、红酒每750毫升售价不得超过400元。</w:t>
      </w:r>
    </w:p>
    <w:p w14:paraId="7E5FB0A5">
      <w:pPr>
        <w:pStyle w:val="14"/>
        <w:spacing w:line="360" w:lineRule="auto"/>
        <w:ind w:firstLine="643"/>
        <w:rPr>
          <w:rFonts w:ascii="仿宋_GB2312" w:eastAsia="仿宋_GB2312" w:cs="仿宋_GB2312"/>
          <w:b/>
          <w:color w:val="auto"/>
          <w:sz w:val="32"/>
          <w:szCs w:val="32"/>
          <w:shd w:val="clear" w:color="auto" w:fill="auto"/>
        </w:rPr>
      </w:pPr>
      <w:r>
        <w:rPr>
          <w:rFonts w:hint="eastAsia" w:ascii="仿宋_GB2312" w:eastAsia="仿宋_GB2312" w:cs="仿宋_GB2312"/>
          <w:b/>
          <w:color w:val="auto"/>
          <w:sz w:val="32"/>
          <w:szCs w:val="32"/>
          <w:shd w:val="clear" w:color="auto" w:fill="auto"/>
        </w:rPr>
        <w:t>（二）市管中层经理人员开展的业务招待活动：</w:t>
      </w:r>
    </w:p>
    <w:p w14:paraId="4465DA8C">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（1）外事</w:t>
      </w:r>
      <w:r>
        <w:rPr>
          <w:rFonts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商务招待活动：宴请标准不得超过</w:t>
      </w:r>
      <w:r>
        <w:rPr>
          <w:rFonts w:ascii="仿宋_GB2312" w:eastAsia="仿宋_GB2312" w:cs="仿宋_GB2312"/>
          <w:color w:val="auto"/>
          <w:sz w:val="32"/>
          <w:szCs w:val="32"/>
          <w:shd w:val="clear" w:color="auto" w:fill="auto"/>
        </w:rPr>
        <w:t>300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次，赠送纪念品标准不得超过</w:t>
      </w:r>
      <w:r>
        <w:rPr>
          <w:rFonts w:ascii="仿宋_GB2312" w:eastAsia="仿宋_GB2312" w:cs="仿宋_GB2312"/>
          <w:color w:val="auto"/>
          <w:sz w:val="32"/>
          <w:szCs w:val="32"/>
          <w:shd w:val="clear" w:color="auto" w:fill="auto"/>
        </w:rPr>
        <w:t>30</w:t>
      </w:r>
      <w:r>
        <w:rPr>
          <w:rFonts w:hint="eastAsia" w:ascii="仿宋_GB2312" w:eastAsia="仿宋_GB2312" w:cs="仿宋_GB2312"/>
          <w:color w:val="auto"/>
          <w:sz w:val="32"/>
          <w:szCs w:val="32"/>
          <w:shd w:val="clear" w:color="auto" w:fill="auto"/>
        </w:rPr>
        <w:t>0元/人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28A30F08">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（2）其他公务招待活动：宴请标准不得超过200元/人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次，不得赠送纪念品。</w:t>
      </w:r>
    </w:p>
    <w:p w14:paraId="4BB2BA56">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（3）不得提供高档酒水，白酒每500毫升、红酒每750毫升售价不得超过300元。</w:t>
      </w:r>
    </w:p>
    <w:p w14:paraId="6ECB403D">
      <w:pPr>
        <w:pStyle w:val="14"/>
        <w:spacing w:line="360" w:lineRule="auto"/>
        <w:ind w:firstLine="643"/>
        <w:rPr>
          <w:rFonts w:ascii="仿宋_GB2312" w:eastAsia="仿宋_GB2312" w:cs="仿宋_GB2312"/>
          <w:b/>
          <w:color w:val="auto"/>
          <w:sz w:val="32"/>
          <w:szCs w:val="32"/>
          <w:shd w:val="clear" w:color="auto" w:fill="auto"/>
        </w:rPr>
      </w:pPr>
      <w:r>
        <w:rPr>
          <w:rFonts w:hint="eastAsia" w:ascii="仿宋_GB2312" w:eastAsia="仿宋_GB2312" w:cs="仿宋_GB2312"/>
          <w:b/>
          <w:color w:val="auto"/>
          <w:sz w:val="32"/>
          <w:szCs w:val="32"/>
          <w:shd w:val="clear" w:color="auto" w:fill="auto"/>
        </w:rPr>
        <w:t>（三）其他人员开展的业务招待活动：</w:t>
      </w:r>
    </w:p>
    <w:p w14:paraId="13FD6C80">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（1）外事</w:t>
      </w:r>
      <w:r>
        <w:rPr>
          <w:rFonts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商务招待活动：宴请标准不得超过</w:t>
      </w:r>
      <w:r>
        <w:rPr>
          <w:rFonts w:ascii="仿宋_GB2312" w:eastAsia="仿宋_GB2312" w:cs="仿宋_GB2312"/>
          <w:color w:val="auto"/>
          <w:sz w:val="32"/>
          <w:szCs w:val="32"/>
          <w:shd w:val="clear" w:color="auto" w:fill="auto"/>
        </w:rPr>
        <w:t>200</w:t>
      </w:r>
      <w:r>
        <w:rPr>
          <w:rFonts w:hint="eastAsia" w:ascii="仿宋_GB2312" w:eastAsia="仿宋_GB2312" w:cs="仿宋_GB2312"/>
          <w:color w:val="auto"/>
          <w:sz w:val="32"/>
          <w:szCs w:val="32"/>
          <w:shd w:val="clear" w:color="auto" w:fill="auto"/>
        </w:rPr>
        <w:t>元</w:t>
      </w:r>
      <w:r>
        <w:rPr>
          <w:rFonts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次，赠送纪念品标准不得超过</w:t>
      </w:r>
      <w:r>
        <w:rPr>
          <w:rFonts w:ascii="仿宋_GB2312" w:eastAsia="仿宋_GB2312" w:cs="仿宋_GB2312"/>
          <w:color w:val="auto"/>
          <w:sz w:val="32"/>
          <w:szCs w:val="32"/>
          <w:shd w:val="clear" w:color="auto" w:fill="auto"/>
        </w:rPr>
        <w:t>200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2B4FADFD">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（2）其他公务招待活动：宴请标准不得超过150元/人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次，不得赠送纪念品。</w:t>
      </w:r>
    </w:p>
    <w:p w14:paraId="0C28EBE8">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（3）不得提供高档酒水，白酒每500毫升、红酒每750毫升售价不得超过200元。</w:t>
      </w:r>
    </w:p>
    <w:p w14:paraId="231D7CE8">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四）商务招待用车是指为招待对象便利出行提供的车辆保障服务。商务招待用车应当遵循统一管理、定向保障、经济适用、节能环保的原则，履行内部审批程序，做好登记备案，合理调配、规范用车，严禁公车私用、私车公养。出行应当集中乘车，减少随行车辆。优先安排使用公司自有车辆，确需租用车辆的，应当与资质合格、运营规范的汽车租赁公司签订租赁合同。</w:t>
      </w:r>
    </w:p>
    <w:p w14:paraId="39AED8CD">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五）商务招待确需安排住宿的，应当注重安全、舒适，不追求奢华，一般均应安排单间或标准间，对特别重要的人员可安排普通套间。住宿费标准参照《中国移动通信集团广东有限公司清远分公司差旅费管理办法》规定的同城市相应级别执行。</w:t>
      </w:r>
    </w:p>
    <w:p w14:paraId="21E6B122">
      <w:pPr>
        <w:adjustRightInd w:val="0"/>
        <w:snapToGrid w:val="0"/>
        <w:spacing w:line="360" w:lineRule="auto"/>
        <w:ind w:firstLine="645"/>
        <w:rPr>
          <w:rFonts w:hint="eastAsia"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（六）国有企业之间开展商务招待，各项标准应从严把握。</w:t>
      </w:r>
    </w:p>
    <w:p w14:paraId="0053E5F7">
      <w:pPr>
        <w:adjustRightInd w:val="0"/>
        <w:snapToGrid w:val="0"/>
        <w:spacing w:line="360" w:lineRule="auto"/>
        <w:ind w:firstLine="660"/>
        <w:rPr>
          <w:rFonts w:hint="eastAsia"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第十条</w:t>
      </w:r>
      <w:r>
        <w:rPr>
          <w:rFonts w:hint="eastAsia" w:ascii="仿宋_GB2312" w:eastAsia="仿宋_GB2312" w:cs="Times New Roman"/>
          <w:color w:val="auto"/>
          <w:sz w:val="32"/>
          <w:szCs w:val="32"/>
          <w:shd w:val="clear" w:color="auto" w:fill="auto"/>
        </w:rPr>
        <w:t xml:space="preserve"> </w:t>
      </w:r>
      <w:r>
        <w:rPr>
          <w:rFonts w:hint="eastAsia" w:ascii="仿宋_GB2312" w:eastAsia="仿宋_GB2312" w:cs="仿宋_GB2312"/>
          <w:b/>
          <w:color w:val="auto"/>
          <w:sz w:val="32"/>
          <w:szCs w:val="32"/>
          <w:shd w:val="clear" w:color="auto" w:fill="auto"/>
        </w:rPr>
        <w:t>内部业务招待活动要求：</w:t>
      </w:r>
    </w:p>
    <w:p w14:paraId="2AEB5F17">
      <w:pPr>
        <w:adjustRightInd w:val="0"/>
        <w:snapToGrid w:val="0"/>
        <w:spacing w:line="360" w:lineRule="auto"/>
        <w:ind w:firstLine="660"/>
        <w:rPr>
          <w:rFonts w:hint="eastAsia" w:ascii="仿宋_GB2312" w:eastAsia="仿宋_GB2312"/>
          <w:color w:val="auto"/>
          <w:sz w:val="32"/>
          <w:szCs w:val="32"/>
          <w:shd w:val="clear" w:color="auto" w:fill="auto"/>
        </w:rPr>
      </w:pPr>
      <w:r>
        <w:rPr>
          <w:rFonts w:hint="eastAsia" w:ascii="仿宋_GB2312" w:eastAsia="仿宋_GB2312"/>
          <w:color w:val="auto"/>
          <w:sz w:val="32"/>
          <w:szCs w:val="32"/>
          <w:shd w:val="clear" w:color="auto" w:fill="auto"/>
        </w:rPr>
        <w:t>开展内部公务活动期间如需用餐，一般应安排工作餐。工作餐原则上在单位食堂，优先采用自助形式，用餐标准参照所在单位食堂正常标准或差旅伙食补贴标准合理确定，不上烟酒。如因外出调研等原因无法在食堂用餐，可参照上述标准就近安排。出差人员按规定领取差旅伙食补贴的，应交纳相关费用。</w:t>
      </w:r>
    </w:p>
    <w:p w14:paraId="006AE749">
      <w:pPr>
        <w:pStyle w:val="14"/>
        <w:spacing w:line="360" w:lineRule="auto"/>
        <w:ind w:firstLine="640"/>
        <w:rPr>
          <w:rFonts w:hint="eastAsia" w:ascii="仿宋_GB2312" w:eastAsia="仿宋_GB2312" w:cs="仿宋_GB2312"/>
          <w:color w:val="auto"/>
          <w:sz w:val="32"/>
          <w:szCs w:val="32"/>
          <w:shd w:val="clear" w:color="auto" w:fill="auto"/>
          <w:lang w:eastAsia="zh-CN"/>
        </w:rPr>
      </w:pPr>
      <w:r>
        <w:rPr>
          <w:rFonts w:hint="eastAsia" w:ascii="仿宋_GB2312" w:eastAsia="仿宋_GB2312"/>
          <w:color w:val="auto"/>
          <w:sz w:val="32"/>
          <w:szCs w:val="32"/>
          <w:shd w:val="clear" w:color="auto" w:fill="auto"/>
        </w:rPr>
        <w:t>开展内部公务活动期间，如确需安排内部业务招待活动，应本着内外有别、朴素节约的原则开展，不得进行商务宴请，不上烟酒、不得赠送纪念品。招待同一批次对象，原则上不超过1次。</w:t>
      </w:r>
      <w:r>
        <w:rPr>
          <w:rFonts w:hint="eastAsia" w:ascii="仿宋_GB2312" w:eastAsia="仿宋_GB2312" w:cs="仿宋_GB2312"/>
          <w:color w:val="auto"/>
          <w:sz w:val="32"/>
          <w:szCs w:val="32"/>
          <w:shd w:val="clear" w:color="auto" w:fill="auto"/>
        </w:rPr>
        <w:t>位于同一城区的内部单位之间，原则上不</w:t>
      </w:r>
      <w:r>
        <w:rPr>
          <w:rFonts w:ascii="仿宋_GB2312" w:eastAsia="仿宋_GB2312" w:cs="仿宋_GB2312"/>
          <w:color w:val="auto"/>
          <w:sz w:val="32"/>
          <w:szCs w:val="32"/>
          <w:shd w:val="clear" w:color="auto" w:fill="auto"/>
        </w:rPr>
        <w:t>安排业务招待</w:t>
      </w:r>
      <w:r>
        <w:rPr>
          <w:rFonts w:hint="eastAsia" w:ascii="仿宋_GB2312" w:eastAsia="仿宋_GB2312" w:cs="仿宋_GB2312"/>
          <w:color w:val="auto"/>
          <w:sz w:val="32"/>
          <w:szCs w:val="32"/>
          <w:shd w:val="clear" w:color="auto" w:fill="auto"/>
        </w:rPr>
        <w:t>，可</w:t>
      </w:r>
      <w:r>
        <w:rPr>
          <w:rFonts w:ascii="仿宋_GB2312" w:eastAsia="仿宋_GB2312" w:cs="仿宋_GB2312"/>
          <w:color w:val="auto"/>
          <w:sz w:val="32"/>
          <w:szCs w:val="32"/>
          <w:shd w:val="clear" w:color="auto" w:fill="auto"/>
        </w:rPr>
        <w:t>视情况安排工作餐</w:t>
      </w:r>
      <w:r>
        <w:rPr>
          <w:rFonts w:hint="eastAsia"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lang w:eastAsia="zh-CN"/>
        </w:rPr>
        <w:t>（工作餐次数可按实际工作需求安排）</w:t>
      </w:r>
    </w:p>
    <w:p w14:paraId="14A15E62">
      <w:pPr>
        <w:adjustRightInd w:val="0"/>
        <w:snapToGrid w:val="0"/>
        <w:spacing w:line="360" w:lineRule="auto"/>
        <w:ind w:firstLine="660"/>
        <w:rPr>
          <w:rFonts w:hint="eastAsia" w:ascii="仿宋_GB2312" w:hAnsi="宋体" w:eastAsia="仿宋_GB2312" w:cs="仿宋_GB2312"/>
          <w:i w:val="0"/>
          <w:iCs w:val="0"/>
          <w:caps w:val="0"/>
          <w:color w:val="auto"/>
          <w:spacing w:val="0"/>
          <w:sz w:val="32"/>
          <w:szCs w:val="32"/>
          <w:shd w:val="clear" w:color="auto" w:fill="auto"/>
          <w:lang w:eastAsia="zh-CN"/>
        </w:rPr>
      </w:pPr>
      <w:r>
        <w:rPr>
          <w:rFonts w:ascii="仿宋_GB2312" w:hAnsi="宋体" w:eastAsia="仿宋_GB2312" w:cs="仿宋_GB2312"/>
          <w:i w:val="0"/>
          <w:iCs w:val="0"/>
          <w:caps w:val="0"/>
          <w:color w:val="auto"/>
          <w:spacing w:val="0"/>
          <w:sz w:val="32"/>
          <w:szCs w:val="32"/>
          <w:shd w:val="clear" w:color="auto" w:fill="auto"/>
        </w:rPr>
        <w:t>内部公务活动期间适用内部业务招待或工作餐的具体场景</w:t>
      </w:r>
      <w:r>
        <w:rPr>
          <w:rFonts w:hint="eastAsia" w:ascii="仿宋_GB2312" w:hAnsi="宋体" w:eastAsia="仿宋_GB2312" w:cs="仿宋_GB2312"/>
          <w:i w:val="0"/>
          <w:iCs w:val="0"/>
          <w:caps w:val="0"/>
          <w:color w:val="auto"/>
          <w:spacing w:val="0"/>
          <w:sz w:val="32"/>
          <w:szCs w:val="32"/>
          <w:shd w:val="clear" w:color="auto" w:fill="auto"/>
          <w:lang w:eastAsia="zh-CN"/>
        </w:rPr>
        <w:t>：</w:t>
      </w:r>
    </w:p>
    <w:p w14:paraId="4DEF8754">
      <w:pPr>
        <w:adjustRightInd w:val="0"/>
        <w:snapToGrid w:val="0"/>
        <w:spacing w:line="360" w:lineRule="auto"/>
        <w:ind w:firstLine="660"/>
        <w:rPr>
          <w:rFonts w:hint="eastAsia" w:ascii="宋体" w:hAnsi="宋体" w:eastAsia="宋体" w:cs="宋体"/>
          <w:i w:val="0"/>
          <w:iCs w:val="0"/>
          <w:caps w:val="0"/>
          <w:color w:val="auto"/>
          <w:spacing w:val="0"/>
          <w:sz w:val="32"/>
          <w:szCs w:val="32"/>
          <w:u w:val="none"/>
          <w:shd w:val="clear" w:color="auto" w:fill="auto"/>
        </w:rPr>
      </w:pPr>
      <w:r>
        <w:rPr>
          <w:rFonts w:ascii="仿宋_GB2312" w:hAnsi="宋体" w:eastAsia="仿宋_GB2312" w:cs="仿宋_GB2312"/>
          <w:i w:val="0"/>
          <w:iCs w:val="0"/>
          <w:caps w:val="0"/>
          <w:color w:val="auto"/>
          <w:spacing w:val="0"/>
          <w:kern w:val="0"/>
          <w:sz w:val="32"/>
          <w:szCs w:val="32"/>
          <w:u w:val="none"/>
          <w:shd w:val="clear" w:color="auto" w:fill="auto"/>
          <w:lang w:val="en-US" w:eastAsia="zh-CN" w:bidi="ar"/>
        </w:rPr>
        <w:t>（一）集团公司或外省兄弟单位到访到访</w:t>
      </w:r>
      <w:r>
        <w:rPr>
          <w:rFonts w:hint="eastAsia" w:ascii="仿宋_GB2312" w:hAnsi="宋体" w:eastAsia="仿宋_GB2312" w:cs="仿宋_GB2312"/>
          <w:i w:val="0"/>
          <w:iCs w:val="0"/>
          <w:caps w:val="0"/>
          <w:color w:val="auto"/>
          <w:spacing w:val="0"/>
          <w:kern w:val="0"/>
          <w:sz w:val="32"/>
          <w:szCs w:val="32"/>
          <w:u w:val="none"/>
          <w:shd w:val="clear" w:color="auto" w:fill="auto"/>
          <w:lang w:val="en-US" w:eastAsia="zh-CN" w:bidi="ar"/>
        </w:rPr>
        <w:t>清远</w:t>
      </w:r>
      <w:r>
        <w:rPr>
          <w:rFonts w:ascii="仿宋_GB2312" w:hAnsi="宋体" w:eastAsia="仿宋_GB2312" w:cs="仿宋_GB2312"/>
          <w:i w:val="0"/>
          <w:iCs w:val="0"/>
          <w:caps w:val="0"/>
          <w:color w:val="auto"/>
          <w:spacing w:val="0"/>
          <w:kern w:val="0"/>
          <w:sz w:val="32"/>
          <w:szCs w:val="32"/>
          <w:u w:val="none"/>
          <w:shd w:val="clear" w:color="auto" w:fill="auto"/>
          <w:lang w:val="en-US" w:eastAsia="zh-CN" w:bidi="ar"/>
        </w:rPr>
        <w:t>公司（不同城），开展公务活动期间可安排内部业务招待或工作餐。</w:t>
      </w:r>
    </w:p>
    <w:p w14:paraId="2138FB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560" w:lineRule="atLeast"/>
        <w:ind w:left="0" w:right="0" w:firstLine="640"/>
        <w:jc w:val="both"/>
        <w:rPr>
          <w:rFonts w:hint="eastAsia" w:ascii="宋体" w:hAnsi="宋体" w:eastAsia="宋体" w:cs="宋体"/>
          <w:i w:val="0"/>
          <w:iCs w:val="0"/>
          <w:caps w:val="0"/>
          <w:color w:val="auto"/>
          <w:spacing w:val="0"/>
          <w:sz w:val="32"/>
          <w:szCs w:val="32"/>
          <w:u w:val="none"/>
          <w:shd w:val="clear" w:color="auto" w:fill="auto"/>
        </w:rPr>
      </w:pPr>
      <w:r>
        <w:rPr>
          <w:rFonts w:hint="eastAsia" w:ascii="仿宋_GB2312" w:hAnsi="宋体" w:eastAsia="仿宋_GB2312" w:cs="仿宋_GB2312"/>
          <w:i w:val="0"/>
          <w:iCs w:val="0"/>
          <w:caps w:val="0"/>
          <w:color w:val="auto"/>
          <w:spacing w:val="0"/>
          <w:kern w:val="0"/>
          <w:sz w:val="32"/>
          <w:szCs w:val="32"/>
          <w:u w:val="none"/>
          <w:shd w:val="clear" w:color="auto" w:fill="auto"/>
          <w:lang w:val="en-US" w:eastAsia="zh-CN" w:bidi="ar"/>
        </w:rPr>
        <w:t>（二）广东公司与同城专业公司，以及广东公司内部各单位之间，开展公务活动期间原则上不安排内部业务招待，但可视情况安排工作餐。</w:t>
      </w:r>
    </w:p>
    <w:p w14:paraId="3092BCAB">
      <w:pPr>
        <w:pStyle w:val="14"/>
        <w:spacing w:line="360" w:lineRule="auto"/>
        <w:ind w:firstLine="640"/>
        <w:rPr>
          <w:rFonts w:hint="eastAsia"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第十一条</w:t>
      </w:r>
      <w:r>
        <w:rPr>
          <w:rFonts w:hint="eastAsia" w:ascii="仿宋_GB2312" w:eastAsia="仿宋_GB2312" w:cs="Times New Roman"/>
          <w:color w:val="auto"/>
          <w:sz w:val="32"/>
          <w:szCs w:val="32"/>
          <w:shd w:val="clear" w:color="auto" w:fill="auto"/>
        </w:rPr>
        <w:t xml:space="preserve"> </w:t>
      </w:r>
      <w:r>
        <w:rPr>
          <w:rFonts w:hint="eastAsia" w:ascii="仿宋_GB2312" w:eastAsia="仿宋_GB2312" w:cs="仿宋_GB2312"/>
          <w:b/>
          <w:color w:val="auto"/>
          <w:sz w:val="32"/>
          <w:szCs w:val="32"/>
          <w:shd w:val="clear" w:color="auto" w:fill="auto"/>
        </w:rPr>
        <w:t>内部业务招待活动标准：</w:t>
      </w:r>
    </w:p>
    <w:p w14:paraId="2DA7966A">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根据招待开展主体的不同执行不同的用餐标准：</w:t>
      </w:r>
    </w:p>
    <w:p w14:paraId="2E16BD67">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（一）省管中层</w:t>
      </w:r>
      <w:r>
        <w:rPr>
          <w:rFonts w:ascii="仿宋_GB2312" w:eastAsia="仿宋_GB2312" w:cs="仿宋_GB2312"/>
          <w:color w:val="auto"/>
          <w:sz w:val="32"/>
          <w:szCs w:val="32"/>
          <w:shd w:val="clear" w:color="auto" w:fill="auto"/>
        </w:rPr>
        <w:t>经理</w:t>
      </w:r>
      <w:r>
        <w:rPr>
          <w:rFonts w:hint="eastAsia" w:ascii="仿宋_GB2312" w:eastAsia="仿宋_GB2312" w:cs="仿宋_GB2312"/>
          <w:color w:val="auto"/>
          <w:sz w:val="32"/>
          <w:szCs w:val="32"/>
          <w:shd w:val="clear" w:color="auto" w:fill="auto"/>
        </w:rPr>
        <w:t>人员开展的内部业务招待，用餐标准不得超过</w:t>
      </w:r>
      <w:r>
        <w:rPr>
          <w:rFonts w:ascii="仿宋_GB2312" w:eastAsia="仿宋_GB2312" w:cs="仿宋_GB2312"/>
          <w:color w:val="auto"/>
          <w:sz w:val="32"/>
          <w:szCs w:val="32"/>
          <w:shd w:val="clear" w:color="auto" w:fill="auto"/>
        </w:rPr>
        <w:t>150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778D21C7">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（二）市</w:t>
      </w:r>
      <w:r>
        <w:rPr>
          <w:rFonts w:ascii="仿宋_GB2312" w:eastAsia="仿宋_GB2312" w:cs="仿宋_GB2312"/>
          <w:color w:val="auto"/>
          <w:sz w:val="32"/>
          <w:szCs w:val="32"/>
          <w:shd w:val="clear" w:color="auto" w:fill="auto"/>
        </w:rPr>
        <w:t>管</w:t>
      </w:r>
      <w:r>
        <w:rPr>
          <w:rFonts w:hint="eastAsia" w:ascii="仿宋_GB2312" w:eastAsia="仿宋_GB2312" w:cs="仿宋_GB2312"/>
          <w:color w:val="auto"/>
          <w:sz w:val="32"/>
          <w:szCs w:val="32"/>
          <w:shd w:val="clear" w:color="auto" w:fill="auto"/>
        </w:rPr>
        <w:t>中层经理人员开展的内部业务招待，用餐标准不得超过</w:t>
      </w:r>
      <w:r>
        <w:rPr>
          <w:rFonts w:ascii="仿宋_GB2312" w:eastAsia="仿宋_GB2312" w:cs="仿宋_GB2312"/>
          <w:color w:val="auto"/>
          <w:sz w:val="32"/>
          <w:szCs w:val="32"/>
          <w:shd w:val="clear" w:color="auto" w:fill="auto"/>
        </w:rPr>
        <w:t>150</w:t>
      </w:r>
      <w:r>
        <w:rPr>
          <w:rFonts w:hint="eastAsia" w:ascii="仿宋_GB2312" w:eastAsia="仿宋_GB2312" w:cs="仿宋_GB2312"/>
          <w:color w:val="auto"/>
          <w:sz w:val="32"/>
          <w:szCs w:val="32"/>
          <w:shd w:val="clear" w:color="auto" w:fill="auto"/>
        </w:rPr>
        <w:t>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52780864">
      <w:pPr>
        <w:pStyle w:val="14"/>
        <w:spacing w:line="360" w:lineRule="auto"/>
        <w:ind w:firstLine="640"/>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（三）其他人员开展的内部业务招待，用餐标准不得超过</w:t>
      </w:r>
      <w:r>
        <w:rPr>
          <w:rFonts w:ascii="仿宋_GB2312" w:eastAsia="仿宋_GB2312" w:cs="仿宋_GB2312"/>
          <w:color w:val="auto"/>
          <w:sz w:val="32"/>
          <w:szCs w:val="32"/>
          <w:shd w:val="clear" w:color="auto" w:fill="auto"/>
        </w:rPr>
        <w:t>10</w:t>
      </w:r>
      <w:r>
        <w:rPr>
          <w:rFonts w:hint="eastAsia" w:ascii="仿宋_GB2312" w:eastAsia="仿宋_GB2312" w:cs="仿宋_GB2312"/>
          <w:color w:val="auto"/>
          <w:sz w:val="32"/>
          <w:szCs w:val="32"/>
          <w:shd w:val="clear" w:color="auto" w:fill="auto"/>
        </w:rPr>
        <w:t>0元/人</w:t>
      </w:r>
      <w:r>
        <w:rPr>
          <w:rFonts w:hint="eastAsia" w:ascii="宋体" w:hAnsi="宋体"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次。</w:t>
      </w:r>
    </w:p>
    <w:p w14:paraId="05E2B9F4">
      <w:pPr>
        <w:adjustRightInd w:val="0"/>
        <w:snapToGrid w:val="0"/>
        <w:spacing w:line="360" w:lineRule="auto"/>
        <w:ind w:firstLine="660"/>
        <w:rPr>
          <w:rFonts w:ascii="仿宋_GB2312" w:eastAsia="仿宋_GB2312" w:cs="Times New Roman"/>
          <w:strike/>
          <w:color w:val="auto"/>
          <w:sz w:val="32"/>
          <w:szCs w:val="32"/>
          <w:shd w:val="clear" w:color="auto" w:fill="auto"/>
        </w:rPr>
      </w:pPr>
      <w:r>
        <w:rPr>
          <w:rFonts w:hint="eastAsia" w:ascii="楷体_GB2312" w:hAnsi="楷体" w:eastAsia="楷体_GB2312" w:cs="Times New Roman"/>
          <w:b/>
          <w:bCs/>
          <w:color w:val="auto"/>
          <w:sz w:val="32"/>
          <w:szCs w:val="32"/>
          <w:shd w:val="clear" w:color="auto" w:fill="auto"/>
        </w:rPr>
        <w:t>第十二条</w:t>
      </w:r>
      <w:r>
        <w:rPr>
          <w:rFonts w:hint="eastAsia" w:ascii="仿宋_GB2312" w:eastAsia="仿宋_GB2312" w:cs="Times New Roman"/>
          <w:color w:val="auto"/>
          <w:sz w:val="32"/>
          <w:szCs w:val="32"/>
          <w:shd w:val="clear" w:color="auto" w:fill="auto"/>
        </w:rPr>
        <w:t xml:space="preserve"> 对外业务招待时，招待对象在5人（含）以内的，陪餐人数可对等；招待对象超过5人的，超过部分陪餐人数原则上不超过招待对象超过部分的二分之一。</w:t>
      </w:r>
    </w:p>
    <w:p w14:paraId="18D58D20">
      <w:pPr>
        <w:adjustRightInd w:val="0"/>
        <w:snapToGrid w:val="0"/>
        <w:spacing w:line="360" w:lineRule="auto"/>
        <w:ind w:firstLine="660"/>
        <w:rPr>
          <w:rFonts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第十三条</w:t>
      </w:r>
      <w:r>
        <w:rPr>
          <w:rFonts w:hint="eastAsia" w:ascii="楷体" w:hAnsi="楷体" w:eastAsia="楷体" w:cs="Times New Roman"/>
          <w:color w:val="auto"/>
          <w:sz w:val="32"/>
          <w:szCs w:val="32"/>
          <w:shd w:val="clear" w:color="auto" w:fill="auto"/>
        </w:rPr>
        <w:t xml:space="preserve"> </w:t>
      </w:r>
      <w:r>
        <w:rPr>
          <w:rFonts w:hint="eastAsia" w:ascii="仿宋_GB2312" w:eastAsia="仿宋_GB2312" w:cs="Times New Roman"/>
          <w:color w:val="auto"/>
          <w:sz w:val="32"/>
          <w:szCs w:val="32"/>
          <w:shd w:val="clear" w:color="auto" w:fill="auto"/>
        </w:rPr>
        <w:t>内部业务招待活动，招待对象在10人以内的，陪同人数不得超过3人；招待对象在10人以上的，陪同人数不得超过招待对象的三分之一。</w:t>
      </w:r>
    </w:p>
    <w:p w14:paraId="060BC385">
      <w:pPr>
        <w:adjustRightInd w:val="0"/>
        <w:snapToGrid w:val="0"/>
        <w:spacing w:line="360" w:lineRule="auto"/>
        <w:ind w:firstLine="660"/>
        <w:rPr>
          <w:rFonts w:ascii="仿宋_GB2312" w:eastAsia="仿宋_GB2312" w:cs="Times New Roman"/>
          <w:strike/>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第十四条</w:t>
      </w:r>
      <w:r>
        <w:rPr>
          <w:rFonts w:hint="eastAsia" w:ascii="仿宋_GB2312" w:eastAsia="仿宋_GB2312" w:cs="Times New Roman"/>
          <w:color w:val="auto"/>
          <w:sz w:val="32"/>
          <w:szCs w:val="32"/>
          <w:shd w:val="clear" w:color="auto" w:fill="auto"/>
        </w:rPr>
        <w:t xml:space="preserve"> 业务招待活动</w:t>
      </w:r>
      <w:r>
        <w:rPr>
          <w:rFonts w:hint="eastAsia" w:ascii="仿宋_GB2312" w:hAnsi="黑体" w:eastAsia="仿宋_GB2312"/>
          <w:color w:val="auto"/>
          <w:sz w:val="32"/>
          <w:szCs w:val="32"/>
          <w:shd w:val="clear" w:color="auto" w:fill="auto"/>
        </w:rPr>
        <w:t>严禁讲排场、杜绝奢侈浪费，</w:t>
      </w:r>
      <w:r>
        <w:rPr>
          <w:rFonts w:hint="eastAsia" w:ascii="仿宋_GB2312" w:eastAsia="仿宋_GB2312" w:cs="Times New Roman"/>
          <w:color w:val="auto"/>
          <w:sz w:val="32"/>
          <w:szCs w:val="32"/>
          <w:shd w:val="clear" w:color="auto" w:fill="auto"/>
        </w:rPr>
        <w:t>应优先在公司餐厅或定点饭店、宾馆安排，</w:t>
      </w:r>
      <w:r>
        <w:rPr>
          <w:rFonts w:hint="eastAsia" w:ascii="仿宋_GB2312" w:eastAsia="仿宋_GB2312"/>
          <w:color w:val="auto"/>
          <w:sz w:val="32"/>
          <w:szCs w:val="32"/>
          <w:shd w:val="clear" w:color="auto" w:fill="auto"/>
        </w:rPr>
        <w:t>不得安排私人会所及高档的娱乐、休闲、健身、保健等高消费场所。外事招待活动要遵守外事工作规定和保密要求，应优先在社会公共场所安排。不得提供用野生保护动物制作的菜肴，</w:t>
      </w:r>
      <w:r>
        <w:rPr>
          <w:rFonts w:hint="eastAsia" w:ascii="仿宋_GB2312" w:eastAsia="仿宋_GB2312" w:cs="Times New Roman"/>
          <w:color w:val="auto"/>
          <w:sz w:val="32"/>
          <w:szCs w:val="32"/>
          <w:shd w:val="clear" w:color="auto" w:fill="auto"/>
        </w:rPr>
        <w:t>不得提供鱼翅、燕窝等高档菜肴。严禁用公款购买香烟和高档酒水、珍稀药材、天价茶叶、名贵木材、珠宝玉石、名瓷名画等名贵特产类特殊资源。</w:t>
      </w:r>
    </w:p>
    <w:p w14:paraId="2E00AF1D">
      <w:pPr>
        <w:adjustRightInd w:val="0"/>
        <w:snapToGrid w:val="0"/>
        <w:spacing w:line="360" w:lineRule="auto"/>
        <w:ind w:firstLine="660"/>
        <w:rPr>
          <w:rFonts w:ascii="仿宋_GB2312" w:eastAsia="仿宋_GB2312" w:cs="Times New Roman"/>
          <w:b/>
          <w:bCs/>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第十五条</w:t>
      </w:r>
      <w:r>
        <w:rPr>
          <w:rFonts w:hint="eastAsia" w:ascii="仿宋_GB2312" w:eastAsia="仿宋_GB2312" w:cs="Times New Roman"/>
          <w:color w:val="auto"/>
          <w:sz w:val="32"/>
          <w:szCs w:val="32"/>
          <w:shd w:val="clear" w:color="auto" w:fill="auto"/>
        </w:rPr>
        <w:t xml:space="preserve"> </w:t>
      </w:r>
      <w:r>
        <w:rPr>
          <w:rFonts w:hint="eastAsia" w:ascii="仿宋_GB2312" w:eastAsia="仿宋_GB2312" w:cs="Times New Roman"/>
          <w:b/>
          <w:bCs/>
          <w:color w:val="auto"/>
          <w:sz w:val="32"/>
          <w:szCs w:val="32"/>
          <w:shd w:val="clear" w:color="auto" w:fill="auto"/>
        </w:rPr>
        <w:t>要坚持按需购买业务招待用酒，杜绝批量购买业务招待用酒。</w:t>
      </w:r>
    </w:p>
    <w:p w14:paraId="2461E794">
      <w:pPr>
        <w:adjustRightInd w:val="0"/>
        <w:snapToGrid w:val="0"/>
        <w:spacing w:line="360" w:lineRule="auto"/>
        <w:ind w:firstLine="660"/>
        <w:rPr>
          <w:rFonts w:ascii="仿宋_GB2312" w:eastAsia="仿宋_GB2312" w:cs="Times New Roman"/>
          <w:strike/>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第十六条</w:t>
      </w:r>
      <w:r>
        <w:rPr>
          <w:rFonts w:hint="eastAsia" w:ascii="仿宋_GB2312" w:eastAsia="仿宋_GB2312" w:cs="Times New Roman"/>
          <w:color w:val="auto"/>
          <w:sz w:val="32"/>
          <w:szCs w:val="32"/>
          <w:shd w:val="clear" w:color="auto" w:fill="auto"/>
        </w:rPr>
        <w:t xml:space="preserve"> 不得以业务招待名义变相开展旅游，商务招待活动确需参观本地景点或观看本地特色演出的，应当严格控制陪同人数，本着节俭、就近原则安排。</w:t>
      </w:r>
    </w:p>
    <w:p w14:paraId="79044928">
      <w:pPr>
        <w:adjustRightInd w:val="0"/>
        <w:snapToGrid w:val="0"/>
        <w:spacing w:line="360" w:lineRule="auto"/>
        <w:ind w:firstLine="660"/>
        <w:rPr>
          <w:rFonts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第十七条</w:t>
      </w:r>
      <w:r>
        <w:rPr>
          <w:rFonts w:hint="eastAsia" w:ascii="仿宋_GB2312" w:eastAsia="仿宋_GB2312" w:cs="仿宋_GB2312"/>
          <w:color w:val="auto"/>
          <w:sz w:val="32"/>
          <w:szCs w:val="32"/>
          <w:shd w:val="clear" w:color="auto" w:fill="auto"/>
        </w:rPr>
        <w:t xml:space="preserve"> 严禁违反中央八项规定精神，用公款开展相互走访、送礼、宴请等拜年活动。上下级单位之间、单位内部各部门之间，一律不准用公款送礼。</w:t>
      </w:r>
    </w:p>
    <w:p w14:paraId="38F6F247">
      <w:pPr>
        <w:adjustRightInd w:val="0"/>
        <w:snapToGrid w:val="0"/>
        <w:spacing w:line="360" w:lineRule="auto"/>
        <w:ind w:firstLine="660"/>
        <w:rPr>
          <w:rFonts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第十八条</w:t>
      </w:r>
      <w:r>
        <w:rPr>
          <w:rFonts w:hint="eastAsia" w:ascii="仿宋_GB2312" w:eastAsia="仿宋_GB2312" w:cs="仿宋_GB2312"/>
          <w:color w:val="auto"/>
          <w:sz w:val="32"/>
          <w:szCs w:val="32"/>
          <w:shd w:val="clear" w:color="auto" w:fill="auto"/>
        </w:rPr>
        <w:t xml:space="preserve"> 不得滥用赠送、回馈等手段扰乱市场经营秩序。</w:t>
      </w:r>
    </w:p>
    <w:p w14:paraId="381B3164">
      <w:pPr>
        <w:adjustRightInd w:val="0"/>
        <w:snapToGrid w:val="0"/>
        <w:spacing w:line="360" w:lineRule="auto"/>
        <w:ind w:firstLine="660"/>
        <w:rPr>
          <w:rFonts w:ascii="仿宋_GB2312" w:eastAsia="仿宋_GB2312" w:cs="仿宋_GB2312"/>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第十九条</w:t>
      </w:r>
      <w:r>
        <w:rPr>
          <w:rFonts w:hint="eastAsia" w:ascii="仿宋_GB2312" w:eastAsia="仿宋_GB2312" w:cs="仿宋_GB2312"/>
          <w:color w:val="auto"/>
          <w:sz w:val="32"/>
          <w:szCs w:val="32"/>
          <w:shd w:val="clear" w:color="auto" w:fill="auto"/>
        </w:rPr>
        <w:t xml:space="preserve"> 不得支付应由个人负担的招待费用。不得向下属单位等摊派或转嫁业务招待费用。</w:t>
      </w:r>
    </w:p>
    <w:p w14:paraId="69741F16">
      <w:pPr>
        <w:adjustRightInd w:val="0"/>
        <w:snapToGrid w:val="0"/>
        <w:spacing w:line="360" w:lineRule="auto"/>
        <w:ind w:firstLine="660"/>
        <w:rPr>
          <w:rFonts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第二十条</w:t>
      </w:r>
      <w:r>
        <w:rPr>
          <w:rFonts w:ascii="仿宋_GB2312" w:eastAsia="仿宋_GB2312" w:cs="Times New Roman"/>
          <w:color w:val="auto"/>
          <w:sz w:val="32"/>
          <w:szCs w:val="32"/>
          <w:shd w:val="clear" w:color="auto" w:fill="auto"/>
        </w:rPr>
        <w:t xml:space="preserve"> </w:t>
      </w:r>
      <w:r>
        <w:rPr>
          <w:rFonts w:hint="eastAsia" w:ascii="仿宋_GB2312" w:eastAsia="仿宋_GB2312" w:cs="Times New Roman"/>
          <w:color w:val="auto"/>
          <w:sz w:val="32"/>
          <w:szCs w:val="32"/>
          <w:shd w:val="clear" w:color="auto" w:fill="auto"/>
        </w:rPr>
        <w:t>业务招待活动中，严禁赠送现金、购物卡、会员卡、商业预付卡和各种有价证券、支付凭证、贵重物品、名贵土特产以及高于本办法第八条标准的纪念品。</w:t>
      </w:r>
    </w:p>
    <w:p w14:paraId="6526EB7E">
      <w:pPr>
        <w:adjustRightInd w:val="0"/>
        <w:snapToGrid w:val="0"/>
        <w:spacing w:line="360" w:lineRule="auto"/>
        <w:ind w:firstLine="643" w:firstLineChars="200"/>
        <w:rPr>
          <w:rFonts w:hint="eastAsia" w:ascii="仿宋_GB2312" w:hAnsi="黑体" w:eastAsia="仿宋_GB2312" w:cs="Times New Roman"/>
          <w:color w:val="auto"/>
          <w:kern w:val="0"/>
          <w:sz w:val="32"/>
          <w:szCs w:val="32"/>
          <w:shd w:val="clear" w:color="auto" w:fill="auto"/>
        </w:rPr>
      </w:pPr>
      <w:r>
        <w:rPr>
          <w:rFonts w:hint="eastAsia" w:ascii="楷体_GB2312" w:hAnsi="楷体" w:eastAsia="楷体_GB2312" w:cs="仿宋_GB2312"/>
          <w:b/>
          <w:bCs/>
          <w:color w:val="auto"/>
          <w:sz w:val="32"/>
          <w:szCs w:val="32"/>
          <w:shd w:val="clear" w:color="auto" w:fill="auto"/>
        </w:rPr>
        <w:t>第二十一条</w:t>
      </w:r>
      <w:r>
        <w:rPr>
          <w:rFonts w:hint="eastAsia" w:ascii="仿宋_GB2312" w:eastAsia="仿宋_GB2312" w:cs="Times New Roman"/>
          <w:color w:val="auto"/>
          <w:sz w:val="32"/>
          <w:szCs w:val="32"/>
          <w:shd w:val="clear" w:color="auto" w:fill="auto"/>
        </w:rPr>
        <w:t xml:space="preserve"> 业务招待活动中赠送的纪念品，应当节约从简，以宣传企业形象、</w:t>
      </w:r>
      <w:r>
        <w:rPr>
          <w:rFonts w:hint="eastAsia" w:ascii="仿宋_GB2312" w:hAnsi="黑体" w:eastAsia="仿宋_GB2312"/>
          <w:color w:val="auto"/>
          <w:sz w:val="32"/>
          <w:szCs w:val="32"/>
          <w:shd w:val="clear" w:color="auto" w:fill="auto"/>
        </w:rPr>
        <w:t>展示企业文化或体现企业社会责任、地域文化</w:t>
      </w:r>
      <w:r>
        <w:rPr>
          <w:rFonts w:hint="eastAsia" w:ascii="仿宋_GB2312" w:eastAsia="仿宋_GB2312" w:cs="Times New Roman"/>
          <w:color w:val="auto"/>
          <w:sz w:val="32"/>
          <w:szCs w:val="32"/>
          <w:shd w:val="clear" w:color="auto" w:fill="auto"/>
        </w:rPr>
        <w:t>为主要内容。</w:t>
      </w:r>
      <w:r>
        <w:rPr>
          <w:rFonts w:hint="eastAsia" w:ascii="仿宋_GB2312" w:hAnsi="黑体" w:eastAsia="仿宋_GB2312" w:cs="Times New Roman"/>
          <w:color w:val="auto"/>
          <w:kern w:val="0"/>
          <w:sz w:val="32"/>
          <w:szCs w:val="32"/>
          <w:shd w:val="clear" w:color="auto" w:fill="auto"/>
        </w:rPr>
        <w:t>各单位应当建立纪念品管理制度，规范纪念品订购、领用等审批程序，实行纪念品清单管理，如实反映纪念品赠送对象等情况。</w:t>
      </w:r>
    </w:p>
    <w:p w14:paraId="3C265DC3">
      <w:pPr>
        <w:adjustRightInd w:val="0"/>
        <w:snapToGrid w:val="0"/>
        <w:spacing w:line="360" w:lineRule="auto"/>
        <w:ind w:firstLine="640" w:firstLineChars="200"/>
        <w:rPr>
          <w:rFonts w:hint="eastAsia" w:ascii="仿宋_GB2312" w:hAnsi="黑体" w:eastAsia="仿宋_GB2312" w:cs="Times New Roman"/>
          <w:color w:val="auto"/>
          <w:kern w:val="0"/>
          <w:sz w:val="32"/>
          <w:szCs w:val="32"/>
          <w:shd w:val="clear" w:color="auto" w:fill="auto"/>
        </w:rPr>
      </w:pPr>
    </w:p>
    <w:p w14:paraId="7FF7DD12">
      <w:pPr>
        <w:adjustRightInd w:val="0"/>
        <w:snapToGrid w:val="0"/>
        <w:spacing w:before="156" w:beforeLines="50" w:after="156" w:afterLines="50" w:line="360" w:lineRule="auto"/>
        <w:jc w:val="center"/>
        <w:rPr>
          <w:rFonts w:ascii="黑体" w:hAnsi="黑体" w:eastAsia="黑体" w:cs="Times New Roman"/>
          <w:color w:val="auto"/>
          <w:shd w:val="clear" w:color="auto" w:fill="auto"/>
        </w:rPr>
      </w:pPr>
      <w:r>
        <w:rPr>
          <w:rFonts w:hint="eastAsia" w:ascii="黑体" w:hAnsi="黑体" w:eastAsia="黑体" w:cs="Times New Roman"/>
          <w:b/>
          <w:bCs/>
          <w:color w:val="auto"/>
          <w:sz w:val="32"/>
          <w:szCs w:val="32"/>
          <w:shd w:val="clear" w:color="auto" w:fill="auto"/>
        </w:rPr>
        <w:t>第四章</w:t>
      </w:r>
      <w:r>
        <w:rPr>
          <w:rFonts w:ascii="黑体" w:hAnsi="黑体" w:eastAsia="黑体" w:cs="Times New Roman"/>
          <w:b/>
          <w:bCs/>
          <w:color w:val="auto"/>
          <w:sz w:val="32"/>
          <w:szCs w:val="32"/>
          <w:shd w:val="clear" w:color="auto" w:fill="auto"/>
        </w:rPr>
        <w:t xml:space="preserve"> </w:t>
      </w:r>
      <w:r>
        <w:rPr>
          <w:rFonts w:hint="eastAsia" w:ascii="黑体" w:hAnsi="黑体" w:eastAsia="黑体" w:cs="Times New Roman"/>
          <w:b/>
          <w:bCs/>
          <w:color w:val="auto"/>
          <w:sz w:val="32"/>
          <w:szCs w:val="32"/>
          <w:shd w:val="clear" w:color="auto" w:fill="auto"/>
        </w:rPr>
        <w:t>审批管理</w:t>
      </w:r>
    </w:p>
    <w:p w14:paraId="10665FC8">
      <w:pPr>
        <w:adjustRightInd w:val="0"/>
        <w:snapToGrid w:val="0"/>
        <w:spacing w:line="360" w:lineRule="auto"/>
        <w:ind w:firstLine="660"/>
        <w:rPr>
          <w:rFonts w:ascii="仿宋_GB2312" w:eastAsia="仿宋_GB2312" w:cs="Times New Roman"/>
          <w:strike/>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第二十二条</w:t>
      </w:r>
      <w:r>
        <w:rPr>
          <w:rFonts w:hint="eastAsia" w:ascii="仿宋_GB2312" w:eastAsia="仿宋_GB2312" w:cs="Times New Roman"/>
          <w:color w:val="auto"/>
          <w:sz w:val="32"/>
          <w:szCs w:val="32"/>
          <w:shd w:val="clear" w:color="auto" w:fill="auto"/>
        </w:rPr>
        <w:t xml:space="preserve"> 所有业务招待活动均应履行事前审批程序，经相关领导审批同意后方可开展招待活动。要建立电子化审批流程，如确因紧急事由无法履行事前审批程序，应在请示有审批权限的相关领导同意后开展业务招待活动，并事后及时审批。严格执行招待清单制度，如实反映招待人员、招待事由、招待费用等明细情况。不提供招待清单的业务招待费不予以报销。</w:t>
      </w:r>
    </w:p>
    <w:p w14:paraId="0537E61E">
      <w:pPr>
        <w:pStyle w:val="14"/>
        <w:ind w:firstLine="643"/>
        <w:rPr>
          <w:rFonts w:ascii="仿宋_GB2312" w:eastAsia="仿宋_GB2312" w:cs="仿宋_GB2312"/>
          <w:color w:val="auto"/>
          <w:sz w:val="32"/>
          <w:szCs w:val="32"/>
          <w:shd w:val="clear" w:color="auto" w:fill="auto"/>
        </w:rPr>
      </w:pPr>
      <w:r>
        <w:rPr>
          <w:rFonts w:hint="eastAsia" w:ascii="仿宋_GB2312" w:hAnsi="宋体" w:eastAsia="仿宋_GB2312" w:cs="宋体"/>
          <w:b/>
          <w:color w:val="auto"/>
          <w:kern w:val="0"/>
          <w:sz w:val="32"/>
          <w:szCs w:val="32"/>
          <w:shd w:val="clear" w:color="auto" w:fill="auto"/>
        </w:rPr>
        <w:t xml:space="preserve">第二十三条 </w:t>
      </w:r>
      <w:r>
        <w:rPr>
          <w:rFonts w:hint="eastAsia" w:ascii="仿宋_GB2312" w:eastAsia="仿宋_GB2312" w:cs="仿宋_GB2312"/>
          <w:color w:val="auto"/>
          <w:sz w:val="32"/>
          <w:szCs w:val="32"/>
          <w:shd w:val="clear" w:color="auto" w:fill="auto"/>
        </w:rPr>
        <w:t>国家法定节假日期间（元旦、春节、清明节、劳动节、端午节、中秋节、国庆节），除有特殊情况，一般不安排业务招待。各单位如确需在重大节日前、节日后3个工作日内，以及节日期间安排业务招待活动，招待发生部门应主动提前向办公室备案并向同级纪委报告。同时，各单位的报备资料将作为节假日业务招待费用报销的支撑材料（包括报备邮件及报备附件，报备模板参见附件）。</w:t>
      </w:r>
    </w:p>
    <w:p w14:paraId="166C5CFB">
      <w:pPr>
        <w:adjustRightInd w:val="0"/>
        <w:snapToGrid w:val="0"/>
        <w:spacing w:line="360" w:lineRule="auto"/>
        <w:ind w:firstLine="660"/>
        <w:rPr>
          <w:rFonts w:hint="eastAsia" w:ascii="仿宋_GB2312" w:eastAsia="仿宋_GB2312" w:cs="Times New Roman"/>
          <w:color w:val="auto"/>
          <w:sz w:val="32"/>
          <w:szCs w:val="32"/>
          <w:shd w:val="clear" w:color="auto" w:fill="auto"/>
        </w:rPr>
      </w:pPr>
      <w:r>
        <w:rPr>
          <w:rFonts w:hint="eastAsia" w:ascii="楷体_GB2312" w:hAnsi="楷体" w:eastAsia="楷体_GB2312" w:cs="仿宋_GB2312"/>
          <w:b/>
          <w:bCs/>
          <w:color w:val="auto"/>
          <w:sz w:val="32"/>
          <w:szCs w:val="32"/>
          <w:shd w:val="clear" w:color="auto" w:fill="auto"/>
        </w:rPr>
        <w:t>第二十四条</w:t>
      </w:r>
      <w:r>
        <w:rPr>
          <w:rFonts w:hint="eastAsia" w:ascii="仿宋_GB2312" w:eastAsia="仿宋_GB2312" w:cs="Times New Roman"/>
          <w:color w:val="auto"/>
          <w:sz w:val="32"/>
          <w:szCs w:val="32"/>
          <w:shd w:val="clear" w:color="auto" w:fill="auto"/>
        </w:rPr>
        <w:t xml:space="preserve"> 对业务招待过程中无法执行相关制度标准的特殊情况，要严格履行内部审批程序，原则上须经主要负责人审批同意，并做好备案登记。</w:t>
      </w:r>
    </w:p>
    <w:p w14:paraId="05B5FA0C">
      <w:pPr>
        <w:adjustRightInd w:val="0"/>
        <w:snapToGrid w:val="0"/>
        <w:spacing w:line="360" w:lineRule="auto"/>
        <w:ind w:firstLine="660"/>
        <w:rPr>
          <w:rFonts w:hint="eastAsia" w:ascii="仿宋_GB2312" w:eastAsia="仿宋_GB2312" w:cs="Times New Roman"/>
          <w:color w:val="auto"/>
          <w:sz w:val="32"/>
          <w:szCs w:val="32"/>
          <w:shd w:val="clear" w:color="auto" w:fill="auto"/>
        </w:rPr>
      </w:pPr>
    </w:p>
    <w:p w14:paraId="445B856B">
      <w:pPr>
        <w:adjustRightInd w:val="0"/>
        <w:snapToGrid w:val="0"/>
        <w:spacing w:before="156" w:beforeLines="50" w:after="156" w:afterLines="50" w:line="360" w:lineRule="auto"/>
        <w:jc w:val="center"/>
        <w:rPr>
          <w:rFonts w:ascii="黑体" w:hAnsi="黑体" w:eastAsia="黑体" w:cs="Times New Roman"/>
          <w:color w:val="auto"/>
          <w:shd w:val="clear" w:color="auto" w:fill="auto"/>
        </w:rPr>
      </w:pPr>
      <w:r>
        <w:rPr>
          <w:rFonts w:hint="eastAsia" w:ascii="黑体" w:hAnsi="黑体" w:eastAsia="黑体" w:cs="Times New Roman"/>
          <w:b/>
          <w:bCs/>
          <w:color w:val="auto"/>
          <w:sz w:val="32"/>
          <w:szCs w:val="32"/>
          <w:shd w:val="clear" w:color="auto" w:fill="auto"/>
        </w:rPr>
        <w:t>第五章</w:t>
      </w:r>
      <w:r>
        <w:rPr>
          <w:rFonts w:ascii="黑体" w:hAnsi="黑体" w:eastAsia="黑体" w:cs="Times New Roman"/>
          <w:b/>
          <w:bCs/>
          <w:color w:val="auto"/>
          <w:sz w:val="32"/>
          <w:szCs w:val="32"/>
          <w:shd w:val="clear" w:color="auto" w:fill="auto"/>
        </w:rPr>
        <w:t xml:space="preserve"> </w:t>
      </w:r>
      <w:r>
        <w:rPr>
          <w:rFonts w:hint="eastAsia" w:ascii="黑体" w:hAnsi="黑体" w:eastAsia="黑体" w:cs="Times New Roman"/>
          <w:b/>
          <w:bCs/>
          <w:color w:val="auto"/>
          <w:sz w:val="32"/>
          <w:szCs w:val="32"/>
          <w:shd w:val="clear" w:color="auto" w:fill="auto"/>
        </w:rPr>
        <w:t>费用报销</w:t>
      </w:r>
    </w:p>
    <w:p w14:paraId="3E84AB17">
      <w:pPr>
        <w:pStyle w:val="14"/>
        <w:ind w:firstLine="643"/>
        <w:rPr>
          <w:rFonts w:hint="eastAsia" w:ascii="仿宋_GB2312" w:eastAsia="仿宋_GB2312" w:cs="仿宋_GB2312"/>
          <w:b w:val="0"/>
          <w:bCs/>
          <w:color w:val="auto"/>
          <w:sz w:val="32"/>
          <w:szCs w:val="32"/>
          <w:shd w:val="clear" w:color="auto" w:fill="auto"/>
        </w:rPr>
      </w:pPr>
      <w:r>
        <w:rPr>
          <w:rFonts w:hint="eastAsia" w:ascii="仿宋_GB2312" w:eastAsia="仿宋_GB2312" w:cs="仿宋_GB2312"/>
          <w:b w:val="0"/>
          <w:bCs/>
          <w:color w:val="auto"/>
          <w:sz w:val="32"/>
          <w:szCs w:val="32"/>
          <w:shd w:val="clear" w:color="auto" w:fill="auto"/>
        </w:rPr>
        <w:t>第二十五条 使用业务招待费时，不得采取预存一定的费用后续签单消费的方式。业务招待费支出，原则上应以能够提供付款记录的银行转账、银行卡或互联网支付方式结算。对于使用现金支付的招待单据，招待部门负责审核确认，并进行特殊情况说明。对于支出金额超过5000元的大额业务招待费支出，不得以现金方式结算。</w:t>
      </w:r>
    </w:p>
    <w:p w14:paraId="34B65942">
      <w:pPr>
        <w:pStyle w:val="14"/>
        <w:ind w:firstLine="640"/>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 xml:space="preserve">第二十六条 </w:t>
      </w:r>
      <w:r>
        <w:rPr>
          <w:rFonts w:hint="eastAsia" w:ascii="仿宋_GB2312" w:eastAsia="仿宋_GB2312"/>
          <w:color w:val="auto"/>
          <w:sz w:val="32"/>
          <w:szCs w:val="32"/>
          <w:shd w:val="clear" w:color="auto" w:fill="auto"/>
        </w:rPr>
        <w:t>开展业务招待所发生的费用应当及时结算。严禁以会议、培训、调研等费用的名义虚列、隐匿业务招待费用。对同一招待事项，不得拆分报销；对不同招待事项集中报销，应清晰列示招待事项明细。要提交的支撑材料主要包括：发票</w:t>
      </w:r>
      <w:bookmarkStart w:id="0" w:name="_GoBack"/>
      <w:bookmarkEnd w:id="0"/>
      <w:r>
        <w:rPr>
          <w:rFonts w:hint="eastAsia" w:ascii="仿宋_GB2312" w:eastAsia="仿宋_GB2312"/>
          <w:color w:val="auto"/>
          <w:sz w:val="32"/>
          <w:szCs w:val="32"/>
          <w:shd w:val="clear" w:color="auto" w:fill="auto"/>
          <w:lang w:val="en-US" w:eastAsia="zh-CN"/>
        </w:rPr>
        <w:t>(</w:t>
      </w:r>
      <w:r>
        <w:rPr>
          <w:rFonts w:hint="eastAsia" w:ascii="仿宋_GB2312" w:eastAsia="仿宋_GB2312"/>
          <w:color w:val="auto"/>
          <w:sz w:val="32"/>
          <w:szCs w:val="32"/>
          <w:shd w:val="clear" w:color="auto" w:fill="auto"/>
        </w:rPr>
        <w:t>系统无法查验的发票需提供发票验证信息）、业务招待事项审批单，多次招待事项集中报销时须提供招待明细清单，个人用银行卡或互联网支付方式先行垫付资金后报销的，须提供银行卡POS机刷卡单、电子消费记录等。</w:t>
      </w:r>
      <w:r>
        <w:rPr>
          <w:rFonts w:hint="eastAsia" w:ascii="仿宋_GB2312" w:eastAsia="仿宋_GB2312" w:cs="仿宋_GB2312"/>
          <w:color w:val="auto"/>
          <w:sz w:val="32"/>
          <w:szCs w:val="32"/>
          <w:shd w:val="clear" w:color="auto" w:fill="auto"/>
        </w:rPr>
        <w:t>节假日业务招待报备资料（节假日业务招待费用报销时提供）。</w:t>
      </w:r>
    </w:p>
    <w:p w14:paraId="6986B372">
      <w:pPr>
        <w:pStyle w:val="14"/>
        <w:ind w:firstLine="643"/>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第二十七条</w:t>
      </w:r>
      <w:r>
        <w:rPr>
          <w:rFonts w:ascii="仿宋_GB2312" w:eastAsia="仿宋_GB2312" w:cs="仿宋_GB2312"/>
          <w:b/>
          <w:color w:val="auto"/>
          <w:sz w:val="32"/>
          <w:szCs w:val="32"/>
          <w:shd w:val="clear" w:color="auto" w:fill="auto"/>
        </w:rPr>
        <w:t xml:space="preserve"> </w:t>
      </w:r>
      <w:r>
        <w:rPr>
          <w:rFonts w:hint="eastAsia" w:ascii="仿宋_GB2312" w:eastAsia="仿宋_GB2312" w:cs="仿宋_GB2312"/>
          <w:color w:val="auto"/>
          <w:sz w:val="32"/>
          <w:szCs w:val="32"/>
          <w:shd w:val="clear" w:color="auto" w:fill="auto"/>
        </w:rPr>
        <w:t>本单位应建立完善的业务招待费内控流程，规范业务招待费的审批程序和授权权限，强化预算、执行、审批、财务报销等关键环节管控要求。</w:t>
      </w:r>
    </w:p>
    <w:p w14:paraId="6B69F78B">
      <w:pPr>
        <w:pStyle w:val="14"/>
        <w:ind w:firstLine="643"/>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第二十八条</w:t>
      </w:r>
      <w:r>
        <w:rPr>
          <w:rFonts w:hint="eastAsia" w:ascii="仿宋_GB2312" w:eastAsia="仿宋_GB2312" w:cs="仿宋_GB2312"/>
          <w:color w:val="auto"/>
          <w:sz w:val="32"/>
          <w:szCs w:val="32"/>
          <w:shd w:val="clear" w:color="auto" w:fill="auto"/>
        </w:rPr>
        <w:t xml:space="preserve"> 各</w:t>
      </w:r>
      <w:r>
        <w:rPr>
          <w:rFonts w:ascii="仿宋_GB2312" w:eastAsia="仿宋_GB2312" w:cs="仿宋_GB2312"/>
          <w:color w:val="auto"/>
          <w:sz w:val="32"/>
          <w:szCs w:val="32"/>
          <w:shd w:val="clear" w:color="auto" w:fill="auto"/>
        </w:rPr>
        <w:t>单位</w:t>
      </w:r>
      <w:r>
        <w:rPr>
          <w:rFonts w:hint="eastAsia" w:ascii="仿宋_GB2312" w:eastAsia="仿宋_GB2312" w:cs="仿宋_GB2312"/>
          <w:color w:val="auto"/>
          <w:sz w:val="32"/>
          <w:szCs w:val="32"/>
          <w:shd w:val="clear" w:color="auto" w:fill="auto"/>
        </w:rPr>
        <w:t>物资管理部门等相关部门负责接待物品的采购、领用、保管和登记等集中管理。建立健全接待物品采购管理制度，积极开展集中采购或统一定制，规范采购行为，优化采购流程，降低采购成本。</w:t>
      </w:r>
    </w:p>
    <w:p w14:paraId="724D8A8E">
      <w:pPr>
        <w:pStyle w:val="14"/>
        <w:ind w:firstLine="643"/>
        <w:rPr>
          <w:rFonts w:ascii="仿宋_GB2312" w:hAnsi="宋体" w:eastAsia="仿宋_GB2312" w:cs="宋体"/>
          <w:b/>
          <w:color w:val="auto"/>
          <w:kern w:val="0"/>
          <w:sz w:val="32"/>
          <w:szCs w:val="32"/>
          <w:shd w:val="clear" w:color="auto" w:fill="auto"/>
        </w:rPr>
      </w:pPr>
      <w:r>
        <w:rPr>
          <w:rFonts w:hint="eastAsia" w:ascii="仿宋_GB2312" w:hAnsi="宋体" w:eastAsia="仿宋_GB2312" w:cs="宋体"/>
          <w:b/>
          <w:color w:val="auto"/>
          <w:kern w:val="0"/>
          <w:sz w:val="32"/>
          <w:szCs w:val="32"/>
          <w:shd w:val="clear" w:color="auto" w:fill="auto"/>
        </w:rPr>
        <w:t xml:space="preserve">第二十九条 </w:t>
      </w:r>
      <w:r>
        <w:rPr>
          <w:rFonts w:hint="eastAsia" w:ascii="仿宋_GB2312" w:eastAsia="仿宋_GB2312" w:cs="仿宋_GB2312"/>
          <w:color w:val="auto"/>
          <w:sz w:val="32"/>
          <w:szCs w:val="32"/>
          <w:shd w:val="clear" w:color="auto" w:fill="auto"/>
        </w:rPr>
        <w:t>负责招待的部门是业务招待的第一责任部门，经办部门负责人</w:t>
      </w:r>
      <w:r>
        <w:rPr>
          <w:rFonts w:ascii="仿宋_GB2312" w:eastAsia="仿宋_GB2312" w:cs="仿宋_GB2312"/>
          <w:color w:val="auto"/>
          <w:sz w:val="32"/>
          <w:szCs w:val="32"/>
          <w:shd w:val="clear" w:color="auto" w:fill="auto"/>
        </w:rPr>
        <w:t>和</w:t>
      </w:r>
      <w:r>
        <w:rPr>
          <w:rFonts w:hint="eastAsia" w:ascii="仿宋_GB2312" w:eastAsia="仿宋_GB2312" w:cs="仿宋_GB2312"/>
          <w:color w:val="auto"/>
          <w:sz w:val="32"/>
          <w:szCs w:val="32"/>
          <w:shd w:val="clear" w:color="auto" w:fill="auto"/>
        </w:rPr>
        <w:t>经办人应对经济事项</w:t>
      </w:r>
      <w:r>
        <w:rPr>
          <w:rFonts w:ascii="仿宋_GB2312" w:eastAsia="仿宋_GB2312" w:cs="仿宋_GB2312"/>
          <w:color w:val="auto"/>
          <w:sz w:val="32"/>
          <w:szCs w:val="32"/>
          <w:shd w:val="clear" w:color="auto" w:fill="auto"/>
        </w:rPr>
        <w:t>的真实性与合规性、报销凭证的真实性与完整性</w:t>
      </w:r>
      <w:r>
        <w:rPr>
          <w:rFonts w:hint="eastAsia" w:ascii="仿宋_GB2312" w:eastAsia="仿宋_GB2312" w:cs="仿宋_GB2312"/>
          <w:color w:val="auto"/>
          <w:sz w:val="32"/>
          <w:szCs w:val="32"/>
          <w:shd w:val="clear" w:color="auto" w:fill="auto"/>
        </w:rPr>
        <w:t>负责，严格履行</w:t>
      </w:r>
      <w:r>
        <w:rPr>
          <w:rFonts w:ascii="仿宋_GB2312" w:eastAsia="仿宋_GB2312" w:cs="仿宋_GB2312"/>
          <w:color w:val="auto"/>
          <w:sz w:val="32"/>
          <w:szCs w:val="32"/>
          <w:shd w:val="clear" w:color="auto" w:fill="auto"/>
        </w:rPr>
        <w:t>审批</w:t>
      </w:r>
      <w:r>
        <w:rPr>
          <w:rFonts w:hint="eastAsia" w:ascii="仿宋_GB2312" w:eastAsia="仿宋_GB2312" w:cs="仿宋_GB2312"/>
          <w:color w:val="auto"/>
          <w:sz w:val="32"/>
          <w:szCs w:val="32"/>
          <w:shd w:val="clear" w:color="auto" w:fill="auto"/>
        </w:rPr>
        <w:t>程序</w:t>
      </w:r>
      <w:r>
        <w:rPr>
          <w:rFonts w:ascii="仿宋_GB2312" w:eastAsia="仿宋_GB2312" w:cs="仿宋_GB2312"/>
          <w:color w:val="auto"/>
          <w:sz w:val="32"/>
          <w:szCs w:val="32"/>
          <w:shd w:val="clear" w:color="auto" w:fill="auto"/>
        </w:rPr>
        <w:t>，</w:t>
      </w:r>
      <w:r>
        <w:rPr>
          <w:rFonts w:hint="eastAsia" w:ascii="仿宋_GB2312" w:eastAsia="仿宋_GB2312" w:cs="仿宋_GB2312"/>
          <w:color w:val="auto"/>
          <w:sz w:val="32"/>
          <w:szCs w:val="32"/>
          <w:shd w:val="clear" w:color="auto" w:fill="auto"/>
        </w:rPr>
        <w:t>提交的报销发票应符合国家有关发票管理规定，严禁以虚假发票、过期发票、白条作为报销凭据。</w:t>
      </w:r>
    </w:p>
    <w:p w14:paraId="3B9BB998">
      <w:pPr>
        <w:pStyle w:val="14"/>
        <w:ind w:firstLine="643"/>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第三十条</w:t>
      </w:r>
      <w:r>
        <w:rPr>
          <w:rFonts w:ascii="仿宋_GB2312" w:eastAsia="仿宋_GB2312" w:cs="仿宋_GB2312"/>
          <w:color w:val="auto"/>
          <w:sz w:val="32"/>
          <w:szCs w:val="32"/>
          <w:shd w:val="clear" w:color="auto" w:fill="auto"/>
        </w:rPr>
        <w:t xml:space="preserve"> </w:t>
      </w:r>
      <w:r>
        <w:rPr>
          <w:rFonts w:hint="eastAsia" w:ascii="仿宋_GB2312" w:eastAsia="仿宋_GB2312" w:cs="仿宋_GB2312"/>
          <w:color w:val="auto"/>
          <w:sz w:val="32"/>
          <w:szCs w:val="32"/>
          <w:shd w:val="clear" w:color="auto" w:fill="auto"/>
        </w:rPr>
        <w:t>本单位财务部门负责对业务招待费预算进行额度控制，并对报销原始凭证完整性、发票合法合规性、审批程序完备性、支出项目合规性进行审核。对于审批程序不符合授权权限和内部控制要求的，审批要件和明细单据不齐全、不完备、不合规的，所附发票未经验证或不合规的，超范围、超预算及超定额标准等不符合相关规定的费用支出，一律不得报销。</w:t>
      </w:r>
    </w:p>
    <w:p w14:paraId="3964D3C4">
      <w:pPr>
        <w:adjustRightInd w:val="0"/>
        <w:snapToGrid w:val="0"/>
        <w:spacing w:line="360" w:lineRule="auto"/>
        <w:ind w:firstLine="482" w:firstLineChars="150"/>
        <w:rPr>
          <w:rFonts w:hint="eastAsia"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第三十一条</w:t>
      </w:r>
      <w:r>
        <w:rPr>
          <w:rFonts w:hint="eastAsia" w:ascii="仿宋_GB2312" w:eastAsia="仿宋_GB2312" w:cs="仿宋_GB2312"/>
          <w:color w:val="auto"/>
          <w:sz w:val="32"/>
          <w:szCs w:val="32"/>
          <w:shd w:val="clear" w:color="auto" w:fill="auto"/>
        </w:rPr>
        <w:t xml:space="preserve"> 各单位应根据本办法所规定的业务招待费开支范围，规范业务招待费的会计核算，严格区分业务招待费和</w:t>
      </w:r>
      <w:r>
        <w:rPr>
          <w:rFonts w:ascii="仿宋_GB2312" w:eastAsia="仿宋_GB2312" w:cs="仿宋_GB2312"/>
          <w:color w:val="auto"/>
          <w:sz w:val="32"/>
          <w:szCs w:val="32"/>
          <w:shd w:val="clear" w:color="auto" w:fill="auto"/>
        </w:rPr>
        <w:t>市场营销类等</w:t>
      </w:r>
      <w:r>
        <w:rPr>
          <w:rFonts w:hint="eastAsia" w:ascii="仿宋_GB2312" w:eastAsia="仿宋_GB2312" w:cs="仿宋_GB2312"/>
          <w:color w:val="auto"/>
          <w:sz w:val="32"/>
          <w:szCs w:val="32"/>
          <w:shd w:val="clear" w:color="auto" w:fill="auto"/>
        </w:rPr>
        <w:t>相关</w:t>
      </w:r>
      <w:r>
        <w:rPr>
          <w:rFonts w:ascii="仿宋_GB2312" w:eastAsia="仿宋_GB2312" w:cs="仿宋_GB2312"/>
          <w:color w:val="auto"/>
          <w:sz w:val="32"/>
          <w:szCs w:val="32"/>
          <w:shd w:val="clear" w:color="auto" w:fill="auto"/>
        </w:rPr>
        <w:t>费用，加强对会议及客户服务、市场营销等活动中涉及餐饮费用的规范管理和列支</w:t>
      </w:r>
      <w:r>
        <w:rPr>
          <w:rFonts w:hint="eastAsia" w:ascii="仿宋_GB2312" w:eastAsia="仿宋_GB2312" w:cs="仿宋_GB2312"/>
          <w:color w:val="auto"/>
          <w:sz w:val="32"/>
          <w:szCs w:val="32"/>
          <w:shd w:val="clear" w:color="auto" w:fill="auto"/>
        </w:rPr>
        <w:t>。业务招待费应据实列支，不得调剂使用，不得按任何形式预提、留存，不得向所属单位摊派或在所属单位列支。</w:t>
      </w:r>
    </w:p>
    <w:p w14:paraId="00580BBA">
      <w:pPr>
        <w:widowControl/>
        <w:adjustRightInd w:val="0"/>
        <w:snapToGrid w:val="0"/>
        <w:spacing w:line="360" w:lineRule="auto"/>
        <w:jc w:val="left"/>
        <w:rPr>
          <w:rFonts w:ascii="黑体" w:hAnsi="黑体" w:eastAsia="黑体" w:cs="Times New Roman"/>
          <w:color w:val="auto"/>
          <w:shd w:val="clear" w:color="auto" w:fill="auto"/>
        </w:rPr>
      </w:pPr>
    </w:p>
    <w:p w14:paraId="4261044C">
      <w:pPr>
        <w:adjustRightInd w:val="0"/>
        <w:snapToGrid w:val="0"/>
        <w:spacing w:line="360" w:lineRule="auto"/>
        <w:jc w:val="center"/>
        <w:rPr>
          <w:rFonts w:ascii="黑体" w:hAnsi="黑体" w:eastAsia="黑体" w:cs="Times New Roman"/>
          <w:color w:val="auto"/>
          <w:sz w:val="32"/>
          <w:szCs w:val="32"/>
          <w:shd w:val="clear" w:color="auto" w:fill="auto"/>
        </w:rPr>
      </w:pPr>
      <w:r>
        <w:rPr>
          <w:rFonts w:hint="eastAsia" w:ascii="黑体" w:hAnsi="黑体" w:eastAsia="黑体" w:cs="Times New Roman"/>
          <w:color w:val="auto"/>
          <w:sz w:val="32"/>
          <w:szCs w:val="32"/>
          <w:shd w:val="clear" w:color="auto" w:fill="auto"/>
        </w:rPr>
        <w:t>第六章</w:t>
      </w:r>
      <w:r>
        <w:rPr>
          <w:rFonts w:ascii="黑体" w:hAnsi="黑体" w:eastAsia="黑体" w:cs="Times New Roman"/>
          <w:color w:val="auto"/>
          <w:sz w:val="32"/>
          <w:szCs w:val="32"/>
          <w:shd w:val="clear" w:color="auto" w:fill="auto"/>
        </w:rPr>
        <w:t xml:space="preserve"> </w:t>
      </w:r>
      <w:r>
        <w:rPr>
          <w:rFonts w:hint="eastAsia" w:ascii="黑体" w:hAnsi="黑体" w:eastAsia="黑体" w:cs="Times New Roman"/>
          <w:color w:val="auto"/>
          <w:sz w:val="32"/>
          <w:szCs w:val="32"/>
          <w:shd w:val="clear" w:color="auto" w:fill="auto"/>
        </w:rPr>
        <w:t>信息公开和监督检查</w:t>
      </w:r>
    </w:p>
    <w:p w14:paraId="57C82BE0">
      <w:pPr>
        <w:adjustRightInd w:val="0"/>
        <w:snapToGrid w:val="0"/>
        <w:spacing w:line="360" w:lineRule="auto"/>
        <w:jc w:val="center"/>
        <w:rPr>
          <w:rFonts w:ascii="黑体" w:hAnsi="黑体" w:eastAsia="黑体" w:cs="Times New Roman"/>
          <w:color w:val="auto"/>
          <w:shd w:val="clear" w:color="auto" w:fill="auto"/>
        </w:rPr>
      </w:pPr>
    </w:p>
    <w:p w14:paraId="4429640A">
      <w:pPr>
        <w:pStyle w:val="14"/>
        <w:ind w:firstLine="643"/>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 xml:space="preserve">第三十二条 </w:t>
      </w:r>
      <w:r>
        <w:rPr>
          <w:rFonts w:hint="eastAsia" w:ascii="仿宋_GB2312" w:eastAsia="仿宋_GB2312" w:cs="仿宋_GB2312"/>
          <w:color w:val="auto"/>
          <w:sz w:val="32"/>
          <w:szCs w:val="32"/>
          <w:shd w:val="clear" w:color="auto" w:fill="auto"/>
        </w:rPr>
        <w:t>各单位应当切实完善内部控制体系，加强嵌入式廉洁风险防控机制建设，严格审批、报销、检查等关键环节，加强内部监督，将业务招待费用支出的合法合规性、内部控制健全性和有效性、会计信息质量真实性、准确性等内容纳入监督检查范围，对违规行为予以通报。对于检查发现的管理隐患，应当及时整改，完善制度和流程，堵塞管理漏洞，形成规范管理的长效机制。要发挥纪检监察机构的监督作用。</w:t>
      </w:r>
    </w:p>
    <w:p w14:paraId="1E762A94">
      <w:pPr>
        <w:adjustRightInd w:val="0"/>
        <w:snapToGrid w:val="0"/>
        <w:spacing w:line="360" w:lineRule="auto"/>
        <w:ind w:firstLine="645"/>
        <w:rPr>
          <w:rFonts w:ascii="仿宋_GB2312" w:eastAsia="仿宋_GB2312" w:cs="仿宋_GB2312"/>
          <w:strike/>
          <w:color w:val="auto"/>
          <w:sz w:val="32"/>
          <w:szCs w:val="32"/>
          <w:shd w:val="clear" w:color="auto" w:fill="auto"/>
        </w:rPr>
      </w:pPr>
      <w:r>
        <w:rPr>
          <w:rFonts w:hint="eastAsia" w:ascii="仿宋_GB2312" w:hAnsi="宋体" w:eastAsia="仿宋_GB2312" w:cs="宋体"/>
          <w:b/>
          <w:color w:val="auto"/>
          <w:kern w:val="0"/>
          <w:sz w:val="32"/>
          <w:szCs w:val="32"/>
          <w:shd w:val="clear" w:color="auto" w:fill="auto"/>
        </w:rPr>
        <w:t xml:space="preserve">第三十三条 </w:t>
      </w:r>
      <w:r>
        <w:rPr>
          <w:rFonts w:hint="eastAsia" w:ascii="仿宋_GB2312" w:eastAsia="仿宋_GB2312" w:cs="仿宋_GB2312"/>
          <w:color w:val="auto"/>
          <w:sz w:val="32"/>
          <w:szCs w:val="32"/>
          <w:shd w:val="clear" w:color="auto" w:fill="auto"/>
        </w:rPr>
        <w:t>有下列行为之一的，予以严肃处理，并追究有关人员责任：</w:t>
      </w:r>
    </w:p>
    <w:p w14:paraId="50883A4A">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（一）违规增加业务招待活动内容；</w:t>
      </w:r>
    </w:p>
    <w:p w14:paraId="1D4E29AE">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（二）擅自提高业务招待开支标准；</w:t>
      </w:r>
    </w:p>
    <w:p w14:paraId="24D7CCF2">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（三）以变通形式报销业务招待费用；</w:t>
      </w:r>
    </w:p>
    <w:p w14:paraId="70D6D3AB">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（四）通过虚报来访人数、天数等，报销业务招待费用；</w:t>
      </w:r>
    </w:p>
    <w:p w14:paraId="58CA1ED0">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（五）使用虚假发票报销业务招待费用；</w:t>
      </w:r>
    </w:p>
    <w:p w14:paraId="393AF90B">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（六）报销因私招待费用和个人消费费用；</w:t>
      </w:r>
    </w:p>
    <w:p w14:paraId="06245ADF">
      <w:pPr>
        <w:adjustRightInd w:val="0"/>
        <w:snapToGrid w:val="0"/>
        <w:spacing w:line="360" w:lineRule="auto"/>
        <w:ind w:firstLine="645"/>
        <w:rPr>
          <w:rFonts w:ascii="仿宋_GB2312" w:eastAsia="仿宋_GB2312" w:cs="仿宋_GB2312"/>
          <w:color w:val="auto"/>
          <w:sz w:val="32"/>
          <w:szCs w:val="32"/>
          <w:shd w:val="clear" w:color="auto" w:fill="auto"/>
        </w:rPr>
      </w:pPr>
      <w:r>
        <w:rPr>
          <w:rFonts w:hint="eastAsia" w:ascii="仿宋_GB2312" w:eastAsia="仿宋_GB2312" w:cs="仿宋_GB2312"/>
          <w:color w:val="auto"/>
          <w:sz w:val="32"/>
          <w:szCs w:val="32"/>
          <w:shd w:val="clear" w:color="auto" w:fill="auto"/>
        </w:rPr>
        <w:t>（七）向下属单位等摊派或转嫁业务招待费用；</w:t>
      </w:r>
    </w:p>
    <w:p w14:paraId="214386A9">
      <w:pPr>
        <w:adjustRightInd w:val="0"/>
        <w:snapToGrid w:val="0"/>
        <w:spacing w:line="360" w:lineRule="auto"/>
        <w:ind w:firstLine="645"/>
        <w:rPr>
          <w:rFonts w:ascii="仿宋_GB2312" w:eastAsia="仿宋_GB2312" w:cs="仿宋_GB2312"/>
          <w:color w:val="auto"/>
          <w:shd w:val="clear" w:color="auto" w:fill="auto"/>
        </w:rPr>
      </w:pPr>
      <w:r>
        <w:rPr>
          <w:rFonts w:hint="eastAsia" w:ascii="仿宋_GB2312" w:eastAsia="仿宋_GB2312" w:cs="仿宋_GB2312"/>
          <w:color w:val="auto"/>
          <w:sz w:val="32"/>
          <w:szCs w:val="32"/>
          <w:shd w:val="clear" w:color="auto" w:fill="auto"/>
        </w:rPr>
        <w:t>（八）其他违反本规定的行为。</w:t>
      </w:r>
    </w:p>
    <w:p w14:paraId="156471EA">
      <w:pPr>
        <w:pStyle w:val="14"/>
        <w:ind w:firstLine="643"/>
        <w:rPr>
          <w:rFonts w:hint="eastAsia"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第三十四条</w:t>
      </w:r>
      <w:r>
        <w:rPr>
          <w:rFonts w:hint="eastAsia" w:ascii="仿宋_GB2312" w:eastAsia="仿宋_GB2312" w:cs="仿宋_GB2312"/>
          <w:color w:val="auto"/>
          <w:sz w:val="32"/>
          <w:szCs w:val="32"/>
          <w:shd w:val="clear" w:color="auto" w:fill="auto"/>
        </w:rPr>
        <w:t xml:space="preserve"> 本单位业务招待经费的预决算应当按照规定通过向职工代表大会报告等形式定期公开，接受职工监督。</w:t>
      </w:r>
    </w:p>
    <w:p w14:paraId="361D73E5">
      <w:pPr>
        <w:adjustRightInd w:val="0"/>
        <w:snapToGrid w:val="0"/>
        <w:spacing w:line="360" w:lineRule="auto"/>
        <w:ind w:firstLine="643" w:firstLineChars="200"/>
        <w:rPr>
          <w:rFonts w:hint="eastAsia" w:ascii="仿宋_GB2312" w:eastAsia="仿宋_GB2312" w:cs="仿宋_GB2312"/>
          <w:color w:val="auto"/>
          <w:sz w:val="32"/>
          <w:szCs w:val="32"/>
          <w:shd w:val="clear" w:color="auto" w:fill="auto"/>
        </w:rPr>
      </w:pPr>
      <w:r>
        <w:rPr>
          <w:rFonts w:hint="eastAsia" w:ascii="仿宋_GB2312" w:eastAsia="仿宋_GB2312" w:cs="仿宋_GB2312"/>
          <w:b/>
          <w:bCs/>
          <w:color w:val="auto"/>
          <w:sz w:val="32"/>
          <w:szCs w:val="32"/>
          <w:shd w:val="clear" w:color="auto" w:fill="auto"/>
          <w:lang w:eastAsia="zh-CN"/>
        </w:rPr>
        <w:t>第三十五条</w:t>
      </w:r>
      <w:r>
        <w:rPr>
          <w:rFonts w:hint="eastAsia" w:ascii="仿宋_GB2312" w:eastAsia="仿宋_GB2312" w:cs="仿宋_GB2312"/>
          <w:color w:val="auto"/>
          <w:sz w:val="32"/>
          <w:szCs w:val="32"/>
          <w:shd w:val="clear" w:color="auto" w:fill="auto"/>
          <w:lang w:val="en-US" w:eastAsia="zh-CN"/>
        </w:rPr>
        <w:t xml:space="preserve"> </w:t>
      </w:r>
      <w:r>
        <w:rPr>
          <w:rFonts w:hint="eastAsia" w:ascii="仿宋_GB2312" w:eastAsia="仿宋_GB2312" w:cs="仿宋_GB2312"/>
          <w:color w:val="auto"/>
          <w:sz w:val="32"/>
          <w:szCs w:val="32"/>
          <w:shd w:val="clear" w:color="auto" w:fill="auto"/>
        </w:rPr>
        <w:t>各单位负责人应当将外事招待的年度执行情况等，作为民主生活会、年度述职述廉的重要内容，接受监督和民主评议；各单位应当将相关事项按照规定通过向职工代表大会报告等形式定期公开，接受职工监督。</w:t>
      </w:r>
    </w:p>
    <w:p w14:paraId="2CBD2DC0">
      <w:pPr>
        <w:adjustRightInd w:val="0"/>
        <w:snapToGrid w:val="0"/>
        <w:spacing w:line="360" w:lineRule="auto"/>
        <w:ind w:firstLine="645"/>
        <w:rPr>
          <w:rFonts w:ascii="仿宋_GB2312" w:eastAsia="仿宋_GB2312" w:cs="仿宋_GB2312"/>
          <w:color w:val="auto"/>
          <w:sz w:val="32"/>
          <w:szCs w:val="32"/>
        </w:rPr>
      </w:pPr>
      <w:r>
        <w:rPr>
          <w:rFonts w:hint="eastAsia" w:ascii="仿宋_GB2312" w:eastAsia="仿宋_GB2312" w:cs="仿宋_GB2312"/>
          <w:b/>
          <w:bCs/>
          <w:color w:val="auto"/>
          <w:sz w:val="32"/>
          <w:szCs w:val="32"/>
          <w:shd w:val="clear" w:color="auto" w:fill="auto"/>
          <w:lang w:eastAsia="zh-CN"/>
        </w:rPr>
        <w:t>第三十六条</w:t>
      </w:r>
      <w:r>
        <w:rPr>
          <w:rFonts w:hint="eastAsia" w:ascii="仿宋_GB2312" w:eastAsia="仿宋_GB2312" w:cs="仿宋_GB2312"/>
          <w:color w:val="auto"/>
          <w:sz w:val="32"/>
          <w:szCs w:val="32"/>
          <w:shd w:val="clear" w:color="auto" w:fill="auto"/>
          <w:lang w:val="en-US" w:eastAsia="zh-CN"/>
        </w:rPr>
        <w:t xml:space="preserve"> </w:t>
      </w:r>
      <w:r>
        <w:rPr>
          <w:rFonts w:hint="eastAsia" w:ascii="仿宋_GB2312" w:eastAsia="仿宋_GB2312" w:cs="仿宋_GB2312"/>
          <w:color w:val="auto"/>
          <w:sz w:val="32"/>
          <w:szCs w:val="32"/>
        </w:rPr>
        <w:t>除涉密内容和事项外，要将</w:t>
      </w:r>
      <w:r>
        <w:rPr>
          <w:rFonts w:hint="eastAsia" w:ascii="仿宋_GB2312" w:eastAsia="仿宋_GB2312" w:cs="仿宋_GB2312"/>
          <w:color w:val="auto"/>
          <w:sz w:val="32"/>
          <w:szCs w:val="32"/>
          <w:lang w:eastAsia="zh-CN"/>
        </w:rPr>
        <w:t>公司</w:t>
      </w:r>
      <w:r>
        <w:rPr>
          <w:rFonts w:hint="eastAsia" w:ascii="仿宋_GB2312" w:eastAsia="仿宋_GB2312" w:cs="仿宋_GB2312"/>
          <w:color w:val="auto"/>
          <w:sz w:val="32"/>
          <w:szCs w:val="32"/>
        </w:rPr>
        <w:t>负责人商务和其他公务招待活动的制度规定、标准、事由、经费支出、接待场所、接待对象、陪同人员、接待项目等有关情况，按年度在本级管理层范围内以会议报告、文件传阅等适当形式逐笔公开，并于10个工作日内报送同级纪委备案。其他人员的商务、其他公务招待信息公开工作，应当参照上述要求开展。</w:t>
      </w:r>
    </w:p>
    <w:p w14:paraId="328BDBC6">
      <w:pPr>
        <w:adjustRightInd w:val="0"/>
        <w:snapToGrid w:val="0"/>
        <w:spacing w:before="156" w:beforeLines="50" w:after="156" w:afterLines="50" w:line="360" w:lineRule="auto"/>
        <w:ind w:firstLine="646"/>
        <w:jc w:val="center"/>
        <w:rPr>
          <w:rFonts w:ascii="黑体" w:hAnsi="黑体" w:eastAsia="黑体" w:cs="Times New Roman"/>
          <w:color w:val="auto"/>
          <w:sz w:val="32"/>
          <w:szCs w:val="32"/>
          <w:shd w:val="clear" w:color="auto" w:fill="auto"/>
        </w:rPr>
      </w:pPr>
      <w:r>
        <w:rPr>
          <w:rFonts w:hint="eastAsia" w:ascii="黑体" w:hAnsi="黑体" w:eastAsia="黑体" w:cs="Times New Roman"/>
          <w:b/>
          <w:bCs/>
          <w:color w:val="auto"/>
          <w:sz w:val="32"/>
          <w:szCs w:val="32"/>
          <w:shd w:val="clear" w:color="auto" w:fill="auto"/>
        </w:rPr>
        <w:t>第七章 附则</w:t>
      </w:r>
    </w:p>
    <w:p w14:paraId="5B2D202B">
      <w:pPr>
        <w:ind w:firstLine="643" w:firstLineChars="200"/>
        <w:rPr>
          <w:rFonts w:ascii="仿宋_GB2312" w:eastAsia="仿宋_GB2312" w:cs="仿宋_GB2312"/>
          <w:b/>
          <w:color w:val="auto"/>
          <w:sz w:val="32"/>
          <w:szCs w:val="32"/>
          <w:shd w:val="clear" w:color="auto" w:fill="auto"/>
        </w:rPr>
      </w:pPr>
      <w:r>
        <w:rPr>
          <w:rFonts w:hint="eastAsia" w:ascii="仿宋_GB2312" w:eastAsia="仿宋_GB2312" w:cs="仿宋_GB2312"/>
          <w:b/>
          <w:color w:val="auto"/>
          <w:sz w:val="32"/>
          <w:szCs w:val="32"/>
          <w:shd w:val="clear" w:color="auto" w:fill="auto"/>
        </w:rPr>
        <w:t>第三十</w:t>
      </w:r>
      <w:r>
        <w:rPr>
          <w:rFonts w:hint="eastAsia" w:ascii="仿宋_GB2312" w:eastAsia="仿宋_GB2312" w:cs="仿宋_GB2312"/>
          <w:b/>
          <w:color w:val="auto"/>
          <w:sz w:val="32"/>
          <w:szCs w:val="32"/>
          <w:shd w:val="clear" w:color="auto" w:fill="auto"/>
          <w:lang w:eastAsia="zh-CN"/>
        </w:rPr>
        <w:t>七</w:t>
      </w:r>
      <w:r>
        <w:rPr>
          <w:rFonts w:hint="eastAsia" w:ascii="仿宋_GB2312" w:eastAsia="仿宋_GB2312" w:cs="仿宋_GB2312"/>
          <w:b/>
          <w:color w:val="auto"/>
          <w:sz w:val="32"/>
          <w:szCs w:val="32"/>
          <w:shd w:val="clear" w:color="auto" w:fill="auto"/>
        </w:rPr>
        <w:t xml:space="preserve">条 </w:t>
      </w:r>
      <w:r>
        <w:rPr>
          <w:rFonts w:hint="eastAsia" w:ascii="仿宋_GB2312" w:eastAsia="仿宋_GB2312" w:cs="仿宋_GB2312"/>
          <w:color w:val="auto"/>
          <w:sz w:val="32"/>
          <w:szCs w:val="32"/>
          <w:shd w:val="clear" w:color="auto" w:fill="auto"/>
        </w:rPr>
        <w:t>对违反本办法相关规定需追究责任的，将视情节轻重，由主管部门根据对应的嵌入式廉洁风险防控分册中的违规行为处罚措施给予相应处理。</w:t>
      </w:r>
    </w:p>
    <w:p w14:paraId="3BF70E7A">
      <w:pPr>
        <w:pStyle w:val="14"/>
        <w:ind w:firstLine="643"/>
        <w:rPr>
          <w:rFonts w:ascii="仿宋_GB2312" w:eastAsia="仿宋_GB2312" w:cs="仿宋_GB2312"/>
          <w:color w:val="auto"/>
          <w:sz w:val="32"/>
          <w:szCs w:val="32"/>
          <w:shd w:val="clear" w:color="auto" w:fill="auto"/>
        </w:rPr>
      </w:pPr>
      <w:r>
        <w:rPr>
          <w:rFonts w:hint="eastAsia" w:ascii="仿宋_GB2312" w:eastAsia="仿宋_GB2312" w:cs="仿宋_GB2312"/>
          <w:b/>
          <w:color w:val="auto"/>
          <w:sz w:val="32"/>
          <w:szCs w:val="32"/>
          <w:shd w:val="clear" w:color="auto" w:fill="auto"/>
        </w:rPr>
        <w:t>第三十</w:t>
      </w:r>
      <w:r>
        <w:rPr>
          <w:rFonts w:hint="eastAsia" w:ascii="仿宋_GB2312" w:eastAsia="仿宋_GB2312" w:cs="仿宋_GB2312"/>
          <w:b/>
          <w:color w:val="auto"/>
          <w:sz w:val="32"/>
          <w:szCs w:val="32"/>
          <w:shd w:val="clear" w:color="auto" w:fill="auto"/>
          <w:lang w:eastAsia="zh-CN"/>
        </w:rPr>
        <w:t>八</w:t>
      </w:r>
      <w:r>
        <w:rPr>
          <w:rFonts w:hint="eastAsia" w:ascii="仿宋_GB2312" w:eastAsia="仿宋_GB2312" w:cs="仿宋_GB2312"/>
          <w:b/>
          <w:color w:val="auto"/>
          <w:sz w:val="32"/>
          <w:szCs w:val="32"/>
          <w:shd w:val="clear" w:color="auto" w:fill="auto"/>
        </w:rPr>
        <w:t>条</w:t>
      </w:r>
      <w:r>
        <w:rPr>
          <w:rFonts w:hint="eastAsia" w:ascii="仿宋_GB2312" w:eastAsia="仿宋_GB2312"/>
          <w:b/>
          <w:color w:val="auto"/>
          <w:sz w:val="32"/>
          <w:szCs w:val="32"/>
          <w:shd w:val="clear" w:color="auto" w:fill="auto"/>
        </w:rPr>
        <w:t xml:space="preserve"> </w:t>
      </w:r>
      <w:r>
        <w:rPr>
          <w:rFonts w:hint="eastAsia" w:ascii="仿宋_GB2312" w:eastAsia="仿宋_GB2312" w:cs="仿宋_GB2312"/>
          <w:color w:val="auto"/>
          <w:sz w:val="32"/>
          <w:szCs w:val="32"/>
          <w:shd w:val="clear" w:color="auto" w:fill="auto"/>
        </w:rPr>
        <w:t>本办法中的金额标准全部为含税价。</w:t>
      </w:r>
    </w:p>
    <w:p w14:paraId="100982C8">
      <w:pPr>
        <w:pStyle w:val="14"/>
        <w:ind w:firstLine="643"/>
        <w:rPr>
          <w:rFonts w:ascii="仿宋_GB2312" w:eastAsia="仿宋_GB2312"/>
          <w:color w:val="auto"/>
          <w:sz w:val="32"/>
          <w:szCs w:val="32"/>
          <w:shd w:val="clear" w:color="auto" w:fill="auto"/>
        </w:rPr>
      </w:pPr>
      <w:r>
        <w:rPr>
          <w:rFonts w:hint="eastAsia" w:ascii="仿宋_GB2312" w:eastAsia="仿宋_GB2312"/>
          <w:b/>
          <w:color w:val="auto"/>
          <w:sz w:val="32"/>
          <w:szCs w:val="32"/>
          <w:shd w:val="clear" w:color="auto" w:fill="auto"/>
        </w:rPr>
        <w:t>第三十</w:t>
      </w:r>
      <w:r>
        <w:rPr>
          <w:rFonts w:hint="eastAsia" w:ascii="仿宋_GB2312" w:eastAsia="仿宋_GB2312"/>
          <w:b/>
          <w:color w:val="auto"/>
          <w:sz w:val="32"/>
          <w:szCs w:val="32"/>
          <w:shd w:val="clear" w:color="auto" w:fill="auto"/>
          <w:lang w:eastAsia="zh-CN"/>
        </w:rPr>
        <w:t>九</w:t>
      </w:r>
      <w:r>
        <w:rPr>
          <w:rFonts w:hint="eastAsia" w:ascii="仿宋_GB2312" w:eastAsia="仿宋_GB2312"/>
          <w:b/>
          <w:color w:val="auto"/>
          <w:sz w:val="32"/>
          <w:szCs w:val="32"/>
          <w:shd w:val="clear" w:color="auto" w:fill="auto"/>
        </w:rPr>
        <w:t>条</w:t>
      </w:r>
      <w:r>
        <w:rPr>
          <w:rFonts w:ascii="仿宋_GB2312" w:eastAsia="仿宋_GB2312"/>
          <w:color w:val="auto"/>
          <w:sz w:val="32"/>
          <w:szCs w:val="32"/>
          <w:shd w:val="clear" w:color="auto" w:fill="auto"/>
        </w:rPr>
        <w:t xml:space="preserve"> </w:t>
      </w:r>
      <w:r>
        <w:rPr>
          <w:rFonts w:hint="eastAsia" w:ascii="仿宋_GB2312" w:eastAsia="仿宋_GB2312"/>
          <w:color w:val="auto"/>
          <w:sz w:val="32"/>
          <w:szCs w:val="32"/>
          <w:shd w:val="clear" w:color="auto" w:fill="auto"/>
        </w:rPr>
        <w:t>本办法由市公司</w:t>
      </w:r>
      <w:r>
        <w:rPr>
          <w:rFonts w:hint="eastAsia" w:ascii="仿宋_GB2312" w:eastAsia="仿宋_GB2312" w:cs="仿宋_GB2312"/>
          <w:color w:val="auto"/>
          <w:sz w:val="32"/>
          <w:szCs w:val="32"/>
          <w:shd w:val="clear" w:color="auto" w:fill="auto"/>
        </w:rPr>
        <w:t>办公室</w:t>
      </w:r>
      <w:r>
        <w:rPr>
          <w:rFonts w:hint="eastAsia" w:ascii="仿宋_GB2312" w:eastAsia="仿宋_GB2312"/>
          <w:color w:val="auto"/>
          <w:sz w:val="32"/>
          <w:szCs w:val="32"/>
          <w:shd w:val="clear" w:color="auto" w:fill="auto"/>
        </w:rPr>
        <w:t>、财务部负责解释。</w:t>
      </w:r>
    </w:p>
    <w:p w14:paraId="7440F3BD">
      <w:pPr>
        <w:pStyle w:val="14"/>
        <w:ind w:firstLine="643"/>
        <w:rPr>
          <w:rFonts w:hint="eastAsia" w:ascii="仿宋_GB2312" w:eastAsia="仿宋_GB2312"/>
          <w:color w:val="auto"/>
          <w:sz w:val="32"/>
          <w:szCs w:val="32"/>
          <w:shd w:val="clear" w:color="auto" w:fill="auto"/>
        </w:rPr>
      </w:pPr>
      <w:r>
        <w:rPr>
          <w:rFonts w:hint="eastAsia" w:ascii="仿宋_GB2312" w:eastAsia="仿宋_GB2312"/>
          <w:b/>
          <w:color w:val="auto"/>
          <w:sz w:val="32"/>
          <w:szCs w:val="32"/>
          <w:shd w:val="clear" w:color="auto" w:fill="auto"/>
        </w:rPr>
        <w:t>第</w:t>
      </w:r>
      <w:r>
        <w:rPr>
          <w:rFonts w:hint="eastAsia" w:ascii="仿宋_GB2312" w:eastAsia="仿宋_GB2312"/>
          <w:b/>
          <w:color w:val="auto"/>
          <w:sz w:val="32"/>
          <w:szCs w:val="32"/>
          <w:shd w:val="clear" w:color="auto" w:fill="auto"/>
          <w:lang w:eastAsia="zh-CN"/>
        </w:rPr>
        <w:t>四十</w:t>
      </w:r>
      <w:r>
        <w:rPr>
          <w:rFonts w:hint="eastAsia" w:ascii="仿宋_GB2312" w:eastAsia="仿宋_GB2312"/>
          <w:b/>
          <w:color w:val="auto"/>
          <w:sz w:val="32"/>
          <w:szCs w:val="32"/>
          <w:shd w:val="clear" w:color="auto" w:fill="auto"/>
        </w:rPr>
        <w:t>条</w:t>
      </w:r>
      <w:r>
        <w:rPr>
          <w:rFonts w:hint="eastAsia" w:ascii="仿宋_GB2312" w:eastAsia="仿宋_GB2312"/>
          <w:color w:val="auto"/>
          <w:sz w:val="32"/>
          <w:szCs w:val="32"/>
          <w:shd w:val="clear" w:color="auto" w:fill="auto"/>
        </w:rPr>
        <w:t xml:space="preserve"> 本办法自印发之日起施行，原管理办法《中国移动广东公司清远分公司业务招待费管理办法（V</w:t>
      </w:r>
      <w:r>
        <w:rPr>
          <w:rFonts w:hint="eastAsia" w:ascii="仿宋_GB2312" w:eastAsia="仿宋_GB2312"/>
          <w:color w:val="auto"/>
          <w:sz w:val="32"/>
          <w:szCs w:val="32"/>
          <w:shd w:val="clear" w:color="auto" w:fill="auto"/>
          <w:lang w:val="en-US" w:eastAsia="zh-CN"/>
        </w:rPr>
        <w:t>8.0</w:t>
      </w:r>
      <w:r>
        <w:rPr>
          <w:rFonts w:hint="eastAsia" w:ascii="仿宋_GB2312" w:eastAsia="仿宋_GB2312"/>
          <w:color w:val="auto"/>
          <w:sz w:val="32"/>
          <w:szCs w:val="32"/>
          <w:shd w:val="clear" w:color="auto" w:fill="auto"/>
        </w:rPr>
        <w:t>）》同时废止。若省公司颁发新的相关制度，将参照省公司最新要求执行。</w:t>
      </w:r>
    </w:p>
    <w:p w14:paraId="4EBEF2AC">
      <w:pPr>
        <w:pStyle w:val="14"/>
        <w:ind w:firstLine="643"/>
        <w:rPr>
          <w:rFonts w:hint="eastAsia" w:ascii="仿宋_GB2312" w:eastAsia="仿宋_GB2312"/>
          <w:color w:val="auto"/>
          <w:sz w:val="32"/>
          <w:szCs w:val="32"/>
          <w:shd w:val="clear" w:color="auto" w:fill="auto"/>
        </w:rPr>
      </w:pPr>
    </w:p>
    <w:p w14:paraId="3B9E729B">
      <w:pPr>
        <w:pStyle w:val="2"/>
        <w:jc w:val="left"/>
        <w:rPr>
          <w:rFonts w:ascii="华文细黑" w:hAnsi="华文细黑" w:eastAsia="华文细黑"/>
          <w:color w:val="auto"/>
          <w:kern w:val="0"/>
          <w:sz w:val="28"/>
          <w:szCs w:val="28"/>
          <w:shd w:val="clear" w:color="auto" w:fill="auto"/>
        </w:rPr>
      </w:pPr>
      <w:r>
        <w:rPr>
          <w:rFonts w:hint="eastAsia" w:ascii="华文细黑" w:hAnsi="华文细黑" w:eastAsia="华文细黑"/>
          <w:color w:val="auto"/>
          <w:kern w:val="0"/>
          <w:sz w:val="28"/>
          <w:szCs w:val="28"/>
          <w:shd w:val="clear" w:color="auto" w:fill="auto"/>
        </w:rPr>
        <w:t>附件：国家法定节假日及前三后三业务招待报备</w:t>
      </w:r>
    </w:p>
    <w:tbl>
      <w:tblPr>
        <w:tblStyle w:val="8"/>
        <w:tblW w:w="0" w:type="auto"/>
        <w:tblInd w:w="91" w:type="dxa"/>
        <w:tblLayout w:type="autofit"/>
        <w:tblCellMar>
          <w:top w:w="0" w:type="dxa"/>
          <w:left w:w="108" w:type="dxa"/>
          <w:bottom w:w="0" w:type="dxa"/>
          <w:right w:w="108" w:type="dxa"/>
        </w:tblCellMar>
      </w:tblPr>
      <w:tblGrid>
        <w:gridCol w:w="480"/>
        <w:gridCol w:w="301"/>
        <w:gridCol w:w="301"/>
        <w:gridCol w:w="628"/>
        <w:gridCol w:w="628"/>
        <w:gridCol w:w="628"/>
        <w:gridCol w:w="628"/>
        <w:gridCol w:w="628"/>
        <w:gridCol w:w="628"/>
        <w:gridCol w:w="628"/>
        <w:gridCol w:w="628"/>
        <w:gridCol w:w="1094"/>
        <w:gridCol w:w="1225"/>
      </w:tblGrid>
      <w:tr w14:paraId="2F4B03B8">
        <w:tblPrEx>
          <w:tblCellMar>
            <w:top w:w="0" w:type="dxa"/>
            <w:left w:w="108" w:type="dxa"/>
            <w:bottom w:w="0" w:type="dxa"/>
            <w:right w:w="108" w:type="dxa"/>
          </w:tblCellMar>
        </w:tblPrEx>
        <w:trPr>
          <w:trHeight w:val="705" w:hRule="atLeast"/>
        </w:trPr>
        <w:tc>
          <w:tcPr>
            <w:tcW w:w="0" w:type="auto"/>
            <w:gridSpan w:val="2"/>
            <w:tcBorders>
              <w:top w:val="nil"/>
              <w:left w:val="nil"/>
              <w:bottom w:val="single" w:color="auto" w:sz="4" w:space="0"/>
              <w:right w:val="nil"/>
            </w:tcBorders>
          </w:tcPr>
          <w:p w14:paraId="77C8ABAF">
            <w:pPr>
              <w:widowControl/>
              <w:jc w:val="left"/>
              <w:rPr>
                <w:rFonts w:ascii="宋体" w:hAnsi="宋体" w:cs="宋体"/>
                <w:b/>
                <w:bCs/>
                <w:color w:val="auto"/>
                <w:kern w:val="0"/>
                <w:sz w:val="36"/>
                <w:szCs w:val="36"/>
                <w:shd w:val="clear" w:color="auto" w:fill="auto"/>
              </w:rPr>
            </w:pPr>
          </w:p>
        </w:tc>
        <w:tc>
          <w:tcPr>
            <w:tcW w:w="0" w:type="auto"/>
            <w:gridSpan w:val="11"/>
            <w:tcBorders>
              <w:top w:val="nil"/>
              <w:left w:val="nil"/>
              <w:bottom w:val="single" w:color="auto" w:sz="4" w:space="0"/>
              <w:right w:val="nil"/>
            </w:tcBorders>
            <w:shd w:val="clear" w:color="auto" w:fill="auto"/>
            <w:noWrap/>
            <w:vAlign w:val="center"/>
          </w:tcPr>
          <w:p w14:paraId="68BBE94B">
            <w:pPr>
              <w:widowControl/>
              <w:jc w:val="center"/>
              <w:rPr>
                <w:rFonts w:ascii="宋体" w:hAnsi="宋体" w:cs="宋体"/>
                <w:b/>
                <w:bCs/>
                <w:color w:val="auto"/>
                <w:kern w:val="0"/>
                <w:sz w:val="32"/>
                <w:szCs w:val="36"/>
                <w:shd w:val="clear" w:color="auto" w:fill="auto"/>
              </w:rPr>
            </w:pPr>
            <w:r>
              <w:rPr>
                <w:rFonts w:hint="eastAsia" w:ascii="宋体" w:hAnsi="宋体" w:cs="宋体"/>
                <w:b/>
                <w:bCs/>
                <w:color w:val="auto"/>
                <w:kern w:val="0"/>
                <w:sz w:val="32"/>
                <w:szCs w:val="36"/>
                <w:shd w:val="clear" w:color="auto" w:fill="auto"/>
              </w:rPr>
              <w:t>国家法定节假日及前三后三业务招待报备表</w:t>
            </w:r>
          </w:p>
          <w:p w14:paraId="2D3F5349">
            <w:pPr>
              <w:widowControl/>
              <w:jc w:val="center"/>
              <w:rPr>
                <w:rFonts w:ascii="宋体" w:hAnsi="宋体" w:cs="宋体"/>
                <w:b/>
                <w:bCs/>
                <w:color w:val="auto"/>
                <w:kern w:val="0"/>
                <w:sz w:val="36"/>
                <w:szCs w:val="36"/>
                <w:shd w:val="clear" w:color="auto" w:fill="auto"/>
              </w:rPr>
            </w:pPr>
            <w:r>
              <w:rPr>
                <w:rFonts w:ascii="宋体" w:hAnsi="宋体" w:cs="宋体"/>
                <w:b/>
                <w:bCs/>
                <w:color w:val="auto"/>
                <w:kern w:val="0"/>
                <w:sz w:val="28"/>
                <w:szCs w:val="36"/>
                <w:shd w:val="clear" w:color="auto" w:fill="auto"/>
              </w:rPr>
              <w:t>20XX</w:t>
            </w:r>
            <w:r>
              <w:rPr>
                <w:rFonts w:hint="eastAsia" w:ascii="宋体" w:hAnsi="宋体" w:cs="宋体"/>
                <w:b/>
                <w:bCs/>
                <w:color w:val="auto"/>
                <w:kern w:val="0"/>
                <w:sz w:val="28"/>
                <w:szCs w:val="36"/>
                <w:shd w:val="clear" w:color="auto" w:fill="auto"/>
              </w:rPr>
              <w:t>年</w:t>
            </w:r>
            <w:r>
              <w:rPr>
                <w:rFonts w:ascii="宋体" w:hAnsi="宋体" w:cs="宋体"/>
                <w:b/>
                <w:bCs/>
                <w:color w:val="auto"/>
                <w:kern w:val="0"/>
                <w:sz w:val="28"/>
                <w:szCs w:val="36"/>
                <w:shd w:val="clear" w:color="auto" w:fill="auto"/>
              </w:rPr>
              <w:t>/XX月/XX日</w:t>
            </w:r>
          </w:p>
        </w:tc>
      </w:tr>
      <w:tr w14:paraId="00074BF4">
        <w:tblPrEx>
          <w:tblCellMar>
            <w:top w:w="0" w:type="dxa"/>
            <w:left w:w="108" w:type="dxa"/>
            <w:bottom w:w="0" w:type="dxa"/>
            <w:right w:w="108" w:type="dxa"/>
          </w:tblCellMar>
        </w:tblPrEx>
        <w:trPr>
          <w:trHeight w:val="101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6DFAAF15">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序号</w:t>
            </w:r>
          </w:p>
        </w:tc>
        <w:tc>
          <w:tcPr>
            <w:tcW w:w="0" w:type="auto"/>
            <w:gridSpan w:val="2"/>
            <w:tcBorders>
              <w:top w:val="nil"/>
              <w:left w:val="nil"/>
              <w:bottom w:val="single" w:color="auto" w:sz="4" w:space="0"/>
              <w:right w:val="single" w:color="auto" w:sz="4" w:space="0"/>
            </w:tcBorders>
            <w:shd w:val="clear" w:color="auto" w:fill="auto"/>
            <w:vAlign w:val="center"/>
          </w:tcPr>
          <w:p w14:paraId="03E5AAED">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报备部门/报备人</w:t>
            </w:r>
          </w:p>
        </w:tc>
        <w:tc>
          <w:tcPr>
            <w:tcW w:w="0" w:type="auto"/>
            <w:tcBorders>
              <w:top w:val="nil"/>
              <w:left w:val="nil"/>
              <w:bottom w:val="single" w:color="auto" w:sz="4" w:space="0"/>
              <w:right w:val="single" w:color="auto" w:sz="4" w:space="0"/>
            </w:tcBorders>
            <w:shd w:val="clear" w:color="auto" w:fill="auto"/>
            <w:vAlign w:val="center"/>
          </w:tcPr>
          <w:p w14:paraId="5566FE2B">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招待时间</w:t>
            </w:r>
          </w:p>
        </w:tc>
        <w:tc>
          <w:tcPr>
            <w:tcW w:w="0" w:type="auto"/>
            <w:tcBorders>
              <w:top w:val="nil"/>
              <w:left w:val="nil"/>
              <w:bottom w:val="single" w:color="auto" w:sz="4" w:space="0"/>
              <w:right w:val="single" w:color="auto" w:sz="4" w:space="0"/>
            </w:tcBorders>
            <w:shd w:val="clear" w:color="auto" w:fill="auto"/>
            <w:vAlign w:val="center"/>
          </w:tcPr>
          <w:p w14:paraId="0A7761A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招待地点</w:t>
            </w:r>
          </w:p>
        </w:tc>
        <w:tc>
          <w:tcPr>
            <w:tcW w:w="0" w:type="auto"/>
            <w:tcBorders>
              <w:top w:val="nil"/>
              <w:left w:val="nil"/>
              <w:bottom w:val="single" w:color="auto" w:sz="4" w:space="0"/>
              <w:right w:val="single" w:color="auto" w:sz="4" w:space="0"/>
            </w:tcBorders>
            <w:shd w:val="clear" w:color="auto" w:fill="auto"/>
            <w:vAlign w:val="center"/>
          </w:tcPr>
          <w:p w14:paraId="1A4D2DE1">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招待对象</w:t>
            </w:r>
          </w:p>
        </w:tc>
        <w:tc>
          <w:tcPr>
            <w:tcW w:w="0" w:type="auto"/>
            <w:tcBorders>
              <w:top w:val="nil"/>
              <w:left w:val="nil"/>
              <w:bottom w:val="single" w:color="auto" w:sz="4" w:space="0"/>
              <w:right w:val="single" w:color="auto" w:sz="4" w:space="0"/>
            </w:tcBorders>
            <w:shd w:val="clear" w:color="auto" w:fill="auto"/>
            <w:vAlign w:val="center"/>
          </w:tcPr>
          <w:p w14:paraId="43F66ADF">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招待事由</w:t>
            </w:r>
          </w:p>
        </w:tc>
        <w:tc>
          <w:tcPr>
            <w:tcW w:w="0" w:type="auto"/>
            <w:tcBorders>
              <w:top w:val="nil"/>
              <w:left w:val="nil"/>
              <w:bottom w:val="single" w:color="auto" w:sz="4" w:space="0"/>
              <w:right w:val="single" w:color="auto" w:sz="4" w:space="0"/>
            </w:tcBorders>
            <w:shd w:val="clear" w:color="auto" w:fill="auto"/>
            <w:vAlign w:val="center"/>
          </w:tcPr>
          <w:p w14:paraId="3EC8B868">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招待类型</w:t>
            </w:r>
          </w:p>
        </w:tc>
        <w:tc>
          <w:tcPr>
            <w:tcW w:w="0" w:type="auto"/>
            <w:tcBorders>
              <w:top w:val="nil"/>
              <w:left w:val="nil"/>
              <w:bottom w:val="single" w:color="auto" w:sz="4" w:space="0"/>
              <w:right w:val="single" w:color="auto" w:sz="4" w:space="0"/>
            </w:tcBorders>
            <w:shd w:val="clear" w:color="auto" w:fill="auto"/>
            <w:vAlign w:val="center"/>
          </w:tcPr>
          <w:p w14:paraId="644D6C7B">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招待级别</w:t>
            </w:r>
          </w:p>
        </w:tc>
        <w:tc>
          <w:tcPr>
            <w:tcW w:w="0" w:type="auto"/>
            <w:tcBorders>
              <w:top w:val="nil"/>
              <w:left w:val="nil"/>
              <w:bottom w:val="single" w:color="auto" w:sz="4" w:space="0"/>
              <w:right w:val="single" w:color="auto" w:sz="4" w:space="0"/>
            </w:tcBorders>
            <w:shd w:val="clear" w:color="auto" w:fill="auto"/>
            <w:vAlign w:val="center"/>
          </w:tcPr>
          <w:p w14:paraId="75E9F2BA">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招待人数</w:t>
            </w:r>
          </w:p>
        </w:tc>
        <w:tc>
          <w:tcPr>
            <w:tcW w:w="0" w:type="auto"/>
            <w:tcBorders>
              <w:top w:val="nil"/>
              <w:left w:val="nil"/>
              <w:bottom w:val="single" w:color="auto" w:sz="4" w:space="0"/>
              <w:right w:val="single" w:color="auto" w:sz="4" w:space="0"/>
            </w:tcBorders>
            <w:shd w:val="clear" w:color="auto" w:fill="auto"/>
            <w:vAlign w:val="center"/>
          </w:tcPr>
          <w:p w14:paraId="16F35DC1">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陪同人数</w:t>
            </w:r>
          </w:p>
        </w:tc>
        <w:tc>
          <w:tcPr>
            <w:tcW w:w="0" w:type="auto"/>
            <w:tcBorders>
              <w:top w:val="single" w:color="auto" w:sz="4" w:space="0"/>
              <w:left w:val="nil"/>
              <w:bottom w:val="single" w:color="auto" w:sz="4" w:space="0"/>
              <w:right w:val="single" w:color="auto" w:sz="4" w:space="0"/>
            </w:tcBorders>
            <w:vAlign w:val="center"/>
          </w:tcPr>
          <w:p w14:paraId="10E459E0">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w:t>
            </w:r>
            <w:r>
              <w:rPr>
                <w:rFonts w:ascii="宋体" w:hAnsi="宋体" w:cs="宋体"/>
                <w:color w:val="auto"/>
                <w:kern w:val="0"/>
                <w:sz w:val="22"/>
                <w:szCs w:val="22"/>
                <w:shd w:val="clear" w:color="auto" w:fill="auto"/>
              </w:rPr>
              <w:t>费用标准（</w:t>
            </w:r>
            <w:r>
              <w:rPr>
                <w:rFonts w:hint="eastAsia" w:ascii="宋体" w:hAnsi="宋体" w:cs="宋体"/>
                <w:color w:val="auto"/>
                <w:kern w:val="0"/>
                <w:sz w:val="22"/>
                <w:szCs w:val="22"/>
                <w:shd w:val="clear" w:color="auto" w:fill="auto"/>
              </w:rPr>
              <w:t>元/人</w:t>
            </w:r>
            <w:r>
              <w:rPr>
                <w:rFonts w:ascii="宋体" w:hAnsi="宋体" w:cs="宋体"/>
                <w:color w:val="auto"/>
                <w:kern w:val="0"/>
                <w:sz w:val="22"/>
                <w:szCs w:val="22"/>
                <w:shd w:val="clear" w:color="auto" w:fill="auto"/>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DD6AAE">
            <w:pPr>
              <w:widowControl/>
              <w:jc w:val="center"/>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招待总预算（元）</w:t>
            </w:r>
          </w:p>
        </w:tc>
      </w:tr>
      <w:tr w14:paraId="54EEB015">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25DA207E">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1</w:t>
            </w:r>
          </w:p>
        </w:tc>
        <w:tc>
          <w:tcPr>
            <w:tcW w:w="0" w:type="auto"/>
            <w:gridSpan w:val="2"/>
            <w:tcBorders>
              <w:top w:val="nil"/>
              <w:left w:val="nil"/>
              <w:bottom w:val="single" w:color="auto" w:sz="4" w:space="0"/>
              <w:right w:val="single" w:color="auto" w:sz="4" w:space="0"/>
            </w:tcBorders>
            <w:shd w:val="clear" w:color="auto" w:fill="auto"/>
            <w:noWrap/>
            <w:vAlign w:val="center"/>
          </w:tcPr>
          <w:p w14:paraId="701011E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0B7D1C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1D3045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BFF8B32">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EBB1696">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3CAB1E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C7EAAA5">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303A3C4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4B737E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24B499B6">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2B6FC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05EBBA87">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12D64DE">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2</w:t>
            </w:r>
          </w:p>
        </w:tc>
        <w:tc>
          <w:tcPr>
            <w:tcW w:w="0" w:type="auto"/>
            <w:gridSpan w:val="2"/>
            <w:tcBorders>
              <w:top w:val="nil"/>
              <w:left w:val="nil"/>
              <w:bottom w:val="single" w:color="auto" w:sz="4" w:space="0"/>
              <w:right w:val="single" w:color="auto" w:sz="4" w:space="0"/>
            </w:tcBorders>
            <w:shd w:val="clear" w:color="auto" w:fill="auto"/>
            <w:noWrap/>
            <w:vAlign w:val="center"/>
          </w:tcPr>
          <w:p w14:paraId="521D4482">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5DC430D">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1F9E86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AEAE13B">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66EA18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3A8CEF2">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27B2A031">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5CBEAE10">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744D1D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36048791">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48FB4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777E749A">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342EC3B2">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3</w:t>
            </w:r>
          </w:p>
        </w:tc>
        <w:tc>
          <w:tcPr>
            <w:tcW w:w="0" w:type="auto"/>
            <w:gridSpan w:val="2"/>
            <w:tcBorders>
              <w:top w:val="nil"/>
              <w:left w:val="nil"/>
              <w:bottom w:val="single" w:color="auto" w:sz="4" w:space="0"/>
              <w:right w:val="single" w:color="auto" w:sz="4" w:space="0"/>
            </w:tcBorders>
            <w:shd w:val="clear" w:color="auto" w:fill="auto"/>
            <w:noWrap/>
            <w:vAlign w:val="center"/>
          </w:tcPr>
          <w:p w14:paraId="46833D9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25E804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753058BB">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6D00D4D">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229FA3A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88F9676">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88643DF">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23D46315">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ED62A6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0C03EAF1">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9A061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296F5F66">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2D698E9">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4</w:t>
            </w:r>
          </w:p>
        </w:tc>
        <w:tc>
          <w:tcPr>
            <w:tcW w:w="0" w:type="auto"/>
            <w:gridSpan w:val="2"/>
            <w:tcBorders>
              <w:top w:val="nil"/>
              <w:left w:val="nil"/>
              <w:bottom w:val="single" w:color="auto" w:sz="4" w:space="0"/>
              <w:right w:val="single" w:color="auto" w:sz="4" w:space="0"/>
            </w:tcBorders>
            <w:shd w:val="clear" w:color="auto" w:fill="auto"/>
            <w:noWrap/>
            <w:vAlign w:val="center"/>
          </w:tcPr>
          <w:p w14:paraId="0CDA270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9713511">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1EC842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CB6907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72A71F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B95596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B403070">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13ECD4E7">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73A9D90">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3B920705">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F180E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0FA83A13">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56044BFF">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5</w:t>
            </w:r>
          </w:p>
        </w:tc>
        <w:tc>
          <w:tcPr>
            <w:tcW w:w="0" w:type="auto"/>
            <w:gridSpan w:val="2"/>
            <w:tcBorders>
              <w:top w:val="nil"/>
              <w:left w:val="nil"/>
              <w:bottom w:val="single" w:color="auto" w:sz="4" w:space="0"/>
              <w:right w:val="single" w:color="auto" w:sz="4" w:space="0"/>
            </w:tcBorders>
            <w:shd w:val="clear" w:color="auto" w:fill="auto"/>
            <w:noWrap/>
            <w:vAlign w:val="center"/>
          </w:tcPr>
          <w:p w14:paraId="1AA3613A">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A15492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F058C8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2C6A44F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60724B2">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73390F08">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D294DAD">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09EB6BC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7BDDB48E">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7CF5AB10">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8EA0BF">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1DA9ECF9">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6301591">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6</w:t>
            </w:r>
          </w:p>
        </w:tc>
        <w:tc>
          <w:tcPr>
            <w:tcW w:w="0" w:type="auto"/>
            <w:gridSpan w:val="2"/>
            <w:tcBorders>
              <w:top w:val="nil"/>
              <w:left w:val="nil"/>
              <w:bottom w:val="single" w:color="auto" w:sz="4" w:space="0"/>
              <w:right w:val="single" w:color="auto" w:sz="4" w:space="0"/>
            </w:tcBorders>
            <w:shd w:val="clear" w:color="auto" w:fill="auto"/>
            <w:noWrap/>
            <w:vAlign w:val="center"/>
          </w:tcPr>
          <w:p w14:paraId="20169F52">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1D2AA3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A93986B">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2FEEA7C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453D9F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2BF67AB">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106BC23">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3572084F">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6E70941">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45CB22AD">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F43017">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47C85D25">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F7A02CD">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7</w:t>
            </w:r>
          </w:p>
        </w:tc>
        <w:tc>
          <w:tcPr>
            <w:tcW w:w="0" w:type="auto"/>
            <w:gridSpan w:val="2"/>
            <w:tcBorders>
              <w:top w:val="nil"/>
              <w:left w:val="nil"/>
              <w:bottom w:val="single" w:color="auto" w:sz="4" w:space="0"/>
              <w:right w:val="single" w:color="auto" w:sz="4" w:space="0"/>
            </w:tcBorders>
            <w:shd w:val="clear" w:color="auto" w:fill="auto"/>
            <w:noWrap/>
            <w:vAlign w:val="center"/>
          </w:tcPr>
          <w:p w14:paraId="7B2FFFD5">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7EBCBD06">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6EE54ED">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455382D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2168827">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79872E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665D2CC8">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20962634">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0FE568C">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1A28B1A1">
            <w:pPr>
              <w:widowControl/>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0F71A5">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35B53026">
        <w:tblPrEx>
          <w:tblCellMar>
            <w:top w:w="0" w:type="dxa"/>
            <w:left w:w="108" w:type="dxa"/>
            <w:bottom w:w="0" w:type="dxa"/>
            <w:right w:w="108" w:type="dxa"/>
          </w:tblCellMar>
        </w:tblPrEx>
        <w:trPr>
          <w:trHeight w:val="39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F124933">
            <w:pPr>
              <w:widowControl/>
              <w:jc w:val="center"/>
              <w:rPr>
                <w:rFonts w:ascii="宋体" w:hAnsi="宋体" w:cs="宋体"/>
                <w:color w:val="auto"/>
                <w:kern w:val="0"/>
                <w:sz w:val="22"/>
                <w:szCs w:val="22"/>
                <w:shd w:val="clear" w:color="auto" w:fill="auto"/>
              </w:rPr>
            </w:pPr>
            <w:r>
              <w:rPr>
                <w:rFonts w:ascii="宋体" w:hAnsi="宋体" w:cs="宋体"/>
                <w:color w:val="auto"/>
                <w:kern w:val="0"/>
                <w:sz w:val="22"/>
                <w:szCs w:val="22"/>
                <w:shd w:val="clear" w:color="auto" w:fill="auto"/>
              </w:rPr>
              <w:t>8</w:t>
            </w:r>
          </w:p>
        </w:tc>
        <w:tc>
          <w:tcPr>
            <w:tcW w:w="0" w:type="auto"/>
            <w:gridSpan w:val="2"/>
            <w:tcBorders>
              <w:top w:val="nil"/>
              <w:left w:val="nil"/>
              <w:bottom w:val="single" w:color="auto" w:sz="4" w:space="0"/>
              <w:right w:val="single" w:color="auto" w:sz="4" w:space="0"/>
            </w:tcBorders>
            <w:shd w:val="clear" w:color="auto" w:fill="auto"/>
            <w:noWrap/>
            <w:vAlign w:val="center"/>
          </w:tcPr>
          <w:p w14:paraId="3E7A84BB">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6005D70">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E72DC18">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1210CA35">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33B1526E">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5229D813">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723B9BE7">
            <w:pPr>
              <w:widowControl/>
              <w:jc w:val="left"/>
              <w:rPr>
                <w:rFonts w:ascii="宋体" w:hAnsi="宋体" w:cs="宋体"/>
                <w:color w:val="auto"/>
                <w:kern w:val="0"/>
                <w:sz w:val="22"/>
                <w:szCs w:val="22"/>
                <w:shd w:val="clear" w:color="auto" w:fill="auto"/>
              </w:rPr>
            </w:pPr>
          </w:p>
        </w:tc>
        <w:tc>
          <w:tcPr>
            <w:tcW w:w="0" w:type="auto"/>
            <w:tcBorders>
              <w:top w:val="nil"/>
              <w:left w:val="nil"/>
              <w:bottom w:val="single" w:color="auto" w:sz="4" w:space="0"/>
              <w:right w:val="single" w:color="auto" w:sz="4" w:space="0"/>
            </w:tcBorders>
            <w:shd w:val="clear" w:color="auto" w:fill="auto"/>
            <w:noWrap/>
            <w:vAlign w:val="center"/>
          </w:tcPr>
          <w:p w14:paraId="343BD308">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nil"/>
              <w:left w:val="nil"/>
              <w:bottom w:val="single" w:color="auto" w:sz="4" w:space="0"/>
              <w:right w:val="single" w:color="auto" w:sz="4" w:space="0"/>
            </w:tcBorders>
            <w:shd w:val="clear" w:color="auto" w:fill="auto"/>
            <w:noWrap/>
            <w:vAlign w:val="center"/>
          </w:tcPr>
          <w:p w14:paraId="0F6761A9">
            <w:pPr>
              <w:widowControl/>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c>
          <w:tcPr>
            <w:tcW w:w="0" w:type="auto"/>
            <w:tcBorders>
              <w:top w:val="single" w:color="auto" w:sz="4" w:space="0"/>
              <w:left w:val="nil"/>
              <w:bottom w:val="single" w:color="auto" w:sz="4" w:space="0"/>
              <w:right w:val="single" w:color="auto" w:sz="4" w:space="0"/>
            </w:tcBorders>
          </w:tcPr>
          <w:p w14:paraId="3EB9E37A">
            <w:pPr>
              <w:widowControl/>
              <w:spacing w:after="120"/>
              <w:jc w:val="left"/>
              <w:rPr>
                <w:rFonts w:ascii="宋体" w:hAnsi="宋体" w:cs="宋体"/>
                <w:color w:val="auto"/>
                <w:kern w:val="0"/>
                <w:sz w:val="22"/>
                <w:szCs w:val="22"/>
                <w:shd w:val="clear" w:color="auto" w:fill="auto"/>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FE4FEF">
            <w:pPr>
              <w:widowControl/>
              <w:spacing w:after="120"/>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　</w:t>
            </w:r>
          </w:p>
        </w:tc>
      </w:tr>
      <w:tr w14:paraId="0CEC3336">
        <w:tblPrEx>
          <w:tblCellMar>
            <w:top w:w="0" w:type="dxa"/>
            <w:left w:w="108" w:type="dxa"/>
            <w:bottom w:w="0" w:type="dxa"/>
            <w:right w:w="108" w:type="dxa"/>
          </w:tblCellMar>
        </w:tblPrEx>
        <w:trPr>
          <w:trHeight w:val="750" w:hRule="atLeast"/>
        </w:trPr>
        <w:tc>
          <w:tcPr>
            <w:tcW w:w="0" w:type="auto"/>
            <w:gridSpan w:val="13"/>
            <w:tcBorders>
              <w:top w:val="single" w:color="auto" w:sz="4" w:space="0"/>
              <w:left w:val="nil"/>
              <w:bottom w:val="single" w:color="auto" w:sz="4" w:space="0"/>
              <w:right w:val="nil"/>
            </w:tcBorders>
          </w:tcPr>
          <w:p w14:paraId="03235025">
            <w:pPr>
              <w:widowControl/>
              <w:spacing w:after="120"/>
              <w:jc w:val="left"/>
              <w:rPr>
                <w:rFonts w:ascii="宋体" w:hAnsi="宋体" w:cs="宋体"/>
                <w:color w:val="auto"/>
                <w:kern w:val="0"/>
                <w:sz w:val="22"/>
                <w:szCs w:val="22"/>
                <w:shd w:val="clear" w:color="auto" w:fill="auto"/>
              </w:rPr>
            </w:pPr>
            <w:r>
              <w:rPr>
                <w:rFonts w:hint="eastAsia" w:ascii="宋体" w:hAnsi="宋体" w:cs="宋体"/>
                <w:color w:val="auto"/>
                <w:kern w:val="0"/>
                <w:sz w:val="22"/>
                <w:szCs w:val="22"/>
                <w:shd w:val="clear" w:color="auto" w:fill="auto"/>
              </w:rPr>
              <w:t>说明：（</w:t>
            </w:r>
            <w:r>
              <w:rPr>
                <w:rFonts w:ascii="宋体" w:hAnsi="宋体" w:cs="宋体"/>
                <w:color w:val="auto"/>
                <w:kern w:val="0"/>
                <w:sz w:val="22"/>
                <w:szCs w:val="22"/>
                <w:shd w:val="clear" w:color="auto" w:fill="auto"/>
              </w:rPr>
              <w:t>1）</w:t>
            </w:r>
            <w:r>
              <w:rPr>
                <w:rFonts w:hint="eastAsia" w:ascii="宋体" w:hAnsi="宋体" w:cs="宋体"/>
                <w:color w:val="auto"/>
                <w:kern w:val="0"/>
                <w:sz w:val="22"/>
                <w:szCs w:val="22"/>
                <w:shd w:val="clear" w:color="auto" w:fill="auto"/>
              </w:rPr>
              <w:t>招待</w:t>
            </w:r>
            <w:r>
              <w:rPr>
                <w:rFonts w:ascii="宋体" w:hAnsi="宋体" w:cs="宋体"/>
                <w:color w:val="auto"/>
                <w:kern w:val="0"/>
                <w:sz w:val="22"/>
                <w:szCs w:val="22"/>
                <w:shd w:val="clear" w:color="auto" w:fill="auto"/>
              </w:rPr>
              <w:t>类型</w:t>
            </w:r>
            <w:r>
              <w:rPr>
                <w:rFonts w:hint="eastAsia" w:ascii="宋体" w:hAnsi="宋体" w:cs="宋体"/>
                <w:color w:val="auto"/>
                <w:kern w:val="0"/>
                <w:sz w:val="22"/>
                <w:szCs w:val="22"/>
                <w:shd w:val="clear" w:color="auto" w:fill="auto"/>
              </w:rPr>
              <w:t>：外部</w:t>
            </w:r>
            <w:r>
              <w:rPr>
                <w:rFonts w:ascii="宋体" w:hAnsi="宋体" w:cs="宋体"/>
                <w:color w:val="auto"/>
                <w:kern w:val="0"/>
                <w:sz w:val="22"/>
                <w:szCs w:val="22"/>
                <w:shd w:val="clear" w:color="auto" w:fill="auto"/>
              </w:rPr>
              <w:t>（</w:t>
            </w:r>
            <w:r>
              <w:rPr>
                <w:rFonts w:hint="eastAsia" w:ascii="宋体" w:hAnsi="宋体" w:cs="宋体"/>
                <w:color w:val="auto"/>
                <w:kern w:val="0"/>
                <w:sz w:val="22"/>
                <w:szCs w:val="22"/>
                <w:shd w:val="clear" w:color="auto" w:fill="auto"/>
              </w:rPr>
              <w:t>外事、商务、</w:t>
            </w:r>
            <w:r>
              <w:rPr>
                <w:rFonts w:ascii="宋体" w:hAnsi="宋体" w:cs="宋体"/>
                <w:color w:val="auto"/>
                <w:kern w:val="0"/>
                <w:sz w:val="22"/>
                <w:szCs w:val="22"/>
                <w:shd w:val="clear" w:color="auto" w:fill="auto"/>
              </w:rPr>
              <w:t>其他公务）接待，内部</w:t>
            </w:r>
            <w:r>
              <w:rPr>
                <w:rFonts w:hint="eastAsia" w:ascii="宋体" w:hAnsi="宋体" w:cs="宋体"/>
                <w:color w:val="auto"/>
                <w:kern w:val="0"/>
                <w:sz w:val="22"/>
                <w:szCs w:val="22"/>
                <w:shd w:val="clear" w:color="auto" w:fill="auto"/>
              </w:rPr>
              <w:t>业务</w:t>
            </w:r>
            <w:r>
              <w:rPr>
                <w:rFonts w:ascii="宋体" w:hAnsi="宋体" w:cs="宋体"/>
                <w:color w:val="auto"/>
                <w:kern w:val="0"/>
                <w:sz w:val="22"/>
                <w:szCs w:val="22"/>
                <w:shd w:val="clear" w:color="auto" w:fill="auto"/>
              </w:rPr>
              <w:t>招待</w:t>
            </w:r>
            <w:r>
              <w:rPr>
                <w:rFonts w:hint="eastAsia" w:ascii="宋体" w:hAnsi="宋体" w:cs="宋体"/>
                <w:color w:val="auto"/>
                <w:kern w:val="0"/>
                <w:sz w:val="22"/>
                <w:szCs w:val="22"/>
                <w:shd w:val="clear" w:color="auto" w:fill="auto"/>
              </w:rPr>
              <w:t>之一；</w:t>
            </w:r>
            <w:r>
              <w:rPr>
                <w:rFonts w:ascii="宋体" w:hAnsi="宋体" w:cs="宋体"/>
                <w:color w:val="auto"/>
                <w:kern w:val="0"/>
                <w:sz w:val="22"/>
                <w:szCs w:val="22"/>
                <w:shd w:val="clear" w:color="auto" w:fill="auto"/>
              </w:rPr>
              <w:t>（2）</w:t>
            </w:r>
            <w:r>
              <w:rPr>
                <w:rFonts w:hint="eastAsia" w:ascii="宋体" w:hAnsi="宋体" w:cs="宋体"/>
                <w:color w:val="auto"/>
                <w:kern w:val="0"/>
                <w:sz w:val="22"/>
                <w:szCs w:val="22"/>
                <w:shd w:val="clear" w:color="auto" w:fill="auto"/>
              </w:rPr>
              <w:t>陪同人员最高级别：市</w:t>
            </w:r>
            <w:r>
              <w:rPr>
                <w:rFonts w:ascii="宋体" w:hAnsi="宋体" w:cs="宋体"/>
                <w:color w:val="auto"/>
                <w:kern w:val="0"/>
                <w:sz w:val="22"/>
                <w:szCs w:val="22"/>
                <w:shd w:val="clear" w:color="auto" w:fill="auto"/>
              </w:rPr>
              <w:t>公司领导、中层经理、其他人员；（3）</w:t>
            </w:r>
            <w:r>
              <w:rPr>
                <w:rFonts w:hint="eastAsia" w:ascii="宋体" w:hAnsi="宋体" w:cs="宋体"/>
                <w:color w:val="auto"/>
                <w:kern w:val="0"/>
                <w:sz w:val="22"/>
                <w:szCs w:val="22"/>
                <w:shd w:val="clear" w:color="auto" w:fill="auto"/>
              </w:rPr>
              <w:t>如确需在重大节日前、节日后</w:t>
            </w:r>
            <w:r>
              <w:rPr>
                <w:rFonts w:ascii="宋体" w:hAnsi="宋体" w:cs="宋体"/>
                <w:color w:val="auto"/>
                <w:kern w:val="0"/>
                <w:sz w:val="22"/>
                <w:szCs w:val="22"/>
                <w:shd w:val="clear" w:color="auto" w:fill="auto"/>
              </w:rPr>
              <w:t>3个工作日内，以及节日期间安排业务招待活动，</w:t>
            </w:r>
            <w:r>
              <w:rPr>
                <w:rFonts w:hint="eastAsia" w:ascii="宋体" w:hAnsi="宋体" w:cs="宋体"/>
                <w:color w:val="auto"/>
                <w:kern w:val="0"/>
                <w:sz w:val="22"/>
                <w:szCs w:val="22"/>
                <w:shd w:val="clear" w:color="auto" w:fill="auto"/>
              </w:rPr>
              <w:t>应主动提前向办公室备案并向同级纪委报告。同时，各单位报备的资料</w:t>
            </w:r>
            <w:r>
              <w:rPr>
                <w:rFonts w:ascii="宋体" w:hAnsi="宋体" w:cs="宋体"/>
                <w:color w:val="auto"/>
                <w:kern w:val="0"/>
                <w:sz w:val="22"/>
                <w:szCs w:val="22"/>
                <w:shd w:val="clear" w:color="auto" w:fill="auto"/>
              </w:rPr>
              <w:t>将作为节假日业务招待费用报销的支撑材料。</w:t>
            </w:r>
          </w:p>
        </w:tc>
      </w:tr>
    </w:tbl>
    <w:p w14:paraId="697B9597">
      <w:pPr>
        <w:pStyle w:val="14"/>
        <w:ind w:firstLine="643"/>
        <w:rPr>
          <w:rFonts w:hint="eastAsia" w:ascii="仿宋_GB2312" w:eastAsia="仿宋_GB2312"/>
          <w:color w:val="auto"/>
          <w:sz w:val="32"/>
          <w:szCs w:val="32"/>
          <w:shd w:val="clear" w:color="auto" w:fill="auto"/>
        </w:rPr>
      </w:pPr>
    </w:p>
    <w:p w14:paraId="28267CD6">
      <w:pPr>
        <w:adjustRightInd w:val="0"/>
        <w:snapToGrid w:val="0"/>
        <w:spacing w:line="360" w:lineRule="auto"/>
        <w:ind w:firstLine="645"/>
        <w:rPr>
          <w:rFonts w:ascii="仿宋_GB2312" w:eastAsia="仿宋_GB2312" w:cs="Times New Roman"/>
          <w:color w:val="auto"/>
          <w:sz w:val="32"/>
          <w:szCs w:val="32"/>
          <w:shd w:val="clear" w:color="auto" w:fill="auto"/>
        </w:rPr>
      </w:pPr>
    </w:p>
    <w:sectPr>
      <w:footerReference r:id="rId3" w:type="default"/>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F2883">
    <w:pPr>
      <w:pStyle w:val="5"/>
      <w:jc w:val="center"/>
      <w:rPr>
        <w:rFonts w:cs="Times New Roman"/>
      </w:rPr>
    </w:pPr>
    <w:r>
      <w:fldChar w:fldCharType="begin"/>
    </w:r>
    <w:r>
      <w:instrText xml:space="preserve"> PAGE   \* MERGEFORMAT </w:instrText>
    </w:r>
    <w:r>
      <w:fldChar w:fldCharType="separate"/>
    </w:r>
    <w:r>
      <w:rPr>
        <w:lang w:val="zh-CN"/>
      </w:rPr>
      <w:t>7</w:t>
    </w:r>
    <w:r>
      <w:rPr>
        <w:lang w:val="zh-CN"/>
      </w:rPr>
      <w:fldChar w:fldCharType="end"/>
    </w:r>
  </w:p>
  <w:p w14:paraId="54386754">
    <w:pPr>
      <w:pStyle w:val="5"/>
      <w:rPr>
        <w:rFonts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304"/>
    <w:rsid w:val="000005A3"/>
    <w:rsid w:val="00003F00"/>
    <w:rsid w:val="00004447"/>
    <w:rsid w:val="00005A85"/>
    <w:rsid w:val="00007BCC"/>
    <w:rsid w:val="00010874"/>
    <w:rsid w:val="000141A1"/>
    <w:rsid w:val="000167D9"/>
    <w:rsid w:val="0001711E"/>
    <w:rsid w:val="00023E0C"/>
    <w:rsid w:val="0002779A"/>
    <w:rsid w:val="000306C8"/>
    <w:rsid w:val="0003088F"/>
    <w:rsid w:val="00030D0A"/>
    <w:rsid w:val="0003332A"/>
    <w:rsid w:val="00036876"/>
    <w:rsid w:val="00036FC8"/>
    <w:rsid w:val="000405AE"/>
    <w:rsid w:val="00042290"/>
    <w:rsid w:val="00042FD6"/>
    <w:rsid w:val="00043827"/>
    <w:rsid w:val="00044A7A"/>
    <w:rsid w:val="00045B8B"/>
    <w:rsid w:val="000464EA"/>
    <w:rsid w:val="00051826"/>
    <w:rsid w:val="000566C7"/>
    <w:rsid w:val="0005671C"/>
    <w:rsid w:val="00064089"/>
    <w:rsid w:val="00065339"/>
    <w:rsid w:val="00065546"/>
    <w:rsid w:val="000663F7"/>
    <w:rsid w:val="00073052"/>
    <w:rsid w:val="00075E28"/>
    <w:rsid w:val="000764E6"/>
    <w:rsid w:val="00076B89"/>
    <w:rsid w:val="00083FA6"/>
    <w:rsid w:val="00087DA4"/>
    <w:rsid w:val="00093FF1"/>
    <w:rsid w:val="0009480A"/>
    <w:rsid w:val="00095415"/>
    <w:rsid w:val="000959B9"/>
    <w:rsid w:val="00096E74"/>
    <w:rsid w:val="000A2BB4"/>
    <w:rsid w:val="000A3C51"/>
    <w:rsid w:val="000A7633"/>
    <w:rsid w:val="000A7B4B"/>
    <w:rsid w:val="000B190C"/>
    <w:rsid w:val="000B1ADB"/>
    <w:rsid w:val="000B32DF"/>
    <w:rsid w:val="000B40EF"/>
    <w:rsid w:val="000B5DC6"/>
    <w:rsid w:val="000B7A2E"/>
    <w:rsid w:val="000C0B72"/>
    <w:rsid w:val="000C28E3"/>
    <w:rsid w:val="000C30F6"/>
    <w:rsid w:val="000C6FF9"/>
    <w:rsid w:val="000D0C37"/>
    <w:rsid w:val="000D0E94"/>
    <w:rsid w:val="000D10AC"/>
    <w:rsid w:val="000D231A"/>
    <w:rsid w:val="000D2C1F"/>
    <w:rsid w:val="000D4554"/>
    <w:rsid w:val="000D4565"/>
    <w:rsid w:val="000D47C8"/>
    <w:rsid w:val="000E0E36"/>
    <w:rsid w:val="000E2E5E"/>
    <w:rsid w:val="000E3624"/>
    <w:rsid w:val="000E433B"/>
    <w:rsid w:val="000E7228"/>
    <w:rsid w:val="000F11D0"/>
    <w:rsid w:val="000F3F9B"/>
    <w:rsid w:val="000F6847"/>
    <w:rsid w:val="001016C8"/>
    <w:rsid w:val="00103739"/>
    <w:rsid w:val="00103C27"/>
    <w:rsid w:val="00111348"/>
    <w:rsid w:val="00111408"/>
    <w:rsid w:val="0011289F"/>
    <w:rsid w:val="0011372F"/>
    <w:rsid w:val="001175FB"/>
    <w:rsid w:val="0011767B"/>
    <w:rsid w:val="0012137B"/>
    <w:rsid w:val="0012497C"/>
    <w:rsid w:val="00124A78"/>
    <w:rsid w:val="00125587"/>
    <w:rsid w:val="001276F1"/>
    <w:rsid w:val="00130344"/>
    <w:rsid w:val="001306C6"/>
    <w:rsid w:val="0013292F"/>
    <w:rsid w:val="00133C92"/>
    <w:rsid w:val="0013478B"/>
    <w:rsid w:val="0013544C"/>
    <w:rsid w:val="001366CC"/>
    <w:rsid w:val="0013735C"/>
    <w:rsid w:val="00141BC6"/>
    <w:rsid w:val="00141DC8"/>
    <w:rsid w:val="00145640"/>
    <w:rsid w:val="00146605"/>
    <w:rsid w:val="001538E6"/>
    <w:rsid w:val="001604A7"/>
    <w:rsid w:val="0016183F"/>
    <w:rsid w:val="001652D1"/>
    <w:rsid w:val="00166D79"/>
    <w:rsid w:val="00172436"/>
    <w:rsid w:val="00175247"/>
    <w:rsid w:val="00184814"/>
    <w:rsid w:val="00187456"/>
    <w:rsid w:val="00190C3D"/>
    <w:rsid w:val="00191559"/>
    <w:rsid w:val="00192115"/>
    <w:rsid w:val="00192EED"/>
    <w:rsid w:val="001931CC"/>
    <w:rsid w:val="001A069F"/>
    <w:rsid w:val="001A34DD"/>
    <w:rsid w:val="001A3A06"/>
    <w:rsid w:val="001A4E89"/>
    <w:rsid w:val="001A5665"/>
    <w:rsid w:val="001A6BAC"/>
    <w:rsid w:val="001A728D"/>
    <w:rsid w:val="001A746D"/>
    <w:rsid w:val="001A7BD0"/>
    <w:rsid w:val="001B139D"/>
    <w:rsid w:val="001B1645"/>
    <w:rsid w:val="001B2843"/>
    <w:rsid w:val="001B3079"/>
    <w:rsid w:val="001B63AA"/>
    <w:rsid w:val="001C0583"/>
    <w:rsid w:val="001C1A47"/>
    <w:rsid w:val="001C21C9"/>
    <w:rsid w:val="001C3B7F"/>
    <w:rsid w:val="001C730B"/>
    <w:rsid w:val="001D0D38"/>
    <w:rsid w:val="001D185A"/>
    <w:rsid w:val="001D4A79"/>
    <w:rsid w:val="001E01EB"/>
    <w:rsid w:val="001E2989"/>
    <w:rsid w:val="001E5850"/>
    <w:rsid w:val="001F01CC"/>
    <w:rsid w:val="001F020B"/>
    <w:rsid w:val="001F0211"/>
    <w:rsid w:val="001F27F3"/>
    <w:rsid w:val="001F3746"/>
    <w:rsid w:val="001F4745"/>
    <w:rsid w:val="001F59DF"/>
    <w:rsid w:val="00201EA0"/>
    <w:rsid w:val="00203374"/>
    <w:rsid w:val="0020573C"/>
    <w:rsid w:val="00205A27"/>
    <w:rsid w:val="00205B98"/>
    <w:rsid w:val="00210FEA"/>
    <w:rsid w:val="002207EC"/>
    <w:rsid w:val="00220D72"/>
    <w:rsid w:val="00224E89"/>
    <w:rsid w:val="00227C21"/>
    <w:rsid w:val="0023710F"/>
    <w:rsid w:val="0024109B"/>
    <w:rsid w:val="00241B83"/>
    <w:rsid w:val="00242485"/>
    <w:rsid w:val="00242511"/>
    <w:rsid w:val="0024334C"/>
    <w:rsid w:val="00246A9F"/>
    <w:rsid w:val="00254C50"/>
    <w:rsid w:val="00254ED3"/>
    <w:rsid w:val="002611ED"/>
    <w:rsid w:val="002621F3"/>
    <w:rsid w:val="00262D77"/>
    <w:rsid w:val="00263C6F"/>
    <w:rsid w:val="0026519C"/>
    <w:rsid w:val="0026543B"/>
    <w:rsid w:val="00266A44"/>
    <w:rsid w:val="002719F0"/>
    <w:rsid w:val="00272A3A"/>
    <w:rsid w:val="002742F6"/>
    <w:rsid w:val="00274916"/>
    <w:rsid w:val="002804DD"/>
    <w:rsid w:val="002810CD"/>
    <w:rsid w:val="00285EA3"/>
    <w:rsid w:val="00286C0F"/>
    <w:rsid w:val="00290A24"/>
    <w:rsid w:val="00291106"/>
    <w:rsid w:val="00295410"/>
    <w:rsid w:val="00297C43"/>
    <w:rsid w:val="002A13FF"/>
    <w:rsid w:val="002A2E3B"/>
    <w:rsid w:val="002A36BC"/>
    <w:rsid w:val="002B02A0"/>
    <w:rsid w:val="002B1F7C"/>
    <w:rsid w:val="002B315F"/>
    <w:rsid w:val="002B325F"/>
    <w:rsid w:val="002B5334"/>
    <w:rsid w:val="002B70AD"/>
    <w:rsid w:val="002C2AD0"/>
    <w:rsid w:val="002C2D79"/>
    <w:rsid w:val="002C3A66"/>
    <w:rsid w:val="002C3BD3"/>
    <w:rsid w:val="002C67E5"/>
    <w:rsid w:val="002D1E55"/>
    <w:rsid w:val="002D253C"/>
    <w:rsid w:val="002D53E5"/>
    <w:rsid w:val="002D747F"/>
    <w:rsid w:val="002E077B"/>
    <w:rsid w:val="002E1707"/>
    <w:rsid w:val="002E54D4"/>
    <w:rsid w:val="002F04C6"/>
    <w:rsid w:val="002F1E61"/>
    <w:rsid w:val="002F2B87"/>
    <w:rsid w:val="002F6407"/>
    <w:rsid w:val="00300622"/>
    <w:rsid w:val="00300C4C"/>
    <w:rsid w:val="00300EF4"/>
    <w:rsid w:val="00301A96"/>
    <w:rsid w:val="0030261E"/>
    <w:rsid w:val="00307E83"/>
    <w:rsid w:val="00311038"/>
    <w:rsid w:val="00311E1E"/>
    <w:rsid w:val="00311F17"/>
    <w:rsid w:val="003154AB"/>
    <w:rsid w:val="003216AF"/>
    <w:rsid w:val="00324788"/>
    <w:rsid w:val="0032717A"/>
    <w:rsid w:val="0032761B"/>
    <w:rsid w:val="003311DC"/>
    <w:rsid w:val="00331B83"/>
    <w:rsid w:val="00332A26"/>
    <w:rsid w:val="00334A0F"/>
    <w:rsid w:val="00335995"/>
    <w:rsid w:val="0034180F"/>
    <w:rsid w:val="003418C9"/>
    <w:rsid w:val="003427BB"/>
    <w:rsid w:val="00351587"/>
    <w:rsid w:val="00357DE5"/>
    <w:rsid w:val="003653C4"/>
    <w:rsid w:val="003732BC"/>
    <w:rsid w:val="003733EF"/>
    <w:rsid w:val="00374249"/>
    <w:rsid w:val="00374444"/>
    <w:rsid w:val="003748AD"/>
    <w:rsid w:val="00380EAF"/>
    <w:rsid w:val="00381CA1"/>
    <w:rsid w:val="003838B1"/>
    <w:rsid w:val="00390F0A"/>
    <w:rsid w:val="003955C7"/>
    <w:rsid w:val="003A329C"/>
    <w:rsid w:val="003A42F1"/>
    <w:rsid w:val="003B26FD"/>
    <w:rsid w:val="003B42BB"/>
    <w:rsid w:val="003C0CE7"/>
    <w:rsid w:val="003C1596"/>
    <w:rsid w:val="003C16BD"/>
    <w:rsid w:val="003C1C1C"/>
    <w:rsid w:val="003C3A7D"/>
    <w:rsid w:val="003C4034"/>
    <w:rsid w:val="003C7600"/>
    <w:rsid w:val="003C76A0"/>
    <w:rsid w:val="003C78D5"/>
    <w:rsid w:val="003D0E67"/>
    <w:rsid w:val="003D1D6B"/>
    <w:rsid w:val="003D336D"/>
    <w:rsid w:val="003D3E09"/>
    <w:rsid w:val="003D4B2F"/>
    <w:rsid w:val="003D7CFA"/>
    <w:rsid w:val="003E2B5B"/>
    <w:rsid w:val="003E3856"/>
    <w:rsid w:val="003E5027"/>
    <w:rsid w:val="003E6116"/>
    <w:rsid w:val="003E75A0"/>
    <w:rsid w:val="003F4485"/>
    <w:rsid w:val="003F5710"/>
    <w:rsid w:val="00400EA0"/>
    <w:rsid w:val="0040490F"/>
    <w:rsid w:val="00405414"/>
    <w:rsid w:val="00405A90"/>
    <w:rsid w:val="00410F01"/>
    <w:rsid w:val="004112E9"/>
    <w:rsid w:val="004114FF"/>
    <w:rsid w:val="00414B65"/>
    <w:rsid w:val="0041580B"/>
    <w:rsid w:val="004200EF"/>
    <w:rsid w:val="0042016C"/>
    <w:rsid w:val="00424393"/>
    <w:rsid w:val="00424C9F"/>
    <w:rsid w:val="00435244"/>
    <w:rsid w:val="00442D8F"/>
    <w:rsid w:val="00444D21"/>
    <w:rsid w:val="00445D9A"/>
    <w:rsid w:val="004512A3"/>
    <w:rsid w:val="00452FF9"/>
    <w:rsid w:val="00454608"/>
    <w:rsid w:val="0045779C"/>
    <w:rsid w:val="00462AEE"/>
    <w:rsid w:val="00466D54"/>
    <w:rsid w:val="0047584C"/>
    <w:rsid w:val="00475AE2"/>
    <w:rsid w:val="00475EFC"/>
    <w:rsid w:val="00476405"/>
    <w:rsid w:val="00481CD2"/>
    <w:rsid w:val="00483300"/>
    <w:rsid w:val="00485594"/>
    <w:rsid w:val="00492691"/>
    <w:rsid w:val="00494427"/>
    <w:rsid w:val="0049613F"/>
    <w:rsid w:val="004A3291"/>
    <w:rsid w:val="004B2D97"/>
    <w:rsid w:val="004B4EE6"/>
    <w:rsid w:val="004C0A1B"/>
    <w:rsid w:val="004C392D"/>
    <w:rsid w:val="004C4C94"/>
    <w:rsid w:val="004C5294"/>
    <w:rsid w:val="004D4BCC"/>
    <w:rsid w:val="004D5908"/>
    <w:rsid w:val="004D67C1"/>
    <w:rsid w:val="004E0131"/>
    <w:rsid w:val="004E218A"/>
    <w:rsid w:val="004E4148"/>
    <w:rsid w:val="004E4B57"/>
    <w:rsid w:val="004F221A"/>
    <w:rsid w:val="004F3275"/>
    <w:rsid w:val="004F3751"/>
    <w:rsid w:val="004F5DB8"/>
    <w:rsid w:val="005002E4"/>
    <w:rsid w:val="00500FD3"/>
    <w:rsid w:val="005012A4"/>
    <w:rsid w:val="00503C49"/>
    <w:rsid w:val="0051187E"/>
    <w:rsid w:val="005127CE"/>
    <w:rsid w:val="00515A2A"/>
    <w:rsid w:val="005206E4"/>
    <w:rsid w:val="00524381"/>
    <w:rsid w:val="00527A96"/>
    <w:rsid w:val="005409C9"/>
    <w:rsid w:val="0054202E"/>
    <w:rsid w:val="00542AAA"/>
    <w:rsid w:val="00542FA4"/>
    <w:rsid w:val="00544969"/>
    <w:rsid w:val="00546269"/>
    <w:rsid w:val="0054650B"/>
    <w:rsid w:val="00546E40"/>
    <w:rsid w:val="00547A6F"/>
    <w:rsid w:val="00547F36"/>
    <w:rsid w:val="0055649B"/>
    <w:rsid w:val="00561BD0"/>
    <w:rsid w:val="005629C8"/>
    <w:rsid w:val="00564891"/>
    <w:rsid w:val="00566C3B"/>
    <w:rsid w:val="00576CCF"/>
    <w:rsid w:val="005805C2"/>
    <w:rsid w:val="0058431A"/>
    <w:rsid w:val="005870EC"/>
    <w:rsid w:val="00592BC9"/>
    <w:rsid w:val="00594D8D"/>
    <w:rsid w:val="005A4295"/>
    <w:rsid w:val="005A6592"/>
    <w:rsid w:val="005B392D"/>
    <w:rsid w:val="005B6819"/>
    <w:rsid w:val="005B7AE6"/>
    <w:rsid w:val="005C081B"/>
    <w:rsid w:val="005C0B9E"/>
    <w:rsid w:val="005C22ED"/>
    <w:rsid w:val="005C5F09"/>
    <w:rsid w:val="005C69B8"/>
    <w:rsid w:val="005D0B90"/>
    <w:rsid w:val="005D0C9D"/>
    <w:rsid w:val="005D3957"/>
    <w:rsid w:val="005D4BEC"/>
    <w:rsid w:val="005D62E8"/>
    <w:rsid w:val="005E1A9F"/>
    <w:rsid w:val="005E2CE2"/>
    <w:rsid w:val="005E4394"/>
    <w:rsid w:val="005E6112"/>
    <w:rsid w:val="005E6283"/>
    <w:rsid w:val="005E64FF"/>
    <w:rsid w:val="005F0BEF"/>
    <w:rsid w:val="005F2000"/>
    <w:rsid w:val="005F2890"/>
    <w:rsid w:val="005F2D51"/>
    <w:rsid w:val="005F68DC"/>
    <w:rsid w:val="005F6DD6"/>
    <w:rsid w:val="005F7B2A"/>
    <w:rsid w:val="00601689"/>
    <w:rsid w:val="00604775"/>
    <w:rsid w:val="00604EF6"/>
    <w:rsid w:val="00605815"/>
    <w:rsid w:val="00605B89"/>
    <w:rsid w:val="00611D0A"/>
    <w:rsid w:val="00612DD8"/>
    <w:rsid w:val="006132B2"/>
    <w:rsid w:val="00615184"/>
    <w:rsid w:val="006157D7"/>
    <w:rsid w:val="00620C80"/>
    <w:rsid w:val="00623D65"/>
    <w:rsid w:val="006368AD"/>
    <w:rsid w:val="0064007E"/>
    <w:rsid w:val="006456D6"/>
    <w:rsid w:val="006477BA"/>
    <w:rsid w:val="00652B62"/>
    <w:rsid w:val="00654700"/>
    <w:rsid w:val="006548C4"/>
    <w:rsid w:val="00656714"/>
    <w:rsid w:val="00657BFC"/>
    <w:rsid w:val="00663569"/>
    <w:rsid w:val="00665D43"/>
    <w:rsid w:val="006662E9"/>
    <w:rsid w:val="00666EBB"/>
    <w:rsid w:val="006720FB"/>
    <w:rsid w:val="00675CAB"/>
    <w:rsid w:val="00681E95"/>
    <w:rsid w:val="006831AF"/>
    <w:rsid w:val="006839C5"/>
    <w:rsid w:val="006842EF"/>
    <w:rsid w:val="006859F2"/>
    <w:rsid w:val="00685B63"/>
    <w:rsid w:val="00686B64"/>
    <w:rsid w:val="006A02CB"/>
    <w:rsid w:val="006A03D9"/>
    <w:rsid w:val="006A2EE5"/>
    <w:rsid w:val="006A4895"/>
    <w:rsid w:val="006A5D3C"/>
    <w:rsid w:val="006A62EF"/>
    <w:rsid w:val="006A6E27"/>
    <w:rsid w:val="006A7F68"/>
    <w:rsid w:val="006B16E4"/>
    <w:rsid w:val="006B298D"/>
    <w:rsid w:val="006B6392"/>
    <w:rsid w:val="006C644C"/>
    <w:rsid w:val="006C6F85"/>
    <w:rsid w:val="006C79F7"/>
    <w:rsid w:val="006D0A82"/>
    <w:rsid w:val="006D0B2E"/>
    <w:rsid w:val="006D40B7"/>
    <w:rsid w:val="006D4272"/>
    <w:rsid w:val="006D4660"/>
    <w:rsid w:val="006D6B1E"/>
    <w:rsid w:val="006E0296"/>
    <w:rsid w:val="006E3B3A"/>
    <w:rsid w:val="006E4A0A"/>
    <w:rsid w:val="006F06D3"/>
    <w:rsid w:val="006F69B9"/>
    <w:rsid w:val="00705B33"/>
    <w:rsid w:val="0070691B"/>
    <w:rsid w:val="00706932"/>
    <w:rsid w:val="007076E0"/>
    <w:rsid w:val="007100C5"/>
    <w:rsid w:val="0071012B"/>
    <w:rsid w:val="00714751"/>
    <w:rsid w:val="00716F88"/>
    <w:rsid w:val="00724AAC"/>
    <w:rsid w:val="00727EA9"/>
    <w:rsid w:val="00730E54"/>
    <w:rsid w:val="007329F8"/>
    <w:rsid w:val="007366BC"/>
    <w:rsid w:val="00737D07"/>
    <w:rsid w:val="007422DC"/>
    <w:rsid w:val="0074240A"/>
    <w:rsid w:val="007516D3"/>
    <w:rsid w:val="00754800"/>
    <w:rsid w:val="007561EE"/>
    <w:rsid w:val="00757BA6"/>
    <w:rsid w:val="00760A09"/>
    <w:rsid w:val="0076120E"/>
    <w:rsid w:val="00762AD3"/>
    <w:rsid w:val="00767234"/>
    <w:rsid w:val="007763D0"/>
    <w:rsid w:val="00777CA4"/>
    <w:rsid w:val="0078005A"/>
    <w:rsid w:val="00780E4F"/>
    <w:rsid w:val="0078353A"/>
    <w:rsid w:val="00786686"/>
    <w:rsid w:val="00786E31"/>
    <w:rsid w:val="007910E8"/>
    <w:rsid w:val="00791C6D"/>
    <w:rsid w:val="00793E12"/>
    <w:rsid w:val="00794AEE"/>
    <w:rsid w:val="007A01BE"/>
    <w:rsid w:val="007A3B60"/>
    <w:rsid w:val="007B6D0B"/>
    <w:rsid w:val="007B74CD"/>
    <w:rsid w:val="007B75D6"/>
    <w:rsid w:val="007C3398"/>
    <w:rsid w:val="007C6101"/>
    <w:rsid w:val="007D377D"/>
    <w:rsid w:val="007D58DE"/>
    <w:rsid w:val="007E08BB"/>
    <w:rsid w:val="007E7807"/>
    <w:rsid w:val="007F0132"/>
    <w:rsid w:val="007F1394"/>
    <w:rsid w:val="007F1F02"/>
    <w:rsid w:val="007F2954"/>
    <w:rsid w:val="007F36C9"/>
    <w:rsid w:val="007F577A"/>
    <w:rsid w:val="007F6EBC"/>
    <w:rsid w:val="007F716F"/>
    <w:rsid w:val="0080066F"/>
    <w:rsid w:val="008048D6"/>
    <w:rsid w:val="008065A9"/>
    <w:rsid w:val="0080679D"/>
    <w:rsid w:val="008069D7"/>
    <w:rsid w:val="008075B5"/>
    <w:rsid w:val="00810B17"/>
    <w:rsid w:val="00811F2C"/>
    <w:rsid w:val="00815975"/>
    <w:rsid w:val="00823574"/>
    <w:rsid w:val="00824B85"/>
    <w:rsid w:val="00826F7E"/>
    <w:rsid w:val="00830B05"/>
    <w:rsid w:val="00831099"/>
    <w:rsid w:val="00831751"/>
    <w:rsid w:val="0083214B"/>
    <w:rsid w:val="00832DD7"/>
    <w:rsid w:val="00833612"/>
    <w:rsid w:val="008348EB"/>
    <w:rsid w:val="00834E78"/>
    <w:rsid w:val="00836B46"/>
    <w:rsid w:val="008428EF"/>
    <w:rsid w:val="008437AF"/>
    <w:rsid w:val="00845BB6"/>
    <w:rsid w:val="00845FD7"/>
    <w:rsid w:val="00846045"/>
    <w:rsid w:val="00846819"/>
    <w:rsid w:val="008504A8"/>
    <w:rsid w:val="00850ADB"/>
    <w:rsid w:val="00854091"/>
    <w:rsid w:val="00855D26"/>
    <w:rsid w:val="00856E6F"/>
    <w:rsid w:val="0086232F"/>
    <w:rsid w:val="0086438C"/>
    <w:rsid w:val="0086600D"/>
    <w:rsid w:val="00866237"/>
    <w:rsid w:val="008665AD"/>
    <w:rsid w:val="008707A1"/>
    <w:rsid w:val="00882F6F"/>
    <w:rsid w:val="00883C02"/>
    <w:rsid w:val="00884E0F"/>
    <w:rsid w:val="0088582A"/>
    <w:rsid w:val="0089106F"/>
    <w:rsid w:val="008911BD"/>
    <w:rsid w:val="00891D28"/>
    <w:rsid w:val="008927CF"/>
    <w:rsid w:val="008931A0"/>
    <w:rsid w:val="008958F5"/>
    <w:rsid w:val="008979EF"/>
    <w:rsid w:val="008A1FB5"/>
    <w:rsid w:val="008A25CE"/>
    <w:rsid w:val="008A59F8"/>
    <w:rsid w:val="008B04FD"/>
    <w:rsid w:val="008B4F38"/>
    <w:rsid w:val="008B5CA2"/>
    <w:rsid w:val="008B781E"/>
    <w:rsid w:val="008C015F"/>
    <w:rsid w:val="008C2368"/>
    <w:rsid w:val="008C39B2"/>
    <w:rsid w:val="008D2787"/>
    <w:rsid w:val="008D6AED"/>
    <w:rsid w:val="008E3E68"/>
    <w:rsid w:val="008E461D"/>
    <w:rsid w:val="008E4F06"/>
    <w:rsid w:val="008E54B2"/>
    <w:rsid w:val="008E67B3"/>
    <w:rsid w:val="008E67E3"/>
    <w:rsid w:val="008E7294"/>
    <w:rsid w:val="008F1196"/>
    <w:rsid w:val="008F4821"/>
    <w:rsid w:val="0091199A"/>
    <w:rsid w:val="0091527D"/>
    <w:rsid w:val="00916312"/>
    <w:rsid w:val="0091655B"/>
    <w:rsid w:val="0092108E"/>
    <w:rsid w:val="009212D6"/>
    <w:rsid w:val="00925C4D"/>
    <w:rsid w:val="00931815"/>
    <w:rsid w:val="0093523A"/>
    <w:rsid w:val="009374A6"/>
    <w:rsid w:val="009401DB"/>
    <w:rsid w:val="009506EC"/>
    <w:rsid w:val="00954092"/>
    <w:rsid w:val="009543D2"/>
    <w:rsid w:val="0095451C"/>
    <w:rsid w:val="00954CB5"/>
    <w:rsid w:val="00955025"/>
    <w:rsid w:val="0095698D"/>
    <w:rsid w:val="009572F1"/>
    <w:rsid w:val="00962B3E"/>
    <w:rsid w:val="00964AEF"/>
    <w:rsid w:val="00967324"/>
    <w:rsid w:val="00971002"/>
    <w:rsid w:val="00971200"/>
    <w:rsid w:val="009715E6"/>
    <w:rsid w:val="00971DA1"/>
    <w:rsid w:val="00972410"/>
    <w:rsid w:val="00973F86"/>
    <w:rsid w:val="009814DD"/>
    <w:rsid w:val="009822A5"/>
    <w:rsid w:val="0098239A"/>
    <w:rsid w:val="00983773"/>
    <w:rsid w:val="00983C20"/>
    <w:rsid w:val="0098447B"/>
    <w:rsid w:val="0098679C"/>
    <w:rsid w:val="00990AEF"/>
    <w:rsid w:val="00991CF2"/>
    <w:rsid w:val="009922F0"/>
    <w:rsid w:val="00992AB8"/>
    <w:rsid w:val="009952A7"/>
    <w:rsid w:val="00995F67"/>
    <w:rsid w:val="009A0017"/>
    <w:rsid w:val="009A0453"/>
    <w:rsid w:val="009A2DD7"/>
    <w:rsid w:val="009A63C2"/>
    <w:rsid w:val="009A6D82"/>
    <w:rsid w:val="009A7A49"/>
    <w:rsid w:val="009B31FF"/>
    <w:rsid w:val="009B3796"/>
    <w:rsid w:val="009B4E91"/>
    <w:rsid w:val="009B571D"/>
    <w:rsid w:val="009B60DE"/>
    <w:rsid w:val="009B76B3"/>
    <w:rsid w:val="009C367C"/>
    <w:rsid w:val="009C534A"/>
    <w:rsid w:val="009D01F6"/>
    <w:rsid w:val="009D1C10"/>
    <w:rsid w:val="009D2663"/>
    <w:rsid w:val="009D48FB"/>
    <w:rsid w:val="009D6714"/>
    <w:rsid w:val="009D67AE"/>
    <w:rsid w:val="009D6872"/>
    <w:rsid w:val="009E0928"/>
    <w:rsid w:val="009E2C26"/>
    <w:rsid w:val="009E2E9E"/>
    <w:rsid w:val="009E34FF"/>
    <w:rsid w:val="009E52E9"/>
    <w:rsid w:val="009E72B8"/>
    <w:rsid w:val="00A01AB1"/>
    <w:rsid w:val="00A021EF"/>
    <w:rsid w:val="00A03220"/>
    <w:rsid w:val="00A062F5"/>
    <w:rsid w:val="00A12408"/>
    <w:rsid w:val="00A15DE1"/>
    <w:rsid w:val="00A166AB"/>
    <w:rsid w:val="00A271B0"/>
    <w:rsid w:val="00A3112F"/>
    <w:rsid w:val="00A32E29"/>
    <w:rsid w:val="00A333CC"/>
    <w:rsid w:val="00A34278"/>
    <w:rsid w:val="00A3443C"/>
    <w:rsid w:val="00A45603"/>
    <w:rsid w:val="00A50AA0"/>
    <w:rsid w:val="00A50DBC"/>
    <w:rsid w:val="00A5176A"/>
    <w:rsid w:val="00A52259"/>
    <w:rsid w:val="00A526F1"/>
    <w:rsid w:val="00A55C81"/>
    <w:rsid w:val="00A56D39"/>
    <w:rsid w:val="00A57034"/>
    <w:rsid w:val="00A6060D"/>
    <w:rsid w:val="00A64747"/>
    <w:rsid w:val="00A650D4"/>
    <w:rsid w:val="00A65D86"/>
    <w:rsid w:val="00A663BD"/>
    <w:rsid w:val="00A66943"/>
    <w:rsid w:val="00A67480"/>
    <w:rsid w:val="00A70196"/>
    <w:rsid w:val="00A71E21"/>
    <w:rsid w:val="00A72312"/>
    <w:rsid w:val="00A74FAD"/>
    <w:rsid w:val="00A82391"/>
    <w:rsid w:val="00A83081"/>
    <w:rsid w:val="00A8765D"/>
    <w:rsid w:val="00A87C97"/>
    <w:rsid w:val="00A90989"/>
    <w:rsid w:val="00A910CE"/>
    <w:rsid w:val="00A92872"/>
    <w:rsid w:val="00A962B4"/>
    <w:rsid w:val="00A979B5"/>
    <w:rsid w:val="00AA079A"/>
    <w:rsid w:val="00AA2DA2"/>
    <w:rsid w:val="00AA60C5"/>
    <w:rsid w:val="00AA77BF"/>
    <w:rsid w:val="00AA77C7"/>
    <w:rsid w:val="00AB0BF8"/>
    <w:rsid w:val="00AB18DF"/>
    <w:rsid w:val="00AB2298"/>
    <w:rsid w:val="00AC32ED"/>
    <w:rsid w:val="00AC505A"/>
    <w:rsid w:val="00AC79F3"/>
    <w:rsid w:val="00AD1749"/>
    <w:rsid w:val="00AD4AE3"/>
    <w:rsid w:val="00AD596D"/>
    <w:rsid w:val="00AD6FA3"/>
    <w:rsid w:val="00AE457F"/>
    <w:rsid w:val="00AF0655"/>
    <w:rsid w:val="00AF16B2"/>
    <w:rsid w:val="00AF2C77"/>
    <w:rsid w:val="00B009D0"/>
    <w:rsid w:val="00B01A36"/>
    <w:rsid w:val="00B01B4C"/>
    <w:rsid w:val="00B05BD1"/>
    <w:rsid w:val="00B0707B"/>
    <w:rsid w:val="00B10195"/>
    <w:rsid w:val="00B104BD"/>
    <w:rsid w:val="00B23F8F"/>
    <w:rsid w:val="00B27E88"/>
    <w:rsid w:val="00B3058E"/>
    <w:rsid w:val="00B33876"/>
    <w:rsid w:val="00B33D78"/>
    <w:rsid w:val="00B47B86"/>
    <w:rsid w:val="00B50ADF"/>
    <w:rsid w:val="00B52E82"/>
    <w:rsid w:val="00B677F9"/>
    <w:rsid w:val="00B73512"/>
    <w:rsid w:val="00B740BC"/>
    <w:rsid w:val="00B778A5"/>
    <w:rsid w:val="00B81570"/>
    <w:rsid w:val="00BA104D"/>
    <w:rsid w:val="00BA27AC"/>
    <w:rsid w:val="00BA380A"/>
    <w:rsid w:val="00BA3EDB"/>
    <w:rsid w:val="00BA4E0B"/>
    <w:rsid w:val="00BA7D6C"/>
    <w:rsid w:val="00BB14BA"/>
    <w:rsid w:val="00BB29EA"/>
    <w:rsid w:val="00BB3BD7"/>
    <w:rsid w:val="00BB46AE"/>
    <w:rsid w:val="00BB5185"/>
    <w:rsid w:val="00BB72C6"/>
    <w:rsid w:val="00BC0CD7"/>
    <w:rsid w:val="00BC1D64"/>
    <w:rsid w:val="00BC6537"/>
    <w:rsid w:val="00BC65B1"/>
    <w:rsid w:val="00BC6709"/>
    <w:rsid w:val="00BD0226"/>
    <w:rsid w:val="00BD287C"/>
    <w:rsid w:val="00BD3EB9"/>
    <w:rsid w:val="00BD57A1"/>
    <w:rsid w:val="00BD6C49"/>
    <w:rsid w:val="00BD72D8"/>
    <w:rsid w:val="00BE2645"/>
    <w:rsid w:val="00BF2BAF"/>
    <w:rsid w:val="00BF5C1A"/>
    <w:rsid w:val="00BF5EEC"/>
    <w:rsid w:val="00BF6130"/>
    <w:rsid w:val="00BF6ACA"/>
    <w:rsid w:val="00C019D1"/>
    <w:rsid w:val="00C054B7"/>
    <w:rsid w:val="00C06304"/>
    <w:rsid w:val="00C1058E"/>
    <w:rsid w:val="00C114CD"/>
    <w:rsid w:val="00C14F74"/>
    <w:rsid w:val="00C15FD6"/>
    <w:rsid w:val="00C17F4E"/>
    <w:rsid w:val="00C2112F"/>
    <w:rsid w:val="00C215B4"/>
    <w:rsid w:val="00C23806"/>
    <w:rsid w:val="00C26B2F"/>
    <w:rsid w:val="00C3079F"/>
    <w:rsid w:val="00C358BB"/>
    <w:rsid w:val="00C431B2"/>
    <w:rsid w:val="00C43B84"/>
    <w:rsid w:val="00C450C1"/>
    <w:rsid w:val="00C45A61"/>
    <w:rsid w:val="00C4664B"/>
    <w:rsid w:val="00C469C4"/>
    <w:rsid w:val="00C47A62"/>
    <w:rsid w:val="00C52540"/>
    <w:rsid w:val="00C5321E"/>
    <w:rsid w:val="00C64AF6"/>
    <w:rsid w:val="00C67B4E"/>
    <w:rsid w:val="00C72918"/>
    <w:rsid w:val="00C811BC"/>
    <w:rsid w:val="00C8760C"/>
    <w:rsid w:val="00C90DDE"/>
    <w:rsid w:val="00C916E4"/>
    <w:rsid w:val="00C92F45"/>
    <w:rsid w:val="00C93179"/>
    <w:rsid w:val="00C95664"/>
    <w:rsid w:val="00C95DFB"/>
    <w:rsid w:val="00C96405"/>
    <w:rsid w:val="00CA0874"/>
    <w:rsid w:val="00CB0603"/>
    <w:rsid w:val="00CB16F3"/>
    <w:rsid w:val="00CB514B"/>
    <w:rsid w:val="00CB6638"/>
    <w:rsid w:val="00CB6C1F"/>
    <w:rsid w:val="00CB6DC3"/>
    <w:rsid w:val="00CB73A6"/>
    <w:rsid w:val="00CB762C"/>
    <w:rsid w:val="00CC021D"/>
    <w:rsid w:val="00CC4B13"/>
    <w:rsid w:val="00CC6296"/>
    <w:rsid w:val="00CD0ED0"/>
    <w:rsid w:val="00CD5DA8"/>
    <w:rsid w:val="00CD6CF6"/>
    <w:rsid w:val="00CD7FF0"/>
    <w:rsid w:val="00CE1BD5"/>
    <w:rsid w:val="00CE2360"/>
    <w:rsid w:val="00CE2E54"/>
    <w:rsid w:val="00CE4584"/>
    <w:rsid w:val="00CE55B8"/>
    <w:rsid w:val="00CE6968"/>
    <w:rsid w:val="00CE76A8"/>
    <w:rsid w:val="00CF0E94"/>
    <w:rsid w:val="00CF1E22"/>
    <w:rsid w:val="00CF4A48"/>
    <w:rsid w:val="00CF51D2"/>
    <w:rsid w:val="00CF532F"/>
    <w:rsid w:val="00CF6BA3"/>
    <w:rsid w:val="00CF7FF3"/>
    <w:rsid w:val="00D0046A"/>
    <w:rsid w:val="00D00B54"/>
    <w:rsid w:val="00D0168C"/>
    <w:rsid w:val="00D0253B"/>
    <w:rsid w:val="00D02624"/>
    <w:rsid w:val="00D04137"/>
    <w:rsid w:val="00D0554C"/>
    <w:rsid w:val="00D05DB0"/>
    <w:rsid w:val="00D06F96"/>
    <w:rsid w:val="00D101B6"/>
    <w:rsid w:val="00D10D39"/>
    <w:rsid w:val="00D129A8"/>
    <w:rsid w:val="00D130A2"/>
    <w:rsid w:val="00D13267"/>
    <w:rsid w:val="00D13785"/>
    <w:rsid w:val="00D1555F"/>
    <w:rsid w:val="00D15F26"/>
    <w:rsid w:val="00D16E03"/>
    <w:rsid w:val="00D17A08"/>
    <w:rsid w:val="00D17AE3"/>
    <w:rsid w:val="00D265E1"/>
    <w:rsid w:val="00D275E3"/>
    <w:rsid w:val="00D302B9"/>
    <w:rsid w:val="00D3688F"/>
    <w:rsid w:val="00D37966"/>
    <w:rsid w:val="00D46416"/>
    <w:rsid w:val="00D50AE7"/>
    <w:rsid w:val="00D52437"/>
    <w:rsid w:val="00D52F95"/>
    <w:rsid w:val="00D546AA"/>
    <w:rsid w:val="00D55B80"/>
    <w:rsid w:val="00D56BD2"/>
    <w:rsid w:val="00D56D54"/>
    <w:rsid w:val="00D60641"/>
    <w:rsid w:val="00D60795"/>
    <w:rsid w:val="00D62D85"/>
    <w:rsid w:val="00D63AA4"/>
    <w:rsid w:val="00D67009"/>
    <w:rsid w:val="00D7164A"/>
    <w:rsid w:val="00D72FBB"/>
    <w:rsid w:val="00D75E9D"/>
    <w:rsid w:val="00D76D20"/>
    <w:rsid w:val="00D86985"/>
    <w:rsid w:val="00D915C3"/>
    <w:rsid w:val="00D964CA"/>
    <w:rsid w:val="00DA1030"/>
    <w:rsid w:val="00DA508C"/>
    <w:rsid w:val="00DA639B"/>
    <w:rsid w:val="00DB38E5"/>
    <w:rsid w:val="00DC0A06"/>
    <w:rsid w:val="00DC4B9F"/>
    <w:rsid w:val="00DC71FC"/>
    <w:rsid w:val="00DD30FB"/>
    <w:rsid w:val="00DD39D3"/>
    <w:rsid w:val="00DE0714"/>
    <w:rsid w:val="00DE1D4B"/>
    <w:rsid w:val="00DE1DD8"/>
    <w:rsid w:val="00DE37B1"/>
    <w:rsid w:val="00DE48CA"/>
    <w:rsid w:val="00DE770D"/>
    <w:rsid w:val="00DF0AF0"/>
    <w:rsid w:val="00DF1C75"/>
    <w:rsid w:val="00DF2517"/>
    <w:rsid w:val="00DF4117"/>
    <w:rsid w:val="00DF7B89"/>
    <w:rsid w:val="00E0084F"/>
    <w:rsid w:val="00E02E1E"/>
    <w:rsid w:val="00E036B1"/>
    <w:rsid w:val="00E06CB6"/>
    <w:rsid w:val="00E07E3A"/>
    <w:rsid w:val="00E10509"/>
    <w:rsid w:val="00E11A9C"/>
    <w:rsid w:val="00E12588"/>
    <w:rsid w:val="00E13946"/>
    <w:rsid w:val="00E170B0"/>
    <w:rsid w:val="00E17F5A"/>
    <w:rsid w:val="00E212AA"/>
    <w:rsid w:val="00E30C5E"/>
    <w:rsid w:val="00E33115"/>
    <w:rsid w:val="00E36023"/>
    <w:rsid w:val="00E4184C"/>
    <w:rsid w:val="00E4330F"/>
    <w:rsid w:val="00E47AB6"/>
    <w:rsid w:val="00E50E39"/>
    <w:rsid w:val="00E525C3"/>
    <w:rsid w:val="00E5532F"/>
    <w:rsid w:val="00E56165"/>
    <w:rsid w:val="00E57C9E"/>
    <w:rsid w:val="00E60371"/>
    <w:rsid w:val="00E61770"/>
    <w:rsid w:val="00E65209"/>
    <w:rsid w:val="00E66648"/>
    <w:rsid w:val="00E74A87"/>
    <w:rsid w:val="00E764CE"/>
    <w:rsid w:val="00E84899"/>
    <w:rsid w:val="00E9370B"/>
    <w:rsid w:val="00E94E85"/>
    <w:rsid w:val="00E94F18"/>
    <w:rsid w:val="00E97CCB"/>
    <w:rsid w:val="00E97DBF"/>
    <w:rsid w:val="00EA2581"/>
    <w:rsid w:val="00EA47B0"/>
    <w:rsid w:val="00EB27A0"/>
    <w:rsid w:val="00EB3EA5"/>
    <w:rsid w:val="00EB4486"/>
    <w:rsid w:val="00EB546B"/>
    <w:rsid w:val="00EB5776"/>
    <w:rsid w:val="00EC0234"/>
    <w:rsid w:val="00EC23CD"/>
    <w:rsid w:val="00EC519B"/>
    <w:rsid w:val="00EC5D4A"/>
    <w:rsid w:val="00EC5E04"/>
    <w:rsid w:val="00EC6A0E"/>
    <w:rsid w:val="00ED0CBC"/>
    <w:rsid w:val="00ED461E"/>
    <w:rsid w:val="00ED7608"/>
    <w:rsid w:val="00ED76CF"/>
    <w:rsid w:val="00EE29A7"/>
    <w:rsid w:val="00EE48C0"/>
    <w:rsid w:val="00EE610F"/>
    <w:rsid w:val="00EF0BB2"/>
    <w:rsid w:val="00EF2DFC"/>
    <w:rsid w:val="00EF332D"/>
    <w:rsid w:val="00EF5A24"/>
    <w:rsid w:val="00F04D2F"/>
    <w:rsid w:val="00F07EE0"/>
    <w:rsid w:val="00F12431"/>
    <w:rsid w:val="00F14BD9"/>
    <w:rsid w:val="00F21392"/>
    <w:rsid w:val="00F222D5"/>
    <w:rsid w:val="00F25367"/>
    <w:rsid w:val="00F26B77"/>
    <w:rsid w:val="00F342DC"/>
    <w:rsid w:val="00F34F24"/>
    <w:rsid w:val="00F34F7B"/>
    <w:rsid w:val="00F435E5"/>
    <w:rsid w:val="00F44546"/>
    <w:rsid w:val="00F445FC"/>
    <w:rsid w:val="00F44DA4"/>
    <w:rsid w:val="00F461D4"/>
    <w:rsid w:val="00F46F75"/>
    <w:rsid w:val="00F517E8"/>
    <w:rsid w:val="00F60406"/>
    <w:rsid w:val="00F61943"/>
    <w:rsid w:val="00F656DD"/>
    <w:rsid w:val="00F670FA"/>
    <w:rsid w:val="00F678DD"/>
    <w:rsid w:val="00F71669"/>
    <w:rsid w:val="00F74C0A"/>
    <w:rsid w:val="00F7619A"/>
    <w:rsid w:val="00F8033A"/>
    <w:rsid w:val="00F81B8D"/>
    <w:rsid w:val="00F81C34"/>
    <w:rsid w:val="00F81F83"/>
    <w:rsid w:val="00F92971"/>
    <w:rsid w:val="00F92DEB"/>
    <w:rsid w:val="00F93D09"/>
    <w:rsid w:val="00F9599A"/>
    <w:rsid w:val="00F96162"/>
    <w:rsid w:val="00FA6FF4"/>
    <w:rsid w:val="00FA7F67"/>
    <w:rsid w:val="00FB4946"/>
    <w:rsid w:val="00FB59EC"/>
    <w:rsid w:val="00FB6638"/>
    <w:rsid w:val="00FC3A92"/>
    <w:rsid w:val="00FD15ED"/>
    <w:rsid w:val="00FD25E6"/>
    <w:rsid w:val="00FD54D2"/>
    <w:rsid w:val="00FE1859"/>
    <w:rsid w:val="00FE1E49"/>
    <w:rsid w:val="00FE61D0"/>
    <w:rsid w:val="00FF1A3E"/>
    <w:rsid w:val="00FF1ABF"/>
    <w:rsid w:val="00FF1BBC"/>
    <w:rsid w:val="00FF7AEF"/>
    <w:rsid w:val="06663298"/>
    <w:rsid w:val="0A816410"/>
    <w:rsid w:val="0CE4581C"/>
    <w:rsid w:val="0D24239E"/>
    <w:rsid w:val="0D575224"/>
    <w:rsid w:val="0E9D067A"/>
    <w:rsid w:val="0FD665BE"/>
    <w:rsid w:val="10625128"/>
    <w:rsid w:val="10834621"/>
    <w:rsid w:val="10ED1046"/>
    <w:rsid w:val="11DA7C31"/>
    <w:rsid w:val="138F0B01"/>
    <w:rsid w:val="15F27587"/>
    <w:rsid w:val="162A266C"/>
    <w:rsid w:val="18C775FA"/>
    <w:rsid w:val="1D7100CB"/>
    <w:rsid w:val="1EAF0D67"/>
    <w:rsid w:val="25B77173"/>
    <w:rsid w:val="25BD0EF9"/>
    <w:rsid w:val="2D310CF7"/>
    <w:rsid w:val="2E5D776B"/>
    <w:rsid w:val="2F0D0312"/>
    <w:rsid w:val="31195266"/>
    <w:rsid w:val="333E0C7F"/>
    <w:rsid w:val="34C67254"/>
    <w:rsid w:val="36427AAB"/>
    <w:rsid w:val="3A926C44"/>
    <w:rsid w:val="3ADA4789"/>
    <w:rsid w:val="3CBB3A78"/>
    <w:rsid w:val="3F8F587F"/>
    <w:rsid w:val="3FEC635E"/>
    <w:rsid w:val="403C4239"/>
    <w:rsid w:val="4166401F"/>
    <w:rsid w:val="439F3E6B"/>
    <w:rsid w:val="43AD624A"/>
    <w:rsid w:val="46012F69"/>
    <w:rsid w:val="46402B70"/>
    <w:rsid w:val="473D7B2F"/>
    <w:rsid w:val="513F5C6D"/>
    <w:rsid w:val="52B1656A"/>
    <w:rsid w:val="52F33973"/>
    <w:rsid w:val="53514ABF"/>
    <w:rsid w:val="551B451A"/>
    <w:rsid w:val="5B443234"/>
    <w:rsid w:val="5B5D7397"/>
    <w:rsid w:val="5BBF521D"/>
    <w:rsid w:val="5D2124C5"/>
    <w:rsid w:val="6057411E"/>
    <w:rsid w:val="66914BD3"/>
    <w:rsid w:val="68F27942"/>
    <w:rsid w:val="6F3D018E"/>
    <w:rsid w:val="724464C9"/>
    <w:rsid w:val="780B5041"/>
    <w:rsid w:val="784E1B5D"/>
    <w:rsid w:val="78961B3D"/>
    <w:rsid w:val="78984D2B"/>
    <w:rsid w:val="78A06277"/>
    <w:rsid w:val="7D7F6E35"/>
    <w:rsid w:val="7DB422E3"/>
    <w:rsid w:val="7E9E44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qFormat/>
    <w:locked/>
    <w:uiPriority w:val="0"/>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6"/>
    <w:semiHidden/>
    <w:qFormat/>
    <w:uiPriority w:val="99"/>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link w:val="12"/>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8"/>
    <w:semiHidden/>
    <w:unhideWhenUsed/>
    <w:qFormat/>
    <w:uiPriority w:val="99"/>
    <w:rPr>
      <w:b/>
      <w:bCs/>
    </w:rPr>
  </w:style>
  <w:style w:type="character" w:styleId="10">
    <w:name w:val="page number"/>
    <w:basedOn w:val="9"/>
    <w:qFormat/>
    <w:uiPriority w:val="99"/>
  </w:style>
  <w:style w:type="character" w:styleId="11">
    <w:name w:val="annotation reference"/>
    <w:semiHidden/>
    <w:unhideWhenUsed/>
    <w:qFormat/>
    <w:uiPriority w:val="99"/>
    <w:rPr>
      <w:sz w:val="21"/>
      <w:szCs w:val="21"/>
    </w:rPr>
  </w:style>
  <w:style w:type="character" w:customStyle="1" w:styleId="12">
    <w:name w:val="页眉 Char"/>
    <w:link w:val="6"/>
    <w:qFormat/>
    <w:locked/>
    <w:uiPriority w:val="99"/>
    <w:rPr>
      <w:sz w:val="18"/>
      <w:szCs w:val="18"/>
    </w:rPr>
  </w:style>
  <w:style w:type="character" w:customStyle="1" w:styleId="13">
    <w:name w:val="页脚 Char"/>
    <w:link w:val="5"/>
    <w:qFormat/>
    <w:locked/>
    <w:uiPriority w:val="99"/>
    <w:rPr>
      <w:sz w:val="18"/>
      <w:szCs w:val="18"/>
    </w:rPr>
  </w:style>
  <w:style w:type="paragraph" w:styleId="14">
    <w:name w:val="List Paragraph"/>
    <w:basedOn w:val="1"/>
    <w:qFormat/>
    <w:uiPriority w:val="99"/>
    <w:pPr>
      <w:ind w:firstLine="420" w:firstLineChars="200"/>
    </w:pPr>
  </w:style>
  <w:style w:type="paragraph" w:customStyle="1" w:styleId="15">
    <w:name w:val="_Style 6"/>
    <w:basedOn w:val="1"/>
    <w:qFormat/>
    <w:uiPriority w:val="99"/>
    <w:pPr>
      <w:widowControl/>
      <w:spacing w:before="100" w:beforeAutospacing="1" w:after="100" w:afterAutospacing="1" w:line="360" w:lineRule="auto"/>
      <w:ind w:left="360" w:firstLine="624"/>
      <w:jc w:val="left"/>
    </w:pPr>
    <w:rPr>
      <w:rFonts w:ascii="Times New Roman" w:hAnsi="Times New Roman" w:cs="Times New Roman"/>
    </w:rPr>
  </w:style>
  <w:style w:type="character" w:customStyle="1" w:styleId="16">
    <w:name w:val="批注框文本 Char"/>
    <w:link w:val="4"/>
    <w:semiHidden/>
    <w:qFormat/>
    <w:locked/>
    <w:uiPriority w:val="99"/>
    <w:rPr>
      <w:rFonts w:ascii="Calibri" w:hAnsi="Calibri" w:eastAsia="宋体" w:cs="Calibri"/>
      <w:sz w:val="18"/>
      <w:szCs w:val="18"/>
    </w:rPr>
  </w:style>
  <w:style w:type="character" w:customStyle="1" w:styleId="17">
    <w:name w:val="批注文字 Char"/>
    <w:link w:val="3"/>
    <w:semiHidden/>
    <w:qFormat/>
    <w:uiPriority w:val="99"/>
    <w:rPr>
      <w:rFonts w:cs="Calibri"/>
      <w:kern w:val="2"/>
      <w:sz w:val="21"/>
      <w:szCs w:val="21"/>
    </w:rPr>
  </w:style>
  <w:style w:type="character" w:customStyle="1" w:styleId="18">
    <w:name w:val="批注主题 Char"/>
    <w:link w:val="7"/>
    <w:semiHidden/>
    <w:qFormat/>
    <w:uiPriority w:val="99"/>
    <w:rPr>
      <w:rFonts w:cs="Calibri"/>
      <w:b/>
      <w:bCs/>
      <w:kern w:val="2"/>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CMCC</Company>
  <Pages>13</Pages>
  <Words>748</Words>
  <Characters>4267</Characters>
  <Lines>35</Lines>
  <Paragraphs>10</Paragraphs>
  <TotalTime>72</TotalTime>
  <ScaleCrop>false</ScaleCrop>
  <LinksUpToDate>false</LinksUpToDate>
  <CharactersWithSpaces>5005</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2024-12-30T07:39:00Z</dcterms:created>
  <dc:creator>王加</dc:creator>
  <cp:lastModifiedBy>彭国彬</cp:lastModifiedBy>
  <cp:lastPrinted>2024-11-04T06:46:00Z</cp:lastPrinted>
  <dcterms:modified xsi:type="dcterms:W3CDTF">2025-07-07T03:25:55Z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141D2725CAAE4190B940C8C4453F0C7B_13</vt:lpwstr>
  </property>
  <property fmtid="{D5CDD505-2E9C-101B-9397-08002B2CF9AE}" pid="4" name="KSOTemplateDocerSaveRecord">
    <vt:lpwstr>eyJoZGlkIjoiMDkwYWMwNmU5M2RiZGQxNTlkYWQzOTM3MTA3OTQzZWQiLCJ1c2VySWQiOiI2MTc1NjQ0NDAifQ==</vt:lpwstr>
  </property>
</Properties>
</file>