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5B2DD">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1. 与差旅费重叠报销风险</w:t>
      </w:r>
    </w:p>
    <w:p w14:paraId="092E3DEC">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差旅期间同时报销业务招待费和差旅全额餐补</w:t>
      </w:r>
    </w:p>
    <w:p w14:paraId="74FDB721">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在A市出差期间，出现工作所在地B市的业务招待申请</w:t>
      </w:r>
    </w:p>
    <w:p w14:paraId="750BDF36">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因公出差期间，既参加内部业务招待活动，又不合理地领取当天伙食补助费</w:t>
      </w:r>
    </w:p>
    <w:p w14:paraId="0BA77B15">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2. 招待对象频次异常风险</w:t>
      </w:r>
    </w:p>
    <w:p w14:paraId="439C87AC">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一个月内同一部门重复接待同一家公司两次以上</w:t>
      </w:r>
    </w:p>
    <w:p w14:paraId="502E01BC">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同一天由不同人员提单招待同一家公司（疑似集中拆分报账）</w:t>
      </w:r>
    </w:p>
    <w:p w14:paraId="40D012A8">
      <w:pPr>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rPr>
        <w:t>招待对象在短时间内被多次重复接待</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lang w:val="en-US" w:eastAsia="zh-CN"/>
        </w:rPr>
        <w:t>不同部门之间招待同一对象</w:t>
      </w:r>
      <w:r>
        <w:rPr>
          <w:rFonts w:hint="eastAsia" w:ascii="仿宋_GB2312" w:hAnsi="仿宋_GB2312" w:eastAsia="仿宋_GB2312" w:cs="仿宋_GB2312"/>
          <w:sz w:val="30"/>
          <w:szCs w:val="30"/>
          <w:lang w:eastAsia="zh-CN"/>
        </w:rPr>
        <w:t>）</w:t>
      </w:r>
    </w:p>
    <w:p w14:paraId="475CDCA3">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招待对象经营状态异常（招待前或招待后短时间内被注销）</w:t>
      </w:r>
    </w:p>
    <w:p w14:paraId="78F78D82">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3. 招待金额异常风险</w:t>
      </w:r>
    </w:p>
    <w:p w14:paraId="1963AD27">
      <w:pPr>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rPr>
        <w:t>经办人报账金额过高或过于集中</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lang w:val="en-US" w:eastAsia="zh-CN"/>
        </w:rPr>
        <w:t>如人数较多的部门，X经办人占比高达50%或以上内）</w:t>
      </w:r>
    </w:p>
    <w:p w14:paraId="116CAA94">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实际人均支出金额超出申请人均金额</w:t>
      </w:r>
    </w:p>
    <w:p w14:paraId="300A2FD0">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实际人均支出金额超出标准人均金额</w:t>
      </w:r>
    </w:p>
    <w:p w14:paraId="40CF0AC9">
      <w:pPr>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rPr>
        <w:t>商务招待占比过高</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lang w:val="en-US" w:eastAsia="zh-CN"/>
        </w:rPr>
        <w:t>关注同部门内商务占比超35%</w:t>
      </w:r>
      <w:r>
        <w:rPr>
          <w:rFonts w:hint="eastAsia" w:ascii="仿宋_GB2312" w:hAnsi="仿宋_GB2312" w:eastAsia="仿宋_GB2312" w:cs="仿宋_GB2312"/>
          <w:sz w:val="30"/>
          <w:szCs w:val="30"/>
          <w:lang w:eastAsia="zh-CN"/>
        </w:rPr>
        <w:t>）</w:t>
      </w:r>
    </w:p>
    <w:p w14:paraId="49564891">
      <w:pPr>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rPr>
        <w:t>单次招待金额明显超出正常业务范围</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lang w:val="en-US" w:eastAsia="zh-CN"/>
        </w:rPr>
        <w:t>关注单次3500元以上</w:t>
      </w:r>
      <w:r>
        <w:rPr>
          <w:rFonts w:hint="eastAsia" w:ascii="仿宋_GB2312" w:hAnsi="仿宋_GB2312" w:eastAsia="仿宋_GB2312" w:cs="仿宋_GB2312"/>
          <w:sz w:val="30"/>
          <w:szCs w:val="30"/>
          <w:lang w:eastAsia="zh-CN"/>
        </w:rPr>
        <w:t>）</w:t>
      </w:r>
      <w:bookmarkStart w:id="0" w:name="_GoBack"/>
      <w:bookmarkEnd w:id="0"/>
    </w:p>
    <w:p w14:paraId="6707CDDE">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4. 报账时效性风险</w:t>
      </w:r>
    </w:p>
    <w:p w14:paraId="15595C9F">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未在规定时间内及时报账（超过一个月）</w:t>
      </w:r>
    </w:p>
    <w:p w14:paraId="738C890B">
      <w:pPr>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rPr>
        <w:t>招待结束后长时间才进行费用报销</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lang w:val="en-US" w:eastAsia="zh-CN"/>
        </w:rPr>
        <w:t>不能超过一个月</w:t>
      </w:r>
      <w:r>
        <w:rPr>
          <w:rFonts w:hint="eastAsia" w:ascii="仿宋_GB2312" w:hAnsi="仿宋_GB2312" w:eastAsia="仿宋_GB2312" w:cs="仿宋_GB2312"/>
          <w:sz w:val="30"/>
          <w:szCs w:val="30"/>
          <w:lang w:eastAsia="zh-CN"/>
        </w:rPr>
        <w:t>）</w:t>
      </w:r>
    </w:p>
    <w:p w14:paraId="67D9830F">
      <w:pPr>
        <w:rPr>
          <w:rFonts w:hint="eastAsia" w:ascii="仿宋_GB2312" w:hAnsi="仿宋_GB2312" w:eastAsia="仿宋_GB2312" w:cs="仿宋_GB2312"/>
          <w:sz w:val="30"/>
          <w:szCs w:val="30"/>
          <w:lang w:eastAsia="zh-CN"/>
        </w:rPr>
      </w:pPr>
      <w:r>
        <w:rPr>
          <w:rFonts w:hint="eastAsia" w:ascii="仿宋_GB2312" w:hAnsi="仿宋_GB2312" w:eastAsia="仿宋_GB2312" w:cs="仿宋_GB2312"/>
          <w:sz w:val="30"/>
          <w:szCs w:val="30"/>
        </w:rPr>
        <w:t>报账日期与接待日期间隔过长，影响费用真实性核查</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lang w:val="en-US" w:eastAsia="zh-CN"/>
        </w:rPr>
        <w:t>不能超过一个月</w:t>
      </w:r>
      <w:r>
        <w:rPr>
          <w:rFonts w:hint="eastAsia" w:ascii="仿宋_GB2312" w:hAnsi="仿宋_GB2312" w:eastAsia="仿宋_GB2312" w:cs="仿宋_GB2312"/>
          <w:sz w:val="30"/>
          <w:szCs w:val="30"/>
          <w:lang w:eastAsia="zh-CN"/>
        </w:rPr>
        <w:t>）</w:t>
      </w:r>
    </w:p>
    <w:p w14:paraId="2477E9C6">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5. 发票与单据合规性风险</w:t>
      </w:r>
    </w:p>
    <w:p w14:paraId="787CE8DB">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招待发票连号（辅助判断购买发票报销）</w:t>
      </w:r>
    </w:p>
    <w:p w14:paraId="4C15071F">
      <w:pPr>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rPr>
        <w:t>虚开发票、虚构招待事由、伪造招待事项</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lang w:val="en-US" w:eastAsia="zh-CN"/>
        </w:rPr>
        <w:t>判断招待事由与所在部门业务的合理关联性）</w:t>
      </w:r>
    </w:p>
    <w:p w14:paraId="0207B390">
      <w:pPr>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rPr>
        <w:t>对同一招待事项进行拆分报账</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lang w:val="en-US" w:eastAsia="zh-CN"/>
        </w:rPr>
        <w:t>短期内同一招待事项招待同一招待对象）</w:t>
      </w:r>
    </w:p>
    <w:p w14:paraId="01629C74">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报销单据不齐全（如个人垫付资金未提供POS机刷卡单或电子消费凭证</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lang w:val="en-US" w:eastAsia="zh-CN"/>
        </w:rPr>
        <w:t>含支付凭证与支付流水</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w:t>
      </w:r>
    </w:p>
    <w:p w14:paraId="58634584">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6. 审批流程风险</w:t>
      </w:r>
    </w:p>
    <w:p w14:paraId="2B15BADC">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审批程序不符合授权权限和内部控制要求</w:t>
      </w:r>
    </w:p>
    <w:p w14:paraId="25145A65">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审批要件和明细单据不齐全、不完备、不合规</w:t>
      </w:r>
    </w:p>
    <w:p w14:paraId="590C32F1">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招待类型选错导致人均接待超标</w:t>
      </w:r>
    </w:p>
    <w:p w14:paraId="180F58E2">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未履行事前审批程序</w:t>
      </w:r>
    </w:p>
    <w:p w14:paraId="0A3F9C4F">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7. 预算控制风险</w:t>
      </w:r>
    </w:p>
    <w:p w14:paraId="071CD8B8">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超预算或无预算安排支出</w:t>
      </w:r>
    </w:p>
    <w:p w14:paraId="5828AF2F">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超范围、超预算及超定额标准等不符合相关规定</w:t>
      </w:r>
    </w:p>
    <w:p w14:paraId="14B5BE86">
      <w:pPr>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rPr>
        <w:t>预算项目与默认值不一致</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lang w:val="en-US" w:eastAsia="zh-CN"/>
        </w:rPr>
        <w:t>如2026年预算项目必须选这个“办公室2026年业务招待费项目”)</w:t>
      </w:r>
    </w:p>
    <w:p w14:paraId="6D3D85BD">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预算项目与招待申请单预算项目不一致</w:t>
      </w:r>
    </w:p>
    <w:p w14:paraId="54C61CB8">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8. 招待用品管理风险</w:t>
      </w:r>
    </w:p>
    <w:p w14:paraId="066F7938">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违规购买或留存香烟、高档酒水等业务招待用品</w:t>
      </w:r>
    </w:p>
    <w:p w14:paraId="00868470">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违规购买有价证券、贵重物品或高于分档分级标准的纪念品</w:t>
      </w:r>
    </w:p>
    <w:p w14:paraId="33198BCB">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购买月饼、烟花爆竹、花卉、食品等赠送年货节礼</w:t>
      </w:r>
    </w:p>
    <w:p w14:paraId="5F1E4E6B">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领用业务招待用品未及时登记，台账管理不规范</w:t>
      </w:r>
    </w:p>
    <w:p w14:paraId="25A0A494">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9. 支付与报销风险</w:t>
      </w:r>
    </w:p>
    <w:p w14:paraId="145FF7ED">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报账金额大于业务招待申请单预计支出金额</w:t>
      </w:r>
    </w:p>
    <w:p w14:paraId="09593BBA">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报账单的招待日期与申请的招待日期不一致</w:t>
      </w:r>
    </w:p>
    <w:p w14:paraId="322B0832">
      <w:pPr>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rPr>
        <w:t>支付凭证等报账资料违规PS篡改伪造</w:t>
      </w:r>
      <w:r>
        <w:rPr>
          <w:rFonts w:hint="eastAsia" w:ascii="仿宋_GB2312" w:hAnsi="仿宋_GB2312" w:eastAsia="仿宋_GB2312" w:cs="仿宋_GB2312"/>
          <w:sz w:val="30"/>
          <w:szCs w:val="30"/>
          <w:lang w:val="en-US" w:eastAsia="zh-CN"/>
        </w:rPr>
        <w:t>(如支付凭证日期与招待日期不一致，商户单号与交易单号与支付流水里的明细不一致，商户单号与交易单号里面的日期数字与招待日期不一致等情况。</w:t>
      </w:r>
    </w:p>
    <w:p w14:paraId="534BF552">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报账金额与支付金额不一致</w:t>
      </w:r>
    </w:p>
    <w:p w14:paraId="21757EEC">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10. 其他违规行为风险</w:t>
      </w:r>
    </w:p>
    <w:p w14:paraId="336CEC4E">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通过虚报来访人数、天数等报销业务招待费用</w:t>
      </w:r>
    </w:p>
    <w:p w14:paraId="17B290F3">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使用虚假发票报销业务招待费用</w:t>
      </w:r>
    </w:p>
    <w:p w14:paraId="496E5CFD">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报销因私招待费用和个人消费费用</w:t>
      </w:r>
    </w:p>
    <w:p w14:paraId="5586A861">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向下属单位等摊派或转嫁业务招待费用</w:t>
      </w:r>
    </w:p>
    <w:p w14:paraId="5B982259">
      <w:pPr>
        <w:rPr>
          <w:rFonts w:hint="eastAsia" w:ascii="仿宋_GB2312" w:hAnsi="仿宋_GB2312" w:eastAsia="仿宋_GB2312" w:cs="仿宋_GB2312"/>
          <w:b w:val="0"/>
          <w:bCs w:val="0"/>
          <w:sz w:val="30"/>
          <w:szCs w:val="30"/>
          <w:lang w:val="en-US" w:eastAsia="zh-CN"/>
        </w:rPr>
      </w:pPr>
      <w:r>
        <w:rPr>
          <w:rFonts w:hint="eastAsia" w:ascii="仿宋_GB2312" w:hAnsi="仿宋_GB2312" w:eastAsia="仿宋_GB2312" w:cs="仿宋_GB2312"/>
          <w:b w:val="0"/>
          <w:bCs w:val="0"/>
          <w:sz w:val="30"/>
          <w:szCs w:val="30"/>
        </w:rPr>
        <w:t>招待地点与发票销售方名称不一致</w:t>
      </w:r>
      <w:r>
        <w:rPr>
          <w:rFonts w:hint="eastAsia" w:ascii="仿宋_GB2312" w:hAnsi="仿宋_GB2312" w:eastAsia="仿宋_GB2312" w:cs="仿宋_GB2312"/>
          <w:b w:val="0"/>
          <w:bCs w:val="0"/>
          <w:sz w:val="30"/>
          <w:szCs w:val="30"/>
          <w:lang w:eastAsia="zh-CN"/>
        </w:rPr>
        <w:t>（</w:t>
      </w:r>
      <w:r>
        <w:rPr>
          <w:rFonts w:hint="eastAsia" w:ascii="仿宋_GB2312" w:hAnsi="仿宋_GB2312" w:eastAsia="仿宋_GB2312" w:cs="仿宋_GB2312"/>
          <w:b w:val="0"/>
          <w:bCs w:val="0"/>
          <w:sz w:val="30"/>
          <w:szCs w:val="30"/>
          <w:lang w:val="en-US" w:eastAsia="zh-CN"/>
        </w:rPr>
        <w:t>如清城区招待，发票销售方为英德市XX等）</w:t>
      </w:r>
    </w:p>
    <w:p w14:paraId="34E7F212">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11. 节假日招待风险</w:t>
      </w:r>
    </w:p>
    <w:p w14:paraId="04661B96">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国家法定节假日期间（元旦、春节、清明节、劳动节、端午节、中秋节、国庆节）安排业务招待</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rPr>
        <w:t>重大节日前、节日后3个工作日内安排业务招待活动未提前备案</w:t>
      </w:r>
    </w:p>
    <w:p w14:paraId="33E9B6D2">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节日期间业务招待费用异常增长</w:t>
      </w:r>
    </w:p>
    <w:p w14:paraId="61977BD3">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未向同级纪委</w:t>
      </w:r>
      <w:r>
        <w:rPr>
          <w:rFonts w:hint="eastAsia" w:ascii="仿宋_GB2312" w:hAnsi="仿宋_GB2312" w:eastAsia="仿宋_GB2312" w:cs="仿宋_GB2312"/>
          <w:sz w:val="30"/>
          <w:szCs w:val="30"/>
          <w:lang w:val="en-US" w:eastAsia="zh-CN"/>
        </w:rPr>
        <w:t>及办公室</w:t>
      </w:r>
      <w:r>
        <w:rPr>
          <w:rFonts w:hint="eastAsia" w:ascii="仿宋_GB2312" w:hAnsi="仿宋_GB2312" w:eastAsia="仿宋_GB2312" w:cs="仿宋_GB2312"/>
          <w:sz w:val="30"/>
          <w:szCs w:val="30"/>
        </w:rPr>
        <w:t>报</w:t>
      </w:r>
      <w:r>
        <w:rPr>
          <w:rFonts w:hint="eastAsia" w:ascii="仿宋_GB2312" w:hAnsi="仿宋_GB2312" w:eastAsia="仿宋_GB2312" w:cs="仿宋_GB2312"/>
          <w:sz w:val="30"/>
          <w:szCs w:val="30"/>
          <w:lang w:val="en-US" w:eastAsia="zh-CN"/>
        </w:rPr>
        <w:t>备</w:t>
      </w:r>
      <w:r>
        <w:rPr>
          <w:rFonts w:hint="eastAsia" w:ascii="仿宋_GB2312" w:hAnsi="仿宋_GB2312" w:eastAsia="仿宋_GB2312" w:cs="仿宋_GB2312"/>
          <w:sz w:val="30"/>
          <w:szCs w:val="30"/>
        </w:rPr>
        <w:t>节假日业务招待活动</w:t>
      </w:r>
    </w:p>
    <w:p w14:paraId="690EE997">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12. 支付方式违规风险</w:t>
      </w:r>
    </w:p>
    <w:p w14:paraId="29EEA1F5">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支出金额超过5000元的大额业务招待费以现金方式结算</w:t>
      </w:r>
    </w:p>
    <w:p w14:paraId="6D900812">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采取预存费用后续签单消费的方式</w:t>
      </w:r>
    </w:p>
    <w:p w14:paraId="0EA11980">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未使用银行转账、银行卡或互联网支付等可追溯方式</w:t>
      </w:r>
    </w:p>
    <w:p w14:paraId="740618AC">
      <w:pPr>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rPr>
        <w:t>现金支付未提供特殊情况说明</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lang w:val="en-US" w:eastAsia="zh-CN"/>
        </w:rPr>
        <w:t>原则上不使用现金）</w:t>
      </w:r>
    </w:p>
    <w:p w14:paraId="0408B442">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13. 招待清单管理风险</w:t>
      </w:r>
    </w:p>
    <w:p w14:paraId="37DD45D2">
      <w:pPr>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rPr>
        <w:t>不提供招待清单或招待清单不完整</w:t>
      </w: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sz w:val="30"/>
          <w:szCs w:val="30"/>
          <w:lang w:val="en-US" w:eastAsia="zh-CN"/>
        </w:rPr>
        <w:t>此处招待清单主要为申请单里需填写的招待对象，人员，事由，餐标，预计总费用等）</w:t>
      </w:r>
    </w:p>
    <w:p w14:paraId="3A31B69B">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招待清单与实际招待情况不符</w:t>
      </w:r>
    </w:p>
    <w:p w14:paraId="0CBAABD6">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招待清单未包含招待人员、招待事由、招待费用等明细</w:t>
      </w:r>
    </w:p>
    <w:p w14:paraId="32502CCC">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招待清单缺失导致无法核实招待真实性</w:t>
      </w:r>
    </w:p>
    <w:p w14:paraId="5B8E3618">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14. 业务关联性风险</w:t>
      </w:r>
    </w:p>
    <w:p w14:paraId="091ECD37">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业务招待与实际业务往来无关联性</w:t>
      </w:r>
    </w:p>
    <w:p w14:paraId="11E687E1">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招待对象与业务招待事由不匹配</w:t>
      </w:r>
    </w:p>
    <w:p w14:paraId="068C5CB1">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无明确业务目的的招待活动</w:t>
      </w:r>
    </w:p>
    <w:p w14:paraId="2F582EF0">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招待活动与业务合作进度不匹配</w:t>
      </w:r>
    </w:p>
    <w:p w14:paraId="57B39BBF">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15. 地域与陪同人员风险</w:t>
      </w:r>
    </w:p>
    <w:p w14:paraId="7C4BB167">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以业务招待名义变相开展旅游活动</w:t>
      </w:r>
    </w:p>
    <w:p w14:paraId="24B9D99A">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商务招待活动陪同人数过多</w:t>
      </w:r>
    </w:p>
    <w:p w14:paraId="010AF9D3">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陪同人员级别过高或人数过多</w:t>
      </w:r>
    </w:p>
    <w:p w14:paraId="18A2945D">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16. 纪念品管理风险</w:t>
      </w:r>
    </w:p>
    <w:p w14:paraId="6ED140E6">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业务招待活动中赠送现金、购物卡、会员卡、商业预付卡</w:t>
      </w:r>
    </w:p>
    <w:p w14:paraId="0B06215E">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赠送各种有价证券、支付凭证、贵重物品、名贵土特产</w:t>
      </w:r>
    </w:p>
    <w:p w14:paraId="5BE00102">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赠送高于规定标准的纪念品</w:t>
      </w:r>
    </w:p>
    <w:p w14:paraId="2B59049C">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未建立纪念品管理制度，未实行清单管理</w:t>
      </w:r>
    </w:p>
    <w:p w14:paraId="67AC5922">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17. 费用结算时效风险</w:t>
      </w:r>
    </w:p>
    <w:p w14:paraId="336F9EB0">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业务招待所发生的费用未及时结算</w:t>
      </w:r>
    </w:p>
    <w:p w14:paraId="632F6434">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招待结束后长时间未进行费用报销</w:t>
      </w:r>
    </w:p>
    <w:p w14:paraId="3B1E8346">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未在规定时限内完成报账流程</w:t>
      </w:r>
    </w:p>
    <w:p w14:paraId="59C49551">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费用结算与招待时间间隔过长</w:t>
      </w:r>
    </w:p>
    <w:p w14:paraId="2934CE99">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18. 科目核算混淆风险</w:t>
      </w:r>
    </w:p>
    <w:p w14:paraId="48E898C4">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业务招待费与会议费、宣传费、差旅费等科目核算内容混淆</w:t>
      </w:r>
    </w:p>
    <w:p w14:paraId="57033BD4">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以会议、培训、调研等费用名义虚列、隐匿业务招待费用</w:t>
      </w:r>
    </w:p>
    <w:p w14:paraId="11329E22">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业务招待费调剂使用或预提、留存</w:t>
      </w:r>
    </w:p>
    <w:p w14:paraId="6BED404F">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向所属单位摊派或在所属单位列支业务招待费</w:t>
      </w:r>
    </w:p>
    <w:p w14:paraId="349FC751">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19. 审批流程异常风险</w:t>
      </w:r>
    </w:p>
    <w:p w14:paraId="59828E8A">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未履行事前审批程序擅自开展招待活动</w:t>
      </w:r>
    </w:p>
    <w:p w14:paraId="5FB20AFE">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紧急情况下事后补审批未按规定执行</w:t>
      </w:r>
    </w:p>
    <w:p w14:paraId="641B8459">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审批权限超越授权范围</w:t>
      </w:r>
    </w:p>
    <w:p w14:paraId="23A16832">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审批流程不完整或审批意见不明确</w:t>
      </w:r>
    </w:p>
    <w:p w14:paraId="2B3F2DAB">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20. 特殊情况处理风险</w:t>
      </w:r>
    </w:p>
    <w:p w14:paraId="1BA5160F">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对业务招待过程中无法执行相关制度标准的特殊情况未履行内部审批程序</w:t>
      </w:r>
    </w:p>
    <w:p w14:paraId="53D45A6D">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特殊情况未经主要负责人审批同意</w:t>
      </w:r>
    </w:p>
    <w:p w14:paraId="383567FC">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特殊情况未做好备案登记</w:t>
      </w:r>
    </w:p>
    <w:p w14:paraId="3BBD30FD">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特殊情况处理缺乏合理解释和证明材料</w:t>
      </w:r>
    </w:p>
    <w:p w14:paraId="64ABA1E7">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21. 信息公开与监督风险</w:t>
      </w:r>
    </w:p>
    <w:p w14:paraId="0B914437">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业务招待经费的预决算未按规定公开</w:t>
      </w:r>
    </w:p>
    <w:p w14:paraId="6875F4AF">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未通过职工代表大会报告等形式接受职工监督</w:t>
      </w:r>
    </w:p>
    <w:p w14:paraId="5F55E6C6">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负责人未将外事招待年度执行情况作为民主生活会、年度述职述廉内容</w:t>
      </w:r>
    </w:p>
    <w:p w14:paraId="69866E26">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未按规定向同级纪委备案</w:t>
      </w:r>
    </w:p>
    <w:p w14:paraId="7323B335">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22. 系统控制与数据风险</w:t>
      </w:r>
    </w:p>
    <w:p w14:paraId="51D6B0D8">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报账系统稽核规则未有效执行</w:t>
      </w:r>
    </w:p>
    <w:p w14:paraId="7AF37FEF">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系统数据与实际业务情况不符</w:t>
      </w:r>
    </w:p>
    <w:p w14:paraId="0C901682">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电子化审批流程存在漏洞</w:t>
      </w:r>
    </w:p>
    <w:p w14:paraId="4DE6283A">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系统权限设置不合理导致越权操作</w:t>
      </w:r>
    </w:p>
    <w:p w14:paraId="43C07C89">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23. 内部控制机制风险</w:t>
      </w:r>
    </w:p>
    <w:p w14:paraId="03E98184">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业务招待费内控流程不完善</w:t>
      </w:r>
    </w:p>
    <w:p w14:paraId="774D88EB">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关键环节管控要求不明确</w:t>
      </w:r>
    </w:p>
    <w:p w14:paraId="4BBCE8CB">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预算、执行、审批、财务报销等环节缺乏有效衔接</w:t>
      </w:r>
    </w:p>
    <w:p w14:paraId="189CCAAA">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内部监督机制不健全</w:t>
      </w:r>
    </w:p>
    <w:p w14:paraId="1097E091">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24. 人员行为与道德风险</w:t>
      </w:r>
    </w:p>
    <w:p w14:paraId="357EC2E6">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以变通形式报销业务招待费用</w:t>
      </w:r>
    </w:p>
    <w:p w14:paraId="3AC43DB1">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通过虚报来访人数、天数等报销业务招待费用</w:t>
      </w:r>
    </w:p>
    <w:p w14:paraId="53BC6C5B">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报销因私招待费用和个人消费费用</w:t>
      </w:r>
    </w:p>
    <w:p w14:paraId="13C58CB1">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滥用赠送、回馈等手段扰乱市场经营秩序</w:t>
      </w:r>
    </w:p>
    <w:p w14:paraId="6C4468BE">
      <w:pP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25. 合规性与政策风险</w:t>
      </w:r>
    </w:p>
    <w:p w14:paraId="464C607C">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违反中央八项规定精神开展业务招待活动</w:t>
      </w:r>
    </w:p>
    <w:p w14:paraId="0A386C30">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用公款开展相互走访、送礼、宴请等拜年活动</w:t>
      </w:r>
    </w:p>
    <w:p w14:paraId="0AEFF596">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上下级单位之间、单位内部各部门之间用公款送礼</w:t>
      </w:r>
    </w:p>
    <w:p w14:paraId="43878370">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业务招待标准超出国家或公司规定限额</w:t>
      </w:r>
    </w:p>
    <w:p w14:paraId="51ADC5D5">
      <w:pPr>
        <w:rPr>
          <w:rFonts w:hint="eastAsia" w:ascii="仿宋_GB2312" w:hAnsi="仿宋_GB2312" w:eastAsia="仿宋_GB2312" w:cs="仿宋_GB2312"/>
          <w:sz w:val="30"/>
          <w:szCs w:val="30"/>
        </w:rPr>
      </w:pPr>
    </w:p>
    <w:p w14:paraId="15072DDC">
      <w:pPr>
        <w:rPr>
          <w:rFonts w:hint="eastAsia" w:ascii="仿宋_GB2312" w:hAnsi="仿宋_GB2312" w:eastAsia="仿宋_GB2312" w:cs="仿宋_GB2312"/>
          <w:sz w:val="30"/>
          <w:szCs w:val="30"/>
          <w:lang w:val="en-US" w:eastAsia="zh-CN"/>
        </w:rPr>
      </w:pPr>
    </w:p>
    <w:p w14:paraId="56EDFEEA">
      <w:pPr>
        <w:rPr>
          <w:rFonts w:hint="eastAsia" w:ascii="仿宋_GB2312" w:hAnsi="仿宋_GB2312" w:eastAsia="仿宋_GB2312" w:cs="仿宋_GB2312"/>
          <w:sz w:val="30"/>
          <w:szCs w:val="30"/>
          <w:lang w:val="en-US" w:eastAsia="zh-CN"/>
        </w:rPr>
      </w:pPr>
    </w:p>
    <w:p w14:paraId="0E55F9EB">
      <w:pPr>
        <w:rPr>
          <w:rFonts w:hint="eastAsia" w:ascii="仿宋_GB2312" w:hAnsi="仿宋_GB2312" w:eastAsia="仿宋_GB2312" w:cs="仿宋_GB2312"/>
          <w:sz w:val="30"/>
          <w:szCs w:val="30"/>
          <w:lang w:val="en-US" w:eastAsia="zh-CN"/>
        </w:rPr>
      </w:pPr>
    </w:p>
    <w:p w14:paraId="30FA0EE5">
      <w:pPr>
        <w:rPr>
          <w:rFonts w:hint="eastAsia" w:ascii="仿宋_GB2312" w:hAnsi="仿宋_GB2312" w:eastAsia="仿宋_GB2312" w:cs="仿宋_GB2312"/>
          <w:sz w:val="30"/>
          <w:szCs w:val="30"/>
          <w:lang w:val="en-US" w:eastAsia="zh-CN"/>
        </w:rPr>
      </w:pPr>
      <w:r>
        <w:rPr>
          <w:rFonts w:hint="eastAsia" w:ascii="仿宋_GB2312" w:hAnsi="仿宋_GB2312" w:eastAsia="仿宋_GB2312" w:cs="仿宋_GB2312"/>
          <w:sz w:val="30"/>
          <w:szCs w:val="30"/>
          <w:lang w:val="en-US" w:eastAsia="zh-CN"/>
        </w:rPr>
        <w:t>思考......</w:t>
      </w:r>
    </w:p>
    <w:p w14:paraId="03C54E49">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系统控制角度</w:t>
      </w:r>
    </w:p>
    <w:p w14:paraId="3FB3BC2F">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内部控制角度</w:t>
      </w:r>
    </w:p>
    <w:p w14:paraId="65F9EB0B">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合规性角度</w:t>
      </w:r>
    </w:p>
    <w:p w14:paraId="158219E0">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业务合理性角度</w:t>
      </w:r>
    </w:p>
    <w:p w14:paraId="4D8B2FAF">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财务核算角度</w:t>
      </w:r>
    </w:p>
    <w:p w14:paraId="5F381BF5">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审计监督角度</w:t>
      </w:r>
    </w:p>
    <w:p w14:paraId="73B4066F">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人员行为角度</w:t>
      </w:r>
    </w:p>
    <w:p w14:paraId="6CC9555D">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时间节点角度</w:t>
      </w:r>
    </w:p>
    <w:p w14:paraId="7DE3E2D7">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地域因素角度</w:t>
      </w:r>
    </w:p>
    <w:p w14:paraId="33C4DCF3">
      <w:pPr>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业务关联性角度</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5B2D22"/>
    <w:rsid w:val="12DA5E45"/>
    <w:rsid w:val="1ADE3DD2"/>
    <w:rsid w:val="64707674"/>
    <w:rsid w:val="6F43180F"/>
    <w:rsid w:val="7D7B2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2026-07-09T01:29:00Z</dcterms:created>
  <dc:creator>Administrator</dc:creator>
  <cp:lastModifiedBy>Administrator</cp:lastModifiedBy>
  <dcterms:modified xsi:type="dcterms:W3CDTF">2026-07-10T06:22:31Z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9A54279C0E774F7E90B46601F631F30A_13</vt:lpwstr>
  </property>
</Properties>
</file>