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Yale SOM Greater China Club — US–China Business Summit 2027</w:t>
      </w:r>
    </w:p>
    <w:p>
      <w:r>
        <w:rPr>
          <w:b/>
        </w:rPr>
        <w:t>耶鲁管理学院大中华俱乐部 · 中美商业峰会 2027</w:t>
      </w:r>
    </w:p>
    <w:p>
      <w:r>
        <w:rPr>
          <w:b w:val="0"/>
        </w:rPr>
        <w:t>Planning Proposal — v2 (updated 10/12/2026 by Sophia &amp; Mia)</w:t>
      </w:r>
    </w:p>
    <w:p>
      <w:pPr>
        <w:pStyle w:val="Heading1"/>
      </w:pPr>
      <w:r>
        <w:t>1. Event basics /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Date / 日期</w:t>
            </w:r>
          </w:p>
        </w:tc>
        <w:tc>
          <w:tcPr>
            <w:tcW w:type="dxa" w:w="4320"/>
          </w:tcPr>
          <w:p>
            <w:r>
              <w:t>Saturday, April 10, 2027  /  2027年4月10日（星期六）</w:t>
            </w:r>
          </w:p>
        </w:tc>
      </w:tr>
      <w:tr>
        <w:tc>
          <w:tcPr>
            <w:tcW w:type="dxa" w:w="4320"/>
          </w:tcPr>
          <w:p>
            <w:r>
              <w:t>Time / 时间</w:t>
            </w:r>
          </w:p>
        </w:tc>
        <w:tc>
          <w:tcPr>
            <w:tcW w:type="dxa" w:w="4320"/>
          </w:tcPr>
          <w:p>
            <w:r>
              <w:t>9:00 AM – 5:30 PM; Gala Dinner 6:30 PM – 9:00 PM</w:t>
            </w:r>
          </w:p>
        </w:tc>
      </w:tr>
      <w:tr>
        <w:tc>
          <w:tcPr>
            <w:tcW w:type="dxa" w:w="4320"/>
          </w:tcPr>
          <w:p>
            <w:r>
              <w:t>Venue / 地点</w:t>
            </w:r>
          </w:p>
        </w:tc>
        <w:tc>
          <w:tcPr>
            <w:tcW w:type="dxa" w:w="4320"/>
          </w:tcPr>
          <w:p>
            <w:r>
              <w:t>Evans Hall, Yale School of Management, 165 Whitney Avenue, New Haven, CT 06511 (gala dinner in the Evans Hall atrium)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https://gcsummit-yale.example.org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team@gcsummit-yale.example.org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Student $25 · Alumni &amp; General $60 · Gala Dinner add-on $120</w:t>
            </w:r>
          </w:p>
        </w:tc>
      </w:tr>
      <w:tr>
        <w:tc>
          <w:tcPr>
            <w:tcW w:type="dxa" w:w="4320"/>
          </w:tcPr>
          <w:p>
            <w:r>
              <w:t>Guest policy</w:t>
            </w:r>
          </w:p>
        </w:tc>
        <w:tc>
          <w:tcPr>
            <w:tcW w:type="dxa" w:w="4320"/>
          </w:tcPr>
          <w:p>
            <w:r>
              <w:t>Registration required for everyone. Each registered attendee may bring one guest; guests must register in advance under their own name. Gala dinner capped at 150 seats.</w:t>
            </w:r>
          </w:p>
        </w:tc>
      </w:tr>
      <w:tr>
        <w:tc>
          <w:tcPr>
            <w:tcW w:type="dxa" w:w="4320"/>
          </w:tcPr>
          <w:p>
            <w:r>
              <w:t>Theme / 主题</w:t>
            </w:r>
          </w:p>
        </w:tc>
        <w:tc>
          <w:tcPr>
            <w:tcW w:type="dxa" w:w="4320"/>
          </w:tcPr>
          <w:p>
            <w:r>
              <w:t>Bridging Markets in a Fragmented World / 分化时代的连接者</w:t>
            </w:r>
          </w:p>
        </w:tc>
      </w:tr>
    </w:tbl>
    <w:p/>
    <w:p>
      <w:pPr>
        <w:pStyle w:val="Heading1"/>
      </w:pPr>
      <w:r>
        <w:t>2. Draft agenda / 议程草案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Speaker(s) / slot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Slot status</w:t>
            </w:r>
          </w:p>
        </w:tc>
      </w:tr>
      <w:tr>
        <w:tc>
          <w:tcPr>
            <w:tcW w:type="dxa" w:w="2160"/>
          </w:tcPr>
          <w:p>
            <w:r>
              <w:t>8:30–9:00</w:t>
            </w:r>
          </w:p>
        </w:tc>
        <w:tc>
          <w:tcPr>
            <w:tcW w:type="dxa" w:w="2160"/>
          </w:tcPr>
          <w:p>
            <w:r>
              <w:t>Registration &amp; breakfast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9:00–9:15</w:t>
            </w:r>
          </w:p>
        </w:tc>
        <w:tc>
          <w:tcPr>
            <w:tcW w:type="dxa" w:w="2160"/>
          </w:tcPr>
          <w:p>
            <w:r>
              <w:t>Opening remarks</w:t>
            </w:r>
          </w:p>
        </w:tc>
        <w:tc>
          <w:tcPr>
            <w:tcW w:type="dxa" w:w="2160"/>
          </w:tcPr>
          <w:p>
            <w:r>
              <w:t>Prof. Weilin Huang (黄老师)</w:t>
            </w:r>
          </w:p>
        </w:tc>
        <w:tc>
          <w:tcPr>
            <w:tcW w:type="dxa" w:w="2160"/>
          </w:tcPr>
          <w:p>
            <w:r>
              <w:t>Filled</w:t>
            </w:r>
          </w:p>
        </w:tc>
      </w:tr>
      <w:tr>
        <w:tc>
          <w:tcPr>
            <w:tcW w:type="dxa" w:w="2160"/>
          </w:tcPr>
          <w:p>
            <w:r>
              <w:t>9:15–10:00</w:t>
            </w:r>
          </w:p>
        </w:tc>
        <w:tc>
          <w:tcPr>
            <w:tcW w:type="dxa" w:w="2160"/>
          </w:tcPr>
          <w:p>
            <w:r>
              <w:t>Keynote I: Storage, supply chains &amp; the US–China grid race</w:t>
            </w:r>
          </w:p>
        </w:tc>
        <w:tc>
          <w:tcPr>
            <w:tcW w:type="dxa" w:w="2160"/>
          </w:tcPr>
          <w:p>
            <w:r>
              <w:t>林嘉明 Jiaming Lin, CEO, Northgrid Storage</w:t>
            </w:r>
          </w:p>
        </w:tc>
        <w:tc>
          <w:tcPr>
            <w:tcW w:type="dxa" w:w="2160"/>
          </w:tcPr>
          <w:p>
            <w:r>
              <w:t>Filled</w:t>
            </w:r>
          </w:p>
        </w:tc>
      </w:tr>
      <w:tr>
        <w:tc>
          <w:tcPr>
            <w:tcW w:type="dxa" w:w="2160"/>
          </w:tcPr>
          <w:p>
            <w:r>
              <w:t>10:15–11:15</w:t>
            </w:r>
          </w:p>
        </w:tc>
        <w:tc>
          <w:tcPr>
            <w:tcW w:type="dxa" w:w="2160"/>
          </w:tcPr>
          <w:p>
            <w:r>
              <w:t>Panel A: Cross-border Capital &amp; Climate Investing</w:t>
            </w:r>
          </w:p>
        </w:tc>
        <w:tc>
          <w:tcPr>
            <w:tcW w:type="dxa" w:w="2160"/>
          </w:tcPr>
          <w:p>
            <w:r>
              <w:t>Mod: Prof. Huang; Yawen Chen (Lumenfield Capital), Hao Sun (Redpine Ventures), Marcus Feng (Solaris Bay Energy)</w:t>
            </w:r>
          </w:p>
        </w:tc>
        <w:tc>
          <w:tcPr>
            <w:tcW w:type="dxa" w:w="2160"/>
          </w:tcPr>
          <w:p>
            <w:r>
              <w:t>2 of 3 panelists open</w:t>
            </w:r>
          </w:p>
        </w:tc>
      </w:tr>
      <w:tr>
        <w:tc>
          <w:tcPr>
            <w:tcW w:type="dxa" w:w="2160"/>
          </w:tcPr>
          <w:p>
            <w:r>
              <w:t>11:30–12:30</w:t>
            </w:r>
          </w:p>
        </w:tc>
        <w:tc>
          <w:tcPr>
            <w:tcW w:type="dxa" w:w="2160"/>
          </w:tcPr>
          <w:p>
            <w:r>
              <w:t>Panel B: Consumer Brands Going Global (出海)</w:t>
            </w:r>
          </w:p>
        </w:tc>
        <w:tc>
          <w:tcPr>
            <w:tcW w:type="dxa" w:w="2160"/>
          </w:tcPr>
          <w:p>
            <w:r>
              <w:t>Mod: Emily Kwan (Pacific Ledger); Catherine Lau (Brightwater Securities), 何美玲 (Jade Lotus Tea), 1 TBD</w:t>
            </w:r>
          </w:p>
        </w:tc>
        <w:tc>
          <w:tcPr>
            <w:tcW w:type="dxa" w:w="2160"/>
          </w:tcPr>
          <w:p>
            <w:r>
              <w:t>Moderator + 2 panelists open</w:t>
            </w:r>
          </w:p>
        </w:tc>
      </w:tr>
      <w:tr>
        <w:tc>
          <w:tcPr>
            <w:tcW w:type="dxa" w:w="2160"/>
          </w:tcPr>
          <w:p>
            <w:r>
              <w:t>12:30–13:45</w:t>
            </w:r>
          </w:p>
        </w:tc>
        <w:tc>
          <w:tcPr>
            <w:tcW w:type="dxa" w:w="2160"/>
          </w:tcPr>
          <w:p>
            <w:r>
              <w:t>Lunch &amp; alumni networking</w:t>
            </w:r>
          </w:p>
        </w:tc>
        <w:tc>
          <w:tcPr>
            <w:tcW w:type="dxa" w:w="2160"/>
          </w:tcPr>
          <w:p>
            <w:r>
              <w:t>Alumni host: Peter 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14:00–14:45</w:t>
            </w:r>
          </w:p>
        </w:tc>
        <w:tc>
          <w:tcPr>
            <w:tcW w:type="dxa" w:w="2160"/>
          </w:tcPr>
          <w:p>
            <w:r>
              <w:t>Keynote II — fireside chat</w:t>
            </w:r>
          </w:p>
        </w:tc>
        <w:tc>
          <w:tcPr>
            <w:tcW w:type="dxa" w:w="2160"/>
          </w:tcPr>
          <w:p>
            <w:r>
              <w:t>TARGET: 王立群 Liqun Wang (Tianhe Consumer Group) — only via Dr. Arthur Leung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15:00–16:00</w:t>
            </w:r>
          </w:p>
        </w:tc>
        <w:tc>
          <w:tcPr>
            <w:tcW w:type="dxa" w:w="2160"/>
          </w:tcPr>
          <w:p>
            <w:r>
              <w:t>Panel C: AI &amp; Tech Supply Chains</w:t>
            </w:r>
          </w:p>
        </w:tc>
        <w:tc>
          <w:tcPr>
            <w:tcW w:type="dxa" w:w="2160"/>
          </w:tcPr>
          <w:p>
            <w:r>
              <w:t>Siyuan Zhao declined — need 3 new panelists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16:15–17:00</w:t>
            </w:r>
          </w:p>
        </w:tc>
        <w:tc>
          <w:tcPr>
            <w:tcW w:type="dxa" w:w="2160"/>
          </w:tcPr>
          <w:p>
            <w:r>
              <w:t>Career workshop / alumni office hours</w:t>
            </w:r>
          </w:p>
        </w:tc>
        <w:tc>
          <w:tcPr>
            <w:tcW w:type="dxa" w:w="2160"/>
          </w:tcPr>
          <w:p>
            <w:r>
              <w:t>Club officers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17:00–17:30</w:t>
            </w:r>
          </w:p>
        </w:tc>
        <w:tc>
          <w:tcPr>
            <w:tcW w:type="dxa" w:w="2160"/>
          </w:tcPr>
          <w:p>
            <w:r>
              <w:t>Closing + GCC Alumni Impact Award</w:t>
            </w:r>
          </w:p>
        </w:tc>
        <w:tc>
          <w:tcPr>
            <w:tcW w:type="dxa" w:w="2160"/>
          </w:tcPr>
          <w:p>
            <w:r>
              <w:t>Award presenter: Sophia Liang</w:t>
            </w:r>
          </w:p>
        </w:tc>
        <w:tc>
          <w:tcPr>
            <w:tcW w:type="dxa" w:w="2160"/>
          </w:tcPr>
          <w:p>
            <w:r>
              <w:t>Nominee pending</w:t>
            </w:r>
          </w:p>
        </w:tc>
      </w:tr>
      <w:tr>
        <w:tc>
          <w:tcPr>
            <w:tcW w:type="dxa" w:w="2160"/>
          </w:tcPr>
          <w:p>
            <w:r>
              <w:t>18:30–21:00</w:t>
            </w:r>
          </w:p>
        </w:tc>
        <w:tc>
          <w:tcPr>
            <w:tcW w:type="dxa" w:w="2160"/>
          </w:tcPr>
          <w:p>
            <w:r>
              <w:t>Gala Dinner (by ticket)</w:t>
            </w:r>
          </w:p>
        </w:tc>
        <w:tc>
          <w:tcPr>
            <w:tcW w:type="dxa" w:w="2160"/>
          </w:tcPr>
          <w:p>
            <w:r>
              <w:t>Guest of honor: Dr. Arthur Leung</w:t>
            </w:r>
          </w:p>
        </w:tc>
        <w:tc>
          <w:tcPr>
            <w:tcW w:type="dxa" w:w="2160"/>
          </w:tcPr>
          <w:p>
            <w:r>
              <w:t>Filled</w:t>
            </w:r>
          </w:p>
        </w:tc>
      </w:tr>
    </w:tbl>
    <w:p/>
    <w:p>
      <w:pPr>
        <w:pStyle w:val="Heading1"/>
      </w:pPr>
      <w:r>
        <w:t>3. Slots we still need / 待落实</w:t>
      </w:r>
    </w:p>
    <w:p>
      <w:pPr>
        <w:pStyle w:val="ListBullet"/>
      </w:pPr>
      <w:r>
        <w:t>Keynote II (fireside chat) — dream ask is 王立群 Liqun Wang. Do NOT cold email; Kevin asks Dr. Arthur Leung (SOM Board of Advisors) at the 10/20 board dinner.</w:t>
      </w:r>
    </w:p>
    <w:p>
      <w:pPr>
        <w:pStyle w:val="ListBullet"/>
      </w:pPr>
      <w:r>
        <w:t>Panel B moderator backup if Emily Kwan does not reply by 10/25.</w:t>
      </w:r>
    </w:p>
    <w:p>
      <w:pPr>
        <w:pStyle w:val="ListBullet"/>
      </w:pPr>
      <w:r>
        <w:t>Panel C — three panelists (AI hardware / robotics / supply chain). Talent scout needed.</w:t>
      </w:r>
    </w:p>
    <w:p>
      <w:pPr>
        <w:pStyle w:val="ListBullet"/>
      </w:pPr>
      <w:r>
        <w:t>Rising Star Award nominee (Siyuan Zhao withdrew).</w:t>
      </w:r>
    </w:p>
    <w:p>
      <w:pPr>
        <w:pStyle w:val="ListBullet"/>
      </w:pPr>
      <w:r>
        <w:t>One more Gold-level sponsor.</w:t>
      </w:r>
    </w:p>
    <w:p>
      <w:pPr>
        <w:pStyle w:val="Heading1"/>
      </w:pPr>
      <w:r>
        <w:t>4. Team &amp; roles / 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Owns</w:t>
            </w:r>
          </w:p>
        </w:tc>
      </w:tr>
      <w:tr>
        <w:tc>
          <w:tcPr>
            <w:tcW w:type="dxa" w:w="2880"/>
          </w:tcPr>
          <w:p>
            <w:r>
              <w:t>Sophia Liang 梁思雅</w:t>
            </w:r>
          </w:p>
        </w:tc>
        <w:tc>
          <w:tcPr>
            <w:tcW w:type="dxa" w:w="2880"/>
          </w:tcPr>
          <w:p>
            <w:r>
              <w:t>Co-President</w:t>
            </w:r>
          </w:p>
        </w:tc>
        <w:tc>
          <w:tcPr>
            <w:tcW w:type="dxa" w:w="2880"/>
          </w:tcPr>
          <w:p>
            <w:r>
              <w:t>Overall lead; Dean's office; Alumni Impact Award; Peter Ng</w:t>
            </w:r>
          </w:p>
        </w:tc>
      </w:tr>
      <w:tr>
        <w:tc>
          <w:tcPr>
            <w:tcW w:type="dxa" w:w="2880"/>
          </w:tcPr>
          <w:p>
            <w:r>
              <w:t>Kevin Zhou 周凯文</w:t>
            </w:r>
          </w:p>
        </w:tc>
        <w:tc>
          <w:tcPr>
            <w:tcW w:type="dxa" w:w="2880"/>
          </w:tcPr>
          <w:p>
            <w:r>
              <w:t>Co-President (also VP Partnerships, Energy Club)</w:t>
            </w:r>
          </w:p>
        </w:tc>
        <w:tc>
          <w:tcPr>
            <w:tcW w:type="dxa" w:w="2880"/>
          </w:tcPr>
          <w:p>
            <w:r>
              <w:t>Sponsorship; Keynote I (Jiaming Lin); Arthur Leung → Liqun Wang route; Hao Sun</w:t>
            </w:r>
          </w:p>
        </w:tc>
      </w:tr>
      <w:tr>
        <w:tc>
          <w:tcPr>
            <w:tcW w:type="dxa" w:w="2880"/>
          </w:tcPr>
          <w:p>
            <w:r>
              <w:t>Mia Tang 唐米娅</w:t>
            </w:r>
          </w:p>
        </w:tc>
        <w:tc>
          <w:tcPr>
            <w:tcW w:type="dxa" w:w="2880"/>
          </w:tcPr>
          <w:p>
            <w:r>
              <w:t>VP Speakers</w:t>
            </w:r>
          </w:p>
        </w:tc>
        <w:tc>
          <w:tcPr>
            <w:tcW w:type="dxa" w:w="2880"/>
          </w:tcPr>
          <w:p>
            <w:r>
              <w:t>Panels A–C, moderators, speaker logistics</w:t>
            </w:r>
          </w:p>
        </w:tc>
      </w:tr>
      <w:tr>
        <w:tc>
          <w:tcPr>
            <w:tcW w:type="dxa" w:w="2880"/>
          </w:tcPr>
          <w:p>
            <w:r>
              <w:t>Tony Xu 徐天宇</w:t>
            </w:r>
          </w:p>
        </w:tc>
        <w:tc>
          <w:tcPr>
            <w:tcW w:type="dxa" w:w="2880"/>
          </w:tcPr>
          <w:p>
            <w:r>
              <w:t>VP Marketing</w:t>
            </w:r>
          </w:p>
        </w:tc>
        <w:tc>
          <w:tcPr>
            <w:tcW w:type="dxa" w:w="2880"/>
          </w:tcPr>
          <w:p>
            <w:r>
              <w:t>Flyer, website, WeChat official account, agency contacts</w:t>
            </w:r>
          </w:p>
        </w:tc>
      </w:tr>
      <w:tr>
        <w:tc>
          <w:tcPr>
            <w:tcW w:type="dxa" w:w="2880"/>
          </w:tcPr>
          <w:p>
            <w:r>
              <w:t>Rachel Wu 吴瑞秋</w:t>
            </w:r>
          </w:p>
        </w:tc>
        <w:tc>
          <w:tcPr>
            <w:tcW w:type="dxa" w:w="2880"/>
          </w:tcPr>
          <w:p>
            <w:r>
              <w:t>VP Finance (also Treasurer, Energy Club)</w:t>
            </w:r>
          </w:p>
        </w:tc>
        <w:tc>
          <w:tcPr>
            <w:tcW w:type="dxa" w:w="2880"/>
          </w:tcPr>
          <w:p>
            <w:r>
              <w:t>Budget, reimbursements, ticketing</w:t>
            </w:r>
          </w:p>
        </w:tc>
      </w:tr>
    </w:tbl>
    <w:p/>
    <w:p>
      <w:pPr>
        <w:pStyle w:val="Heading1"/>
      </w:pPr>
      <w:r>
        <w:t>5. Timeline</w:t>
      </w:r>
    </w:p>
    <w:p>
      <w:pPr>
        <w:pStyle w:val="ListBullet"/>
      </w:pPr>
      <w:r>
        <w:t>Oct 2026 — lock keynotes and Panel A; send sponsorship package.</w:t>
      </w:r>
    </w:p>
    <w:p>
      <w:pPr>
        <w:pStyle w:val="ListBullet"/>
      </w:pPr>
      <w:r>
        <w:t>Nov 2026 — open ticketing; finalize Panels B and C.</w:t>
      </w:r>
    </w:p>
    <w:p>
      <w:pPr>
        <w:pStyle w:val="ListBullet"/>
      </w:pPr>
      <w:r>
        <w:t>Jan 2027 — publish full speaker list; WeChat + LinkedIn campaign.</w:t>
      </w:r>
    </w:p>
    <w:p>
      <w:pPr>
        <w:pStyle w:val="ListBullet"/>
      </w:pPr>
      <w:r>
        <w:t>Mar 2027 — run-of-show, speaker briefings, gala seating.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Liang</dc:creator>
  <cp:keywords/>
  <dc:description>generated by python-docx</dc:description>
  <cp:lastModifiedBy>Sophia Liang</cp:lastModifiedBy>
  <cp:revision>1</cp:revision>
  <dcterms:created xsi:type="dcterms:W3CDTF">2026-10-12T09:00:00Z</dcterms:created>
  <dcterms:modified xsi:type="dcterms:W3CDTF">2026-10-12T09:00:00Z</dcterms:modified>
  <cp:category/>
</cp:coreProperties>
</file>