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Times New Roman" w:cs="Times New Roman" w:eastAsia="SimSun" w:hAnsi="Times New Roman"/>
          <w:b/>
          <w:bCs/>
          <w:color w:val="1F3864"/>
          <w:sz w:val="36"/>
          <w:szCs w:val="36"/>
        </w:rPr>
        <w:t xml:space="preserve">支撑材料：智能识别系统操作手册与优化路径总结</w:t>
      </w:r>
    </w:p>
    <w:p>
      <w:pPr>
        <w:spacing w:after="400"/>
        <w:jc w:val="center"/>
      </w:pPr>
      <w:r>
        <w:rPr>
          <w:rFonts w:ascii="Times New Roman" w:cs="Times New Roman" w:eastAsia="SimSun" w:hAnsi="Times New Roman"/>
          <w:color w:val="7F8C9B"/>
          <w:sz w:val="22"/>
          <w:szCs w:val="22"/>
        </w:rPr>
        <w:t xml:space="preserve">挑战杯“揭榜挂帅”XH-202626 · 科创企业特有风险的识别与管理 · 附件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1F3864"/>
          <w:sz w:val="30"/>
          <w:szCs w:val="30"/>
        </w:rPr>
        <w:t xml:space="preserve">目录</w:t>
      </w:r>
    </w:p>
    <w:p>
      <w:pPr>
        <w:spacing w:after="120"/>
      </w:pPr>
      <w:r>
        <w:rPr>
          <w:rFonts w:ascii="Times New Roman" w:cs="Times New Roman" w:eastAsia="SimSun" w:hAnsi="Times New Roman"/>
          <w:i/>
          <w:iCs/>
          <w:color w:val="7F8C9B"/>
          <w:sz w:val="21"/>
          <w:szCs w:val="21"/>
        </w:rPr>
        <w:t xml:space="preserve">右键目录并选择"更新域"可刷新页码。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一、系统操作手册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系统启动与环境要求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功能页面操作指南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1.3 应急预案与系统维护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二、系统优化路径总结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优化总览：四轮迭代时间线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第一轮：美股评分准确性优化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第二轮：A股流水线适配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2.4 第三轮：A股财年定义与下载指南完善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2.5 第四轮：系统稳定性与容灾加固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2.6 优化成效汇总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3864"/>
          <w:sz w:val="30"/>
          <w:szCs w:val="30"/>
        </w:rPr>
        <w:t xml:space="preserve">一、系统操作手册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本系统为"科创企业折旧风险智能识别系统"（Streamlit Web 应用），覆盖美股 10 家科技公司（SEC EDGAR 10-K）与中国 A 股 6 家上市公司（巨潮资讯网年报）的双市场折旧风险识别，包含总览热力图、公司画像、跨年轨迹、敏感性分析、方法论说明、实时评分、智能标注七个功能页面（P1–P7）。本手册说明系统的启动方式与核心页面的标准操作流程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1.1 系统启动与环境要求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运行环境：Windows 10/11，Python 3.10+，依赖见项目 requirements；浏览器推荐 Chrome/Edge，分辨率 1920×1080。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启动方式：进入项目根目录，双击 start.bat；终端显示 "You can now view your Streamlit app in your browser." 后，浏览器自动打开 http://localhost:8501 即启动成功。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数据完整性确认：启动前确认 data/raw/us_财报/ 下 30 份美股 10-K HTML、data/raw/cn_财报/ 下 18 份 A 股年报 PDF 齐全（详见 2.5 节防误删备份机制）。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1.2 功能页面操作指南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1.2.1 P1 总览热力图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左侧导航栏选择"P1 · 总览热力图"。页面展示 10 家公司 × 3 个财年的五维综合评分全景，横轴为公司、纵轴为财年，颜色越深风险越高。鼠标悬停任一格子可查看该公司该财年的具体分值。评分排序由模型自动生成，无人工调整。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1.2.2 P2 公司画像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左侧导航栏选择"P2 · 公司画像"，在页面顶部下拉框选择目标公司。页面展示该公司五维雷达图（假设激进度、资产敞口、行业对比、信号强度、审计风险）与风险信号列表；点击任意一条风险信号可展开查看英文原文、所在行号与推断链，实现"证据先行、评分有据"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1.2.3 P6 实时评分演示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左侧导航栏选择"P6 · 实时评分演示"，页面顶部"演示模式"选择【自定义指标输入】。该页面用于演示单变量敏感性，两组标准演示操作如下。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演示一（折旧年限变更效应）：将"当期是否延长折旧年限"设为"否(0)"，其余参数保持默认，点击"▶ 运行实时评分"，系统输出综合评分 4.29（中高风险）；仅将该变量改回"是(1)"再次运行，评分跳升至 4.41（高风险）。0.12 分的跳升与面板实证发现一致：8 个变更年均分 4.25，显著高于 22 个非变更年的 3.43。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演示二（资本敞口效应）：保持"延长折旧年限 = 是"，将"资本开支 / 营收"从 0.25 改为 0.10 运行，评分降至约 3.64（中高风险）；改回 0.25 再次运行，评分回到约 4.41（高风险），风险等级徽章由橙色变为红色。该演示直观呈现核心公式：风险 = 假设激进度 × 资产敞口；资本开支强度亦为 SHAP 分析排名第一的驱动因素。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1.2.4 P7 智能标注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左侧导航栏选择"P7 · 智能标注"。页面提供两类输入模式：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美股模式：选择"手动输入 Ticker（美股）"，输入股票代码（如 AMD）与财年，或选择已有公司；系统自动从 SEC EDGAR 获取 10-K 原文。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A股模式：选择"A股年报（上传 PDF）"，上传从巨潮资讯网下载的年度报告 PDF 并输入股票代码。页面上方设有 6 家 A 股样本公司快速选择卡片。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点击"▶ 启动智能标注流水线"后，系统执行六步流水线：①获取年报原文 → ②关键词矩阵定位候选段落（五级检索体系）→ ③DeepSeek 草拟证据链与维度评分 → ④程序逐字验真 → ⑤规则引擎硬规则修正 → ⑥输出五维评分与完整证据链。全程约 1–5 分钟（视网络与是否命中缓存而定）。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1.3 应急预案与系统维护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P7 美股自动下载失败：改用"上传本地 10-K HTML"模式，上传预先准备的年报 HTML 文件后运行。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缓存管理：P7 页面提供 Python 缓存 / 财报缓存 / AI 缓存三类清除按钮；调试规则引擎后如需重跑 AI 标注，清除对应 AI 缓存即可。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财报备份：P7 页面"财报备份（防误删双保险）"区域实时显示主目录与备份目录文件数量对比，点击"📦 备份"执行增量备份；亦可运行 scripts/backup_filings.py（支持 --dry-run 预览与 --verify 完整性校验）。</w:t>
      </w:r>
    </w:p>
    <w:p>
      <w:pPr>
        <w:pStyle w:val="Heading1"/>
        <w:spacing w:after="140" w:before="320"/>
      </w:pPr>
      <w:r>
        <w:rPr>
          <w:rFonts w:ascii="Times New Roman" w:cs="Times New Roman" w:eastAsia="SimSun" w:hAnsi="Times New Roman"/>
          <w:b/>
          <w:bCs/>
          <w:color w:val="1F3864"/>
          <w:sz w:val="30"/>
          <w:szCs w:val="30"/>
        </w:rPr>
        <w:t xml:space="preserve">二、系统优化路径总结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系统开发后期，针对 P7 智能标注模块在实测中暴露的评分偏差、稳定性与工程化问题，团队于 2026 年 8 月 18–19 日完成四轮迭代优化。优化过程遵循"发现问题 → 诊断根因 → 方案取舍 → 实施验证"的工程闭环，全程留有测试记录与版本备案。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2.1 优化总览：四轮迭代时间线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200"/>
        <w:gridCol w:w="1300"/>
      </w:tblGrid>
      <w:tr>
        <w:tc>
          <w:tcPr>
            <w:tcW w:type="dxa" w:w="15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轮次</w:t>
            </w:r>
          </w:p>
        </w:tc>
        <w:tc>
          <w:tcPr>
            <w:tcW w:type="dxa" w:w="17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时间</w:t>
            </w:r>
          </w:p>
        </w:tc>
        <w:tc>
          <w:tcPr>
            <w:tcW w:type="dxa" w:w="42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核心内容</w:t>
            </w:r>
          </w:p>
        </w:tc>
        <w:tc>
          <w:tcPr>
            <w:tcW w:type="dxa" w:w="13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状态</w:t>
            </w:r>
          </w:p>
        </w:tc>
      </w:tr>
      <w:tr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第一轮（v6.2）</w:t>
            </w:r>
          </w:p>
        </w:tc>
        <w:tc>
          <w:tcPr>
            <w:tcW w:type="dxa" w:w="1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2026-08-18</w:t>
            </w:r>
          </w:p>
        </w:tc>
        <w:tc>
          <w:tcPr>
            <w:tcW w:type="dxa" w:w="4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美股 10 家公司评分准确性优化：资产类型关键词扩展、年限关联过滤、候选段落压缩、检索加固、评分标准精简、缓存持久化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已完成</w:t>
            </w:r>
          </w:p>
        </w:tc>
      </w:tr>
      <w:tr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第二轮（v6.3-CN）</w:t>
            </w:r>
          </w:p>
        </w:tc>
        <w:tc>
          <w:tcPr>
            <w:tcW w:type="dxa" w:w="1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2026-08-19</w:t>
            </w:r>
          </w:p>
        </w:tc>
        <w:tc>
          <w:tcPr>
            <w:tcW w:type="dxa" w:w="4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A股流水线适配：同步美股优化成果、中文年报三层验真排除、A股公司快速选择卡片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已完成</w:t>
            </w:r>
          </w:p>
        </w:tc>
      </w:tr>
      <w:tr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第三轮（v6.4-CN）</w:t>
            </w:r>
          </w:p>
        </w:tc>
        <w:tc>
          <w:tcPr>
            <w:tcW w:type="dxa" w:w="1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2026-08-19</w:t>
            </w:r>
          </w:p>
        </w:tc>
        <w:tc>
          <w:tcPr>
            <w:tcW w:type="dxa" w:w="4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A股财年定义与下载指南完善：自然年制说明、双栏提示卡片、六公司下载清单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已完成</w:t>
            </w:r>
          </w:p>
        </w:tc>
      </w:tr>
      <w:tr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第四轮（v6.5-Final）</w:t>
            </w:r>
          </w:p>
        </w:tc>
        <w:tc>
          <w:tcPr>
            <w:tcW w:type="dxa" w:w="1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2026-08-19</w:t>
            </w:r>
          </w:p>
        </w:tc>
        <w:tc>
          <w:tcPr>
            <w:tcW w:type="dxa" w:w="4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系统稳定性与容灾：页面导入修复、财报路径规范化、防误删备份机制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已完成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2.2 第一轮：美股评分准确性优化（2026-08-18）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2.2.1 问题诊断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对美股 10 家样本公司的 AI 评分与人工复核评分进行逐家比对，发现五家公司存在系统性偏差：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300"/>
        <w:gridCol w:w="4300"/>
      </w:tblGrid>
      <w:tr>
        <w:tc>
          <w:tcPr>
            <w:tcW w:type="dxa" w:w="13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公司</w:t>
            </w:r>
          </w:p>
        </w:tc>
        <w:tc>
          <w:tcPr>
            <w:tcW w:type="dxa" w:w="15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AI 综合分</w:t>
            </w:r>
          </w:p>
        </w:tc>
        <w:tc>
          <w:tcPr>
            <w:tcW w:type="dxa" w:w="15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人工综合分</w:t>
            </w:r>
          </w:p>
        </w:tc>
        <w:tc>
          <w:tcPr>
            <w:tcW w:type="dxa" w:w="13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差值</w:t>
            </w:r>
          </w:p>
        </w:tc>
        <w:tc>
          <w:tcPr>
            <w:tcW w:type="dxa" w:w="43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问题定位</w:t>
            </w:r>
          </w:p>
        </w:tc>
      </w:tr>
      <w:tr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META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3.95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4.60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-0.65</w:t>
            </w:r>
          </w:p>
        </w:tc>
        <w:tc>
          <w:tcPr>
            <w:tcW w:type="dxa" w:w="4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D4 资本开支提取偏低</w:t>
            </w:r>
          </w:p>
        </w:tc>
      </w:tr>
      <w:tr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MSFT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3.95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4.40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-0.45</w:t>
            </w:r>
          </w:p>
        </w:tc>
        <w:tc>
          <w:tcPr>
            <w:tcW w:type="dxa" w:w="4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D1 资产类型误判为通用设备</w:t>
            </w:r>
          </w:p>
        </w:tc>
      </w:tr>
      <w:tr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MU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3.75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4.00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-0.25</w:t>
            </w:r>
          </w:p>
        </w:tc>
        <w:tc>
          <w:tcPr>
            <w:tcW w:type="dxa" w:w="4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D1 混入建筑物 30 年年限</w:t>
            </w:r>
          </w:p>
        </w:tc>
      </w:tr>
      <w:tr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NVDA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2.55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3.45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-0.90</w:t>
            </w:r>
          </w:p>
        </w:tc>
        <w:tc>
          <w:tcPr>
            <w:tcW w:type="dxa" w:w="4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D1 未提取到正确年限</w:t>
            </w:r>
          </w:p>
        </w:tc>
      </w:tr>
      <w:tr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ORCL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4.20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4.45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-0.25</w:t>
            </w:r>
          </w:p>
        </w:tc>
        <w:tc>
          <w:tcPr>
            <w:tcW w:type="dxa" w:w="43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D1 年限偏低</w:t>
            </w:r>
          </w:p>
        </w:tc>
      </w:tr>
    </w:tbl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根因归纳为三类：其一，资产类型识别不准确——"computer equipment""compute hardware"等表述未被关键词库覆盖，导致服务器类资产被误判；其二，多资产类型段落中建筑物年限（30 年）混入生产设备年限提取；其三，当候选段落未命中正确折旧段落时，回退检索误匹配至 10-K 的会计政策总述段落。此外，Prompt 长度逼近 DeepSeek 64K 上下文窗口上限，偶发返回空值。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2.2.2 方案取舍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团队系统梳理了规则引擎层（A 类，零 Token 成本）、关键词定位层（B 类，节省 Token）、Prompt 层（C 类，低 Token 成本）、系统架构层（D 类）共 13 个候选方案，以"Token 约束下的边际收益"为准则完成取舍，最终实施组合如下：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700"/>
      </w:tblGrid>
      <w:tr>
        <w:tc>
          <w:tcPr>
            <w:tcW w:type="dxa" w:w="11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编号</w:t>
            </w:r>
          </w:p>
        </w:tc>
        <w:tc>
          <w:tcPr>
            <w:tcW w:type="dxa" w:w="36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方案</w:t>
            </w:r>
          </w:p>
        </w:tc>
        <w:tc>
          <w:tcPr>
            <w:tcW w:type="dxa" w:w="47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效果</w:t>
            </w:r>
          </w:p>
        </w:tc>
      </w:tr>
      <w:tr>
        <w:tc>
          <w:tcPr>
            <w:tcW w:type="dxa" w:w="11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P0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资产类型关键词扩展（server 类增补 computer equipment / compute hardware）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修复 MSFT/NVDA 资产类型误判</w:t>
            </w:r>
          </w:p>
        </w:tc>
      </w:tr>
      <w:tr>
        <w:tc>
          <w:tcPr>
            <w:tcW w:type="dxa" w:w="11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P1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资产类型-年限关联过滤（server≤10 年、manufacturing≤12 年）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修复 MU 建筑物年限混入问题</w:t>
            </w:r>
          </w:p>
        </w:tc>
      </w:tr>
      <w:tr>
        <w:tc>
          <w:tcPr>
            <w:tcW w:type="dxa" w:w="11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B1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候选段落数量压缩（80→30，按信号强度排序截取）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Prompt Token 消耗由约 60K 降至约 35K（-40%），消除超限空值</w:t>
            </w:r>
          </w:p>
        </w:tc>
      </w:tr>
      <w:tr>
        <w:tc>
          <w:tcPr>
            <w:tcW w:type="dxa" w:w="11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A2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回退检索加固（四层排除：会计政策总述 / 前瞻性声明 / 风险因素泛谈 / 管理层讨论顺带提及）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修复 NVDA 类误匹配，同时保留真实折旧政策段落</w:t>
            </w:r>
          </w:p>
        </w:tc>
      </w:tr>
      <w:tr>
        <w:tc>
          <w:tcPr>
            <w:tcW w:type="dxa" w:w="11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C1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评分标准（Rubric）精简（五维度合计 92 行→43 行）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再释放 1–2K Token，使模型聚焦核心锚点</w:t>
            </w:r>
          </w:p>
        </w:tc>
      </w:tr>
      <w:tr>
        <w:tc>
          <w:tcPr>
            <w:tcW w:type="dxa" w:w="11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D2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AI 标注结果缓存持久化</w:t>
            </w:r>
          </w:p>
        </w:tc>
        <w:tc>
          <w:tcPr>
            <w:tcW w:type="dxa" w:w="47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测试迭代速度由 3–5 分钟/次提升至 10–30 秒/次（缓存命中）</w:t>
            </w:r>
          </w:p>
        </w:tc>
      </w:tr>
    </w:tbl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未选方案及理由：D2/D4 维度增强类（当前偏差问题不突出）；验真通过率惩罚（需更多验证数据支撑，贸然引入可能过度惩罚）；Few-shot 示例（Token 成本较高）；两阶段流水线（改动量大、赛前风险高）。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2.2.3 实施效果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000"/>
      </w:tblGrid>
      <w:tr>
        <w:tc>
          <w:tcPr>
            <w:tcW w:type="dxa" w:w="30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22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优化前</w:t>
            </w:r>
          </w:p>
        </w:tc>
        <w:tc>
          <w:tcPr>
            <w:tcW w:type="dxa" w:w="22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优化后</w:t>
            </w:r>
          </w:p>
        </w:tc>
        <w:tc>
          <w:tcPr>
            <w:tcW w:type="dxa" w:w="20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变化</w:t>
            </w:r>
          </w:p>
        </w:tc>
      </w:tr>
      <w:tr>
        <w:tc>
          <w:tcPr>
            <w:tcW w:type="dxa" w:w="3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Prompt Token 消耗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 60K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 35K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-40%</w:t>
            </w:r>
          </w:p>
        </w:tc>
      </w:tr>
      <w:tr>
        <w:tc>
          <w:tcPr>
            <w:tcW w:type="dxa" w:w="3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MU FY2023 D1 维度分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+1</w:t>
            </w:r>
          </w:p>
        </w:tc>
      </w:tr>
      <w:tr>
        <w:tc>
          <w:tcPr>
            <w:tcW w:type="dxa" w:w="3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NVDA FY2023 误匹配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命中会计政策总述段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正确排除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修复</w:t>
            </w:r>
          </w:p>
        </w:tc>
      </w:tr>
      <w:tr>
        <w:tc>
          <w:tcPr>
            <w:tcW w:type="dxa" w:w="3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测试迭代速度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3–5 分钟/次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10–30 秒/次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约 10 倍</w:t>
            </w:r>
          </w:p>
        </w:tc>
      </w:tr>
      <w:tr>
        <w:tc>
          <w:tcPr>
            <w:tcW w:type="dxa" w:w="3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系统稳定性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偶发返回空值</w:t>
            </w:r>
          </w:p>
        </w:tc>
        <w:tc>
          <w:tcPr>
            <w:tcW w:type="dxa" w:w="22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显著改善</w:t>
            </w:r>
          </w:p>
        </w:tc>
        <w:tc>
          <w:tcPr>
            <w:tcW w:type="dxa" w:w="20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提升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2.3 第二轮：A股流水线适配（2026-08-19）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将美股优化成果同步至 A 股流水线，并针对中文年报结构做本地化适配：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候选段落压缩同步：A股关键词定位器 max_candidates 由 50 压缩至 30，按信号强度排序保留最强信号。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缓存持久化同步：A股流水线接入与美股共用的缓存读写逻辑，仅"自动下载 PDF"模式启用缓存，避免不同文件混淆。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中文验真加固（三层排除）：针对中文年报结构，排除"公司概况/公司简介""风险提示/前瞻性声明""管理层讨论顺带提及"三类噪声段落；段落同时含折旧/摊销/减值/固定资产/使用寿命等确认关键词时予以保留，验真逻辑由简单子串匹配升级为"子串匹配 + 三层噪声排除"。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页面易用性：P7 新增 6 家 A 股样本公司快速选择卡片（中科曙光、数据港、寒武纪、浪潮信息、科大讯飞、奥飞数据）。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2.4 第三轮：A股财年定义与下载指南完善（2026-08-19）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针对"应下载哪几个财年年报"这一实操问题，在 P7 页面"必要说明"区域新增 A 股财年定义与下载指南专节：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00"/>
      </w:tblGrid>
      <w:tr>
        <w:tc>
          <w:tcPr>
            <w:tcW w:type="dxa" w:w="24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对比维度</w:t>
            </w:r>
          </w:p>
        </w:tc>
        <w:tc>
          <w:tcPr>
            <w:tcW w:type="dxa" w:w="34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美国</w:t>
            </w:r>
          </w:p>
        </w:tc>
        <w:tc>
          <w:tcPr>
            <w:tcW w:type="dxa" w:w="3600"/>
            <w:shd w:fill="EEF3F8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中国A股</w:t>
            </w:r>
          </w:p>
        </w:tc>
      </w:tr>
      <w:tr>
        <w:tc>
          <w:tcPr>
            <w:tcW w:type="dxa" w:w="2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财年定义</w:t>
            </w:r>
          </w:p>
        </w:tc>
        <w:tc>
          <w:tcPr>
            <w:tcW w:type="dxa" w:w="3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各公司自定义（如 NVIDIA 为 2 月–次年 1 月）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统一为自然年（1 月 1 日–12 月 31 日）</w:t>
            </w:r>
          </w:p>
        </w:tc>
      </w:tr>
      <w:tr>
        <w:tc>
          <w:tcPr>
            <w:tcW w:type="dxa" w:w="2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命名方式</w:t>
            </w:r>
          </w:p>
        </w:tc>
        <w:tc>
          <w:tcPr>
            <w:tcW w:type="dxa" w:w="3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FY2025（财年）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2024 年年度报告（报告期）</w:t>
            </w:r>
          </w:p>
        </w:tc>
      </w:tr>
      <w:tr>
        <w:tc>
          <w:tcPr>
            <w:tcW w:type="dxa" w:w="2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发布时间</w:t>
            </w:r>
          </w:p>
        </w:tc>
        <w:tc>
          <w:tcPr>
            <w:tcW w:type="dxa" w:w="3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财年结束后 2–3 个月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次年 3–5 月</w:t>
            </w:r>
          </w:p>
        </w:tc>
      </w:tr>
      <w:tr>
        <w:tc>
          <w:tcPr>
            <w:tcW w:type="dxa" w:w="2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当前可下载范围</w:t>
            </w:r>
          </w:p>
        </w:tc>
        <w:tc>
          <w:tcPr>
            <w:tcW w:type="dxa" w:w="34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FY2022–FY2024（10 家 × 3 年 = 30 份）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2022–2024 年报（6 家 × 3 年 = 18 份）</w:t>
            </w:r>
          </w:p>
        </w:tc>
      </w:tr>
    </w:tbl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页面以双栏信息卡片呈现（左侧说明自然年制、右侧醒目提示勿下载尚未发布的 2025 年年报），并附六家公司逐年的下载清单表格与五步下载流程指引（巨潮资讯网检索 → 定期报告 → 年度报告 PDF → 保存 → 上传）。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2.5 第四轮：系统稳定性与容灾加固（2026-08-19）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2.5.1 页面导入修复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运行中 P7 页面出现 ModuleNotFoundError（动态导入在 Streamlit 运行时环境下路径解析失败）。修复方案：将页面模块的 importlib 动态导入改为静态直接导入，彻底消除运行时路径解析不确定性。修复后 P1–P7 全部页面可正常切换，六步流水线运行验证通过。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2.5.2 财报路径规范化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原始数据目录统一命名：A股年报归入 data/raw/cn_财报/（18 份 PDF），美股 10-K 归入 data/raw/us_财报/（30 份 HTML），同步更新代码中全部硬编码路径引用，消除因文件夹重命名导致功能失效的隐患。</w:t>
      </w:r>
    </w:p>
    <w:p>
      <w:pPr>
        <w:pStyle w:val="Heading3"/>
        <w:spacing w:after="100" w:before="200"/>
      </w:pPr>
      <w:r>
        <w:rPr>
          <w:rFonts w:ascii="Times New Roman" w:cs="Times New Roman" w:eastAsia="SimSun" w:hAnsi="Times New Roman"/>
          <w:b/>
          <w:bCs/>
          <w:color w:val="2E5B8F"/>
          <w:sz w:val="24"/>
          <w:szCs w:val="24"/>
        </w:rPr>
        <w:t xml:space="preserve">2.5.3 防误删备份机制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针对开发过程中曾两次误删财报文件的问题，建立"一键备份 + 增量同步 + 删除隔离"三重保护：P7 页面内置备份按钮，实时对比主目录与备份目录文件数量，仅复制新增或修改的文件，且主目录删除操作不会同步至备份目录（单向同步）；另提供独立脚本 scripts/backup_filings.py 支持预览模式与完整性校验，每次备份自动写入日志。48 份财报文件已全部完成双重保护。</w:t>
      </w:r>
    </w:p>
    <w:p>
      <w:pPr>
        <w:pStyle w:val="Heading2"/>
        <w:spacing w:after="120" w:before="240"/>
      </w:pPr>
      <w:r>
        <w:rPr>
          <w:rFonts w:ascii="Times New Roman" w:cs="Times New Roman" w:eastAsia="SimSun" w:hAnsi="Times New Roman"/>
          <w:b/>
          <w:bCs/>
          <w:color w:val="2E5B8F"/>
          <w:sz w:val="26"/>
          <w:szCs w:val="26"/>
        </w:rPr>
        <w:t xml:space="preserve">2.6 优化成效汇总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四轮迭代后，系统在准确性、稳定性、双市场一致性与工程可靠性四个维度均有实质提升：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准确性：美股五家偏差公司的根因全部定位并修复；A股流水线完成中文语境验真加固。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稳定性：Prompt Token 消耗下降 40%，消除上下文超限导致的空值返回；页面导入机制修复后全部页面运行验证通过。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双市场一致性：美股与 A股流水线共享候选压缩、缓存持久化与分层验真架构，差异仅在关键词体系与财年定义。</w:t>
      </w:r>
    </w:p>
    <w:p>
      <w:pPr>
        <w:spacing w:after="80" w:line="300"/>
        <w:ind w:left="504" w:hanging="259"/>
      </w:pPr>
      <w:r>
        <w:rPr>
          <w:rFonts w:ascii="Times New Roman" w:cs="Times New Roman" w:eastAsia="SimSun" w:hAnsi="Times New Roman"/>
          <w:sz w:val="24"/>
          <w:szCs w:val="24"/>
        </w:rPr>
        <w:t xml:space="preserve">工程可靠性：原始数据路径规范化 + 防误删双保险，48 份财报文件（30 份美股 HTML + 18 份 A股 PDF）全部纳入备份管理。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上述优化过程体现了"以实测偏差驱动迭代、以 Token 约束指导取舍、以缓存机制加速验证"的工程方法论，相关测试记录与版本备案齐全，可供评审复核。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00"/>
      <w:jc w:val="center"/>
    </w:pPr>
    <w:r>
      <w:rPr>
        <w:rFonts w:ascii="Times New Roman" w:cs="Times New Roman" w:eastAsia="SimSun" w:hAnsi="Times New Roman"/>
        <w:b/>
        <w:bCs/>
        <w:color w:val="2E5B8F"/>
        <w:sz w:val="20"/>
        <w:szCs w:val="20"/>
      </w:rPr>
      <w:t xml:space="preserve">智能识别系统操作手册与优化路径总结 · 支撑材料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2026-08-20T03:08:39.205Z</dcterms:created>
  <dcterms:modified xsi:type="dcterms:W3CDTF">2026-08-20T03:08:39.209Z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