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8AF10">
      <w:pPr>
        <w:pStyle w:val="2"/>
        <w:spacing w:before="360" w:after="240" w:line="360" w:lineRule="auto"/>
        <w:jc w:val="center"/>
      </w:pPr>
      <w:bookmarkStart w:id="0" w:name="_Toc5452"/>
      <w:bookmarkStart w:id="1" w:name="折旧错配ai泡沫下科创企业资产减值风险的识别与预警"/>
      <w:r>
        <w:rPr>
          <w:rFonts w:hint="eastAsia" w:ascii="Times New Roman" w:hAnsi="Times New Roman" w:eastAsia="黑体"/>
          <w:b/>
          <w:color w:val="000000"/>
          <w:sz w:val="32"/>
        </w:rPr>
        <w:t>折旧错配：AI泡沫下科创企业资产减值风险的识别与预警</w:t>
      </w:r>
      <w:bookmarkEnd w:id="0"/>
    </w:p>
    <w:p w14:paraId="5C6DD118">
      <w:pPr>
        <w:pStyle w:val="25"/>
        <w:spacing w:before="40" w:after="40" w:line="360" w:lineRule="auto"/>
        <w:ind w:firstLine="480"/>
      </w:pPr>
      <w:r>
        <w:rPr>
          <w:rFonts w:hint="eastAsia" w:ascii="Times New Roman" w:hAnsi="Times New Roman" w:eastAsia="宋体"/>
          <w:b/>
          <w:bCs/>
          <w:sz w:val="24"/>
        </w:rPr>
        <w:t>基于美国十大科技公司10-K年报面板样本的证据链标注与五维评分体系</w:t>
      </w:r>
    </w:p>
    <w:p w14:paraId="0F3E7EEB">
      <w:pPr>
        <w:pStyle w:val="3"/>
        <w:spacing w:before="40" w:after="40" w:line="360" w:lineRule="auto"/>
        <w:ind w:firstLine="480"/>
      </w:pPr>
      <w:r>
        <w:rPr>
          <w:rFonts w:hint="eastAsia" w:ascii="Times New Roman" w:hAnsi="Times New Roman" w:eastAsia="宋体"/>
          <w:sz w:val="24"/>
        </w:rPr>
        <w:t>赛题编号：XH-202626</w:t>
      </w:r>
      <w:r>
        <w:rPr>
          <w:rFonts w:ascii="Times New Roman" w:hAnsi="Times New Roman" w:eastAsia="宋体"/>
          <w:sz w:val="24"/>
        </w:rPr>
        <w:t xml:space="preserve"> </w:t>
      </w:r>
      <w:r>
        <w:rPr>
          <w:rFonts w:hint="eastAsia" w:ascii="Times New Roman" w:hAnsi="Times New Roman" w:eastAsia="宋体"/>
          <w:sz w:val="24"/>
        </w:rPr>
        <w:t>科创企业特有风险的识别与管理</w:t>
      </w:r>
    </w:p>
    <w:p w14:paraId="795CB9BC">
      <w:pPr>
        <w:pStyle w:val="3"/>
        <w:spacing w:before="40" w:after="40" w:line="360" w:lineRule="auto"/>
        <w:ind w:firstLine="480"/>
      </w:pPr>
      <w:r>
        <w:t>版本：v6.6（2026年8月）</w:t>
      </w:r>
    </w:p>
    <w:p w14:paraId="09052AF9">
      <w:pPr>
        <w:spacing w:before="40" w:after="40" w:line="360" w:lineRule="auto"/>
        <w:ind w:firstLine="480"/>
      </w:pPr>
    </w:p>
    <w:p w14:paraId="06B67BDA">
      <w:pPr>
        <w:pStyle w:val="25"/>
        <w:spacing w:before="40" w:after="40" w:line="360" w:lineRule="auto"/>
        <w:ind w:firstLine="480"/>
      </w:pPr>
    </w:p>
    <w:p w14:paraId="1873675B">
      <w:pPr>
        <w:pStyle w:val="3"/>
        <w:spacing w:before="40" w:after="40" w:line="360" w:lineRule="auto"/>
        <w:ind w:firstLine="480"/>
      </w:pPr>
    </w:p>
    <w:p w14:paraId="766142D7">
      <w:pPr>
        <w:pStyle w:val="3"/>
        <w:spacing w:before="40" w:after="40" w:line="360" w:lineRule="auto"/>
        <w:ind w:firstLine="480"/>
      </w:pPr>
    </w:p>
    <w:p w14:paraId="6ADD78EE">
      <w:pPr>
        <w:pStyle w:val="3"/>
        <w:spacing w:before="40" w:after="40" w:line="360" w:lineRule="auto"/>
        <w:ind w:firstLine="480"/>
      </w:pPr>
    </w:p>
    <w:p w14:paraId="369684BE">
      <w:pPr>
        <w:pStyle w:val="3"/>
        <w:spacing w:before="40" w:after="40" w:line="360" w:lineRule="auto"/>
        <w:ind w:firstLine="480"/>
      </w:pPr>
    </w:p>
    <w:p w14:paraId="4FEFDBD5">
      <w:pPr>
        <w:pStyle w:val="3"/>
        <w:spacing w:before="40" w:after="40" w:line="360" w:lineRule="auto"/>
        <w:ind w:firstLine="480"/>
      </w:pPr>
    </w:p>
    <w:p w14:paraId="7CA4ADAA">
      <w:pPr>
        <w:pStyle w:val="3"/>
        <w:spacing w:before="40" w:after="40" w:line="360" w:lineRule="auto"/>
        <w:ind w:firstLine="480"/>
      </w:pPr>
    </w:p>
    <w:p w14:paraId="2713C663">
      <w:pPr>
        <w:pStyle w:val="3"/>
        <w:spacing w:before="40" w:after="40" w:line="360" w:lineRule="auto"/>
        <w:ind w:firstLine="480"/>
      </w:pPr>
      <w:r>
        <w:rPr>
          <w:rFonts w:hint="eastAsia" w:ascii="Times New Roman" w:hAnsi="Times New Roman" w:eastAsia="宋体"/>
          <w:sz w:val="24"/>
        </w:rPr>
        <w:t>【核心发现速览】</w:t>
      </w:r>
    </w:p>
    <w:p w14:paraId="15235FAB">
      <w:pPr>
        <w:numPr>
          <w:ilvl w:val="0"/>
          <w:numId w:val="1"/>
        </w:numPr>
        <w:spacing w:before="40" w:after="40" w:line="360" w:lineRule="auto"/>
        <w:ind w:firstLine="480"/>
      </w:pPr>
      <w:r>
        <w:rPr>
          <w:rFonts w:hint="eastAsia" w:ascii="Times New Roman" w:hAnsi="Times New Roman" w:eastAsia="宋体"/>
          <w:sz w:val="24"/>
        </w:rPr>
        <w:t>发现同步性：6家美科技巨头在AI投资爆发后12个月内同步延长折旧年限，错配非偶然而是周期性结构</w:t>
      </w:r>
    </w:p>
    <w:p w14:paraId="0B1DB9B2">
      <w:pPr>
        <w:numPr>
          <w:ilvl w:val="0"/>
          <w:numId w:val="1"/>
        </w:numPr>
        <w:spacing w:before="40" w:after="40" w:line="360" w:lineRule="auto"/>
        <w:ind w:firstLine="480"/>
      </w:pPr>
      <w:r>
        <w:rPr>
          <w:rFonts w:hint="eastAsia" w:ascii="Times New Roman" w:hAnsi="Times New Roman" w:eastAsia="宋体"/>
          <w:sz w:val="24"/>
        </w:rPr>
        <w:t>可量化识别：变更年评分4.25</w:t>
      </w:r>
      <w:r>
        <w:rPr>
          <w:rFonts w:ascii="Times New Roman" w:hAnsi="Times New Roman" w:eastAsia="宋体"/>
          <w:sz w:val="24"/>
        </w:rPr>
        <w:t xml:space="preserve"> vs </w:t>
      </w:r>
      <w:r>
        <w:rPr>
          <w:rFonts w:hint="eastAsia" w:ascii="Times New Roman" w:hAnsi="Times New Roman" w:eastAsia="宋体"/>
          <w:sz w:val="24"/>
        </w:rPr>
        <w:t>非变更年3.43，折旧错配可被五维评分体系结构化识别</w:t>
      </w:r>
    </w:p>
    <w:p w14:paraId="51C09024">
      <w:pPr>
        <w:numPr>
          <w:ilvl w:val="0"/>
          <w:numId w:val="1"/>
        </w:numPr>
        <w:spacing w:before="40" w:after="40" w:line="360" w:lineRule="auto"/>
        <w:ind w:firstLine="480"/>
      </w:pPr>
      <w:r>
        <w:rPr>
          <w:rFonts w:hint="eastAsia" w:ascii="Times New Roman" w:hAnsi="Times New Roman" w:eastAsia="宋体"/>
          <w:sz w:val="24"/>
        </w:rPr>
        <w:t>双向验证：证据链方法实现“区分相似披露+证实市场传闻”双重验证能力</w:t>
      </w:r>
    </w:p>
    <w:p w14:paraId="28513699">
      <w:pPr>
        <w:numPr>
          <w:ilvl w:val="0"/>
          <w:numId w:val="1"/>
        </w:numPr>
        <w:spacing w:before="40" w:after="40" w:line="360" w:lineRule="auto"/>
        <w:ind w:firstLine="480"/>
      </w:pPr>
      <w:r>
        <w:rPr>
          <w:rFonts w:hint="eastAsia" w:ascii="Times New Roman" w:hAnsi="Times New Roman" w:eastAsia="宋体"/>
          <w:sz w:val="24"/>
        </w:rPr>
        <w:t>中国量级：智算中心建设潮下潜在年度折旧低估225-1,200亿元，风险正在发生</w:t>
      </w:r>
    </w:p>
    <w:p w14:paraId="66561F44">
      <w:pPr>
        <w:numPr>
          <w:ilvl w:val="0"/>
          <w:numId w:val="1"/>
        </w:numPr>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可落地系统：Streamlit智能识别系统已开源运行，可直接嵌入科技保险核保筛查流程</w:t>
      </w:r>
    </w:p>
    <w:p w14:paraId="7274B980">
      <w:pPr>
        <w:pStyle w:val="25"/>
        <w:spacing w:before="40" w:after="40" w:line="360" w:lineRule="auto"/>
        <w:ind w:firstLine="480"/>
      </w:pPr>
    </w:p>
    <w:bookmarkEnd w:id="1"/>
    <w:p w14:paraId="7BDE5D45">
      <w:pPr>
        <w:pStyle w:val="2"/>
        <w:spacing w:before="360" w:after="240" w:line="360" w:lineRule="auto"/>
        <w:jc w:val="center"/>
      </w:pPr>
      <w:bookmarkStart w:id="2" w:name="_Toc16727"/>
      <w:bookmarkStart w:id="3" w:name="目录"/>
      <w:r>
        <w:rPr>
          <w:rFonts w:hint="eastAsia" w:ascii="Times New Roman" w:hAnsi="Times New Roman" w:eastAsia="黑体"/>
          <w:b/>
          <w:color w:val="000000"/>
          <w:sz w:val="32"/>
        </w:rPr>
        <w:t>目录</w:t>
      </w:r>
      <w:bookmarkEnd w:id="2"/>
    </w:p>
    <w:p w14:paraId="438D82BF">
      <w:pPr>
        <w:pStyle w:val="16"/>
        <w:tabs>
          <w:tab w:val="right" w:leader="dot" w:pos="9072"/>
        </w:tabs>
      </w:pPr>
      <w:r>
        <w:fldChar w:fldCharType="begin"/>
      </w:r>
      <w:r>
        <w:instrText xml:space="preserve"> TOC \o "1-2" \h \z \u </w:instrText>
      </w:r>
      <w:r>
        <w:fldChar w:fldCharType="separate"/>
      </w:r>
      <w:r>
        <w:fldChar w:fldCharType="begin"/>
      </w:r>
      <w:r>
        <w:instrText xml:space="preserve"> HYPERLINK \l _Toc5452 </w:instrText>
      </w:r>
      <w:r>
        <w:fldChar w:fldCharType="separate"/>
      </w:r>
      <w:r>
        <w:rPr>
          <w:rFonts w:hint="eastAsia" w:ascii="Times New Roman" w:hAnsi="Times New Roman" w:eastAsia="黑体"/>
        </w:rPr>
        <w:t>折旧错配：AI泡沫下科创企业资产减值风险的识别与预警</w:t>
      </w:r>
      <w:r>
        <w:tab/>
      </w:r>
      <w:r>
        <w:fldChar w:fldCharType="begin"/>
      </w:r>
      <w:r>
        <w:instrText xml:space="preserve"> PAGEREF _Toc5452 \h </w:instrText>
      </w:r>
      <w:r>
        <w:fldChar w:fldCharType="separate"/>
      </w:r>
      <w:r>
        <w:t>1</w:t>
      </w:r>
      <w:r>
        <w:fldChar w:fldCharType="end"/>
      </w:r>
      <w:r>
        <w:fldChar w:fldCharType="end"/>
      </w:r>
    </w:p>
    <w:p w14:paraId="6C2C7B88">
      <w:pPr>
        <w:pStyle w:val="16"/>
        <w:tabs>
          <w:tab w:val="right" w:leader="dot" w:pos="9072"/>
        </w:tabs>
      </w:pPr>
      <w:r>
        <w:fldChar w:fldCharType="begin"/>
      </w:r>
      <w:r>
        <w:instrText xml:space="preserve"> HYPERLINK \l _Toc16727 </w:instrText>
      </w:r>
      <w:r>
        <w:fldChar w:fldCharType="separate"/>
      </w:r>
      <w:r>
        <w:rPr>
          <w:rFonts w:hint="eastAsia" w:ascii="Times New Roman" w:hAnsi="Times New Roman" w:eastAsia="黑体"/>
        </w:rPr>
        <w:t>目录</w:t>
      </w:r>
      <w:r>
        <w:tab/>
      </w:r>
      <w:r>
        <w:fldChar w:fldCharType="begin"/>
      </w:r>
      <w:r>
        <w:instrText xml:space="preserve"> PAGEREF _Toc16727 \h </w:instrText>
      </w:r>
      <w:r>
        <w:fldChar w:fldCharType="separate"/>
      </w:r>
      <w:r>
        <w:t>2</w:t>
      </w:r>
      <w:r>
        <w:fldChar w:fldCharType="end"/>
      </w:r>
      <w:r>
        <w:fldChar w:fldCharType="end"/>
      </w:r>
    </w:p>
    <w:p w14:paraId="0607C4F2">
      <w:pPr>
        <w:pStyle w:val="16"/>
        <w:tabs>
          <w:tab w:val="right" w:leader="dot" w:pos="9072"/>
        </w:tabs>
      </w:pPr>
      <w:r>
        <w:fldChar w:fldCharType="begin"/>
      </w:r>
      <w:r>
        <w:instrText xml:space="preserve"> HYPERLINK \l _Toc9442 </w:instrText>
      </w:r>
      <w:r>
        <w:fldChar w:fldCharType="separate"/>
      </w:r>
      <w:r>
        <w:rPr>
          <w:rFonts w:hint="eastAsia" w:ascii="Times New Roman" w:hAnsi="Times New Roman" w:eastAsia="黑体"/>
        </w:rPr>
        <w:t>摘要</w:t>
      </w:r>
      <w:r>
        <w:tab/>
      </w:r>
      <w:r>
        <w:fldChar w:fldCharType="begin"/>
      </w:r>
      <w:r>
        <w:instrText xml:space="preserve"> PAGEREF _Toc9442 \h </w:instrText>
      </w:r>
      <w:r>
        <w:fldChar w:fldCharType="separate"/>
      </w:r>
      <w:r>
        <w:t>5</w:t>
      </w:r>
      <w:r>
        <w:fldChar w:fldCharType="end"/>
      </w:r>
      <w:r>
        <w:fldChar w:fldCharType="end"/>
      </w:r>
    </w:p>
    <w:p w14:paraId="41FB81B3">
      <w:pPr>
        <w:pStyle w:val="16"/>
        <w:tabs>
          <w:tab w:val="right" w:leader="dot" w:pos="9072"/>
        </w:tabs>
      </w:pPr>
      <w:r>
        <w:fldChar w:fldCharType="begin"/>
      </w:r>
      <w:r>
        <w:instrText xml:space="preserve"> HYPERLINK \l _Toc14125 </w:instrText>
      </w:r>
      <w:r>
        <w:fldChar w:fldCharType="separate"/>
      </w:r>
      <w:r>
        <w:rPr>
          <w:rFonts w:hint="eastAsia" w:ascii="Times New Roman" w:hAnsi="Times New Roman" w:eastAsia="黑体"/>
        </w:rPr>
        <w:t>第一章问题提出：风口上的财报陷阱</w:t>
      </w:r>
      <w:r>
        <w:tab/>
      </w:r>
      <w:r>
        <w:fldChar w:fldCharType="begin"/>
      </w:r>
      <w:r>
        <w:instrText xml:space="preserve"> PAGEREF _Toc14125 \h </w:instrText>
      </w:r>
      <w:r>
        <w:fldChar w:fldCharType="separate"/>
      </w:r>
      <w:r>
        <w:t>7</w:t>
      </w:r>
      <w:r>
        <w:fldChar w:fldCharType="end"/>
      </w:r>
      <w:r>
        <w:fldChar w:fldCharType="end"/>
      </w:r>
    </w:p>
    <w:p w14:paraId="07DC2591">
      <w:pPr>
        <w:pStyle w:val="19"/>
        <w:tabs>
          <w:tab w:val="right" w:leader="dot" w:pos="9072"/>
        </w:tabs>
      </w:pPr>
      <w:r>
        <w:fldChar w:fldCharType="begin"/>
      </w:r>
      <w:r>
        <w:instrText xml:space="preserve"> HYPERLINK \l _Toc11706 </w:instrText>
      </w:r>
      <w:r>
        <w:fldChar w:fldCharType="separate"/>
      </w:r>
      <w:r>
        <w:rPr>
          <w:rFonts w:ascii="Times New Roman" w:hAnsi="Times New Roman" w:eastAsia="黑体"/>
        </w:rPr>
        <w:t xml:space="preserve">1.1 AI </w:t>
      </w:r>
      <w:r>
        <w:rPr>
          <w:rFonts w:hint="eastAsia" w:ascii="Times New Roman" w:hAnsi="Times New Roman" w:eastAsia="黑体"/>
        </w:rPr>
        <w:t>资本开支狂潮与折旧假设的静默博弈</w:t>
      </w:r>
      <w:r>
        <w:tab/>
      </w:r>
      <w:r>
        <w:fldChar w:fldCharType="begin"/>
      </w:r>
      <w:r>
        <w:instrText xml:space="preserve"> PAGEREF _Toc11706 \h </w:instrText>
      </w:r>
      <w:r>
        <w:fldChar w:fldCharType="separate"/>
      </w:r>
      <w:r>
        <w:t>7</w:t>
      </w:r>
      <w:r>
        <w:fldChar w:fldCharType="end"/>
      </w:r>
      <w:r>
        <w:fldChar w:fldCharType="end"/>
      </w:r>
    </w:p>
    <w:p w14:paraId="4AE83228">
      <w:pPr>
        <w:pStyle w:val="19"/>
        <w:tabs>
          <w:tab w:val="right" w:leader="dot" w:pos="9072"/>
        </w:tabs>
      </w:pPr>
      <w:r>
        <w:fldChar w:fldCharType="begin"/>
      </w:r>
      <w:r>
        <w:instrText xml:space="preserve"> HYPERLINK \l _Toc21816 </w:instrText>
      </w:r>
      <w:r>
        <w:fldChar w:fldCharType="separate"/>
      </w:r>
      <w:r>
        <w:rPr>
          <w:rFonts w:ascii="Times New Roman" w:hAnsi="Times New Roman" w:eastAsia="黑体"/>
        </w:rPr>
        <w:t xml:space="preserve">1.2 </w:t>
      </w:r>
      <w:r>
        <w:rPr>
          <w:rFonts w:hint="eastAsia" w:ascii="Times New Roman" w:hAnsi="Times New Roman" w:eastAsia="黑体"/>
        </w:rPr>
        <w:t>从</w:t>
      </w:r>
      <w:r>
        <w:rPr>
          <w:rFonts w:ascii="Times New Roman" w:hAnsi="Times New Roman" w:eastAsia="黑体"/>
        </w:rPr>
        <w:t xml:space="preserve"> Burry </w:t>
      </w:r>
      <w:r>
        <w:rPr>
          <w:rFonts w:hint="eastAsia" w:ascii="Times New Roman" w:hAnsi="Times New Roman" w:eastAsia="黑体"/>
        </w:rPr>
        <w:t>警告到华尔街论战：1760</w:t>
      </w:r>
      <w:r>
        <w:rPr>
          <w:rFonts w:ascii="Times New Roman" w:hAnsi="Times New Roman" w:eastAsia="黑体"/>
        </w:rPr>
        <w:t xml:space="preserve"> </w:t>
      </w:r>
      <w:r>
        <w:rPr>
          <w:rFonts w:hint="eastAsia" w:ascii="Times New Roman" w:hAnsi="Times New Roman" w:eastAsia="黑体"/>
        </w:rPr>
        <w:t>亿美元的争议</w:t>
      </w:r>
      <w:r>
        <w:tab/>
      </w:r>
      <w:r>
        <w:fldChar w:fldCharType="begin"/>
      </w:r>
      <w:r>
        <w:instrText xml:space="preserve"> PAGEREF _Toc21816 \h </w:instrText>
      </w:r>
      <w:r>
        <w:fldChar w:fldCharType="separate"/>
      </w:r>
      <w:r>
        <w:t>8</w:t>
      </w:r>
      <w:r>
        <w:fldChar w:fldCharType="end"/>
      </w:r>
      <w:r>
        <w:fldChar w:fldCharType="end"/>
      </w:r>
    </w:p>
    <w:p w14:paraId="5E70E8FD">
      <w:pPr>
        <w:pStyle w:val="19"/>
        <w:tabs>
          <w:tab w:val="right" w:leader="dot" w:pos="9072"/>
        </w:tabs>
      </w:pPr>
      <w:r>
        <w:fldChar w:fldCharType="begin"/>
      </w:r>
      <w:r>
        <w:instrText xml:space="preserve"> HYPERLINK \l _Toc17150 </w:instrText>
      </w:r>
      <w:r>
        <w:fldChar w:fldCharType="separate"/>
      </w:r>
      <w:r>
        <w:rPr>
          <w:rFonts w:ascii="Times New Roman" w:hAnsi="Times New Roman" w:eastAsia="黑体"/>
        </w:rPr>
        <w:t xml:space="preserve">1.3 </w:t>
      </w:r>
      <w:r>
        <w:rPr>
          <w:rFonts w:hint="eastAsia" w:ascii="Times New Roman" w:hAnsi="Times New Roman" w:eastAsia="黑体"/>
        </w:rPr>
        <w:t>问题的本质：三重结构性错配</w:t>
      </w:r>
      <w:r>
        <w:tab/>
      </w:r>
      <w:r>
        <w:fldChar w:fldCharType="begin"/>
      </w:r>
      <w:r>
        <w:instrText xml:space="preserve"> PAGEREF _Toc17150 \h </w:instrText>
      </w:r>
      <w:r>
        <w:fldChar w:fldCharType="separate"/>
      </w:r>
      <w:r>
        <w:t>9</w:t>
      </w:r>
      <w:r>
        <w:fldChar w:fldCharType="end"/>
      </w:r>
      <w:r>
        <w:fldChar w:fldCharType="end"/>
      </w:r>
    </w:p>
    <w:p w14:paraId="2507D3D6">
      <w:pPr>
        <w:pStyle w:val="19"/>
        <w:tabs>
          <w:tab w:val="right" w:leader="dot" w:pos="9072"/>
        </w:tabs>
      </w:pPr>
      <w:r>
        <w:fldChar w:fldCharType="begin"/>
      </w:r>
      <w:r>
        <w:instrText xml:space="preserve"> HYPERLINK \l _Toc31711 </w:instrText>
      </w:r>
      <w:r>
        <w:fldChar w:fldCharType="separate"/>
      </w:r>
      <w:r>
        <w:rPr>
          <w:rFonts w:ascii="Times New Roman" w:hAnsi="Times New Roman" w:eastAsia="黑体"/>
        </w:rPr>
        <w:t xml:space="preserve">1.4 </w:t>
      </w:r>
      <w:r>
        <w:rPr>
          <w:rFonts w:hint="eastAsia" w:ascii="Times New Roman" w:hAnsi="Times New Roman" w:eastAsia="黑体"/>
        </w:rPr>
        <w:t>研究问题与研究意义</w:t>
      </w:r>
      <w:r>
        <w:tab/>
      </w:r>
      <w:r>
        <w:fldChar w:fldCharType="begin"/>
      </w:r>
      <w:r>
        <w:instrText xml:space="preserve"> PAGEREF _Toc31711 \h </w:instrText>
      </w:r>
      <w:r>
        <w:fldChar w:fldCharType="separate"/>
      </w:r>
      <w:r>
        <w:t>9</w:t>
      </w:r>
      <w:r>
        <w:fldChar w:fldCharType="end"/>
      </w:r>
      <w:r>
        <w:fldChar w:fldCharType="end"/>
      </w:r>
    </w:p>
    <w:p w14:paraId="3C358E92">
      <w:pPr>
        <w:pStyle w:val="19"/>
        <w:tabs>
          <w:tab w:val="right" w:leader="dot" w:pos="9072"/>
        </w:tabs>
      </w:pPr>
      <w:r>
        <w:fldChar w:fldCharType="begin"/>
      </w:r>
      <w:r>
        <w:instrText xml:space="preserve"> HYPERLINK \l _Toc32210 </w:instrText>
      </w:r>
      <w:r>
        <w:fldChar w:fldCharType="separate"/>
      </w:r>
      <w:r>
        <w:rPr>
          <w:rFonts w:ascii="Times New Roman" w:hAnsi="Times New Roman" w:eastAsia="黑体"/>
        </w:rPr>
        <w:t xml:space="preserve">1.5 </w:t>
      </w:r>
      <w:r>
        <w:rPr>
          <w:rFonts w:hint="eastAsia" w:ascii="Times New Roman" w:hAnsi="Times New Roman" w:eastAsia="黑体"/>
        </w:rPr>
        <w:t>为什么是折旧错配：科创企业泡沫叠加机制的一个剖面</w:t>
      </w:r>
      <w:r>
        <w:tab/>
      </w:r>
      <w:r>
        <w:fldChar w:fldCharType="begin"/>
      </w:r>
      <w:r>
        <w:instrText xml:space="preserve"> PAGEREF _Toc32210 \h </w:instrText>
      </w:r>
      <w:r>
        <w:fldChar w:fldCharType="separate"/>
      </w:r>
      <w:r>
        <w:t>10</w:t>
      </w:r>
      <w:r>
        <w:fldChar w:fldCharType="end"/>
      </w:r>
      <w:r>
        <w:fldChar w:fldCharType="end"/>
      </w:r>
    </w:p>
    <w:p w14:paraId="18D95227">
      <w:pPr>
        <w:pStyle w:val="19"/>
        <w:tabs>
          <w:tab w:val="right" w:leader="dot" w:pos="9072"/>
        </w:tabs>
      </w:pPr>
      <w:r>
        <w:fldChar w:fldCharType="begin"/>
      </w:r>
      <w:r>
        <w:instrText xml:space="preserve"> HYPERLINK \l _Toc6307 </w:instrText>
      </w:r>
      <w:r>
        <w:fldChar w:fldCharType="separate"/>
      </w:r>
      <w:r>
        <w:rPr>
          <w:rFonts w:ascii="Times New Roman" w:hAnsi="Times New Roman" w:eastAsia="黑体"/>
        </w:rPr>
        <w:t xml:space="preserve">1.6 </w:t>
      </w:r>
      <w:r>
        <w:rPr>
          <w:rFonts w:hint="eastAsia" w:ascii="Times New Roman" w:hAnsi="Times New Roman" w:eastAsia="黑体"/>
        </w:rPr>
        <w:t>产业痛点：当“会计估计”变成“财富转移”</w:t>
      </w:r>
      <w:r>
        <w:tab/>
      </w:r>
      <w:r>
        <w:fldChar w:fldCharType="begin"/>
      </w:r>
      <w:r>
        <w:instrText xml:space="preserve"> PAGEREF _Toc6307 \h </w:instrText>
      </w:r>
      <w:r>
        <w:fldChar w:fldCharType="separate"/>
      </w:r>
      <w:r>
        <w:t>12</w:t>
      </w:r>
      <w:r>
        <w:fldChar w:fldCharType="end"/>
      </w:r>
      <w:r>
        <w:fldChar w:fldCharType="end"/>
      </w:r>
    </w:p>
    <w:p w14:paraId="59E58EA3">
      <w:pPr>
        <w:pStyle w:val="19"/>
        <w:tabs>
          <w:tab w:val="right" w:leader="dot" w:pos="9072"/>
        </w:tabs>
      </w:pPr>
      <w:r>
        <w:fldChar w:fldCharType="begin"/>
      </w:r>
      <w:r>
        <w:instrText xml:space="preserve"> HYPERLINK \l _Toc13022 </w:instrText>
      </w:r>
      <w:r>
        <w:fldChar w:fldCharType="separate"/>
      </w:r>
      <w:r>
        <w:rPr>
          <w:rFonts w:ascii="Times New Roman" w:hAnsi="Times New Roman" w:eastAsia="黑体"/>
        </w:rPr>
        <w:t xml:space="preserve">1.7 </w:t>
      </w:r>
      <w:r>
        <w:rPr>
          <w:rFonts w:hint="eastAsia" w:ascii="Times New Roman" w:hAnsi="Times New Roman" w:eastAsia="黑体"/>
        </w:rPr>
        <w:t>国家战略响应：从“识别工具”到“制度基础设施”</w:t>
      </w:r>
      <w:r>
        <w:tab/>
      </w:r>
      <w:r>
        <w:fldChar w:fldCharType="begin"/>
      </w:r>
      <w:r>
        <w:instrText xml:space="preserve"> PAGEREF _Toc13022 \h </w:instrText>
      </w:r>
      <w:r>
        <w:fldChar w:fldCharType="separate"/>
      </w:r>
      <w:r>
        <w:t>15</w:t>
      </w:r>
      <w:r>
        <w:fldChar w:fldCharType="end"/>
      </w:r>
      <w:r>
        <w:fldChar w:fldCharType="end"/>
      </w:r>
    </w:p>
    <w:p w14:paraId="2C3B0B23">
      <w:pPr>
        <w:pStyle w:val="16"/>
        <w:tabs>
          <w:tab w:val="right" w:leader="dot" w:pos="9072"/>
        </w:tabs>
      </w:pPr>
      <w:r>
        <w:fldChar w:fldCharType="begin"/>
      </w:r>
      <w:r>
        <w:instrText xml:space="preserve"> HYPERLINK \l _Toc32276 </w:instrText>
      </w:r>
      <w:r>
        <w:fldChar w:fldCharType="separate"/>
      </w:r>
      <w:r>
        <w:rPr>
          <w:rFonts w:hint="eastAsia" w:ascii="Times New Roman" w:hAnsi="Times New Roman" w:eastAsia="黑体"/>
        </w:rPr>
        <w:t>第二章制度背景与分析基础</w:t>
      </w:r>
      <w:r>
        <w:tab/>
      </w:r>
      <w:r>
        <w:fldChar w:fldCharType="begin"/>
      </w:r>
      <w:r>
        <w:instrText xml:space="preserve"> PAGEREF _Toc32276 \h </w:instrText>
      </w:r>
      <w:r>
        <w:fldChar w:fldCharType="separate"/>
      </w:r>
      <w:r>
        <w:t>20</w:t>
      </w:r>
      <w:r>
        <w:fldChar w:fldCharType="end"/>
      </w:r>
      <w:r>
        <w:fldChar w:fldCharType="end"/>
      </w:r>
    </w:p>
    <w:p w14:paraId="417F6CC4">
      <w:pPr>
        <w:pStyle w:val="19"/>
        <w:tabs>
          <w:tab w:val="right" w:leader="dot" w:pos="9072"/>
        </w:tabs>
      </w:pPr>
      <w:r>
        <w:fldChar w:fldCharType="begin"/>
      </w:r>
      <w:r>
        <w:instrText xml:space="preserve"> HYPERLINK \l _Toc237 </w:instrText>
      </w:r>
      <w:r>
        <w:fldChar w:fldCharType="separate"/>
      </w:r>
      <w:r>
        <w:rPr>
          <w:rFonts w:ascii="Times New Roman" w:hAnsi="Times New Roman" w:eastAsia="黑体"/>
        </w:rPr>
        <w:t xml:space="preserve">2.1 </w:t>
      </w:r>
      <w:r>
        <w:rPr>
          <w:rFonts w:hint="eastAsia" w:ascii="Times New Roman" w:hAnsi="Times New Roman" w:eastAsia="黑体"/>
        </w:rPr>
        <w:t>科创企业资产结构特征：从“砖瓦”到“算力”</w:t>
      </w:r>
      <w:r>
        <w:tab/>
      </w:r>
      <w:r>
        <w:fldChar w:fldCharType="begin"/>
      </w:r>
      <w:r>
        <w:instrText xml:space="preserve"> PAGEREF _Toc237 \h </w:instrText>
      </w:r>
      <w:r>
        <w:fldChar w:fldCharType="separate"/>
      </w:r>
      <w:r>
        <w:t>20</w:t>
      </w:r>
      <w:r>
        <w:fldChar w:fldCharType="end"/>
      </w:r>
      <w:r>
        <w:fldChar w:fldCharType="end"/>
      </w:r>
    </w:p>
    <w:p w14:paraId="68612B5C">
      <w:pPr>
        <w:pStyle w:val="19"/>
        <w:tabs>
          <w:tab w:val="right" w:leader="dot" w:pos="9072"/>
        </w:tabs>
      </w:pPr>
      <w:r>
        <w:fldChar w:fldCharType="begin"/>
      </w:r>
      <w:r>
        <w:instrText xml:space="preserve"> HYPERLINK \l _Toc29792 </w:instrText>
      </w:r>
      <w:r>
        <w:fldChar w:fldCharType="separate"/>
      </w:r>
      <w:r>
        <w:rPr>
          <w:rFonts w:ascii="Times New Roman" w:hAnsi="Times New Roman" w:eastAsia="黑体"/>
        </w:rPr>
        <w:t xml:space="preserve">2.2 </w:t>
      </w:r>
      <w:r>
        <w:rPr>
          <w:rFonts w:hint="eastAsia" w:ascii="Times New Roman" w:hAnsi="Times New Roman" w:eastAsia="黑体"/>
        </w:rPr>
        <w:t>折旧估计的会计制度空间</w:t>
      </w:r>
      <w:r>
        <w:tab/>
      </w:r>
      <w:r>
        <w:fldChar w:fldCharType="begin"/>
      </w:r>
      <w:r>
        <w:instrText xml:space="preserve"> PAGEREF _Toc29792 \h </w:instrText>
      </w:r>
      <w:r>
        <w:fldChar w:fldCharType="separate"/>
      </w:r>
      <w:r>
        <w:t>20</w:t>
      </w:r>
      <w:r>
        <w:fldChar w:fldCharType="end"/>
      </w:r>
      <w:r>
        <w:fldChar w:fldCharType="end"/>
      </w:r>
    </w:p>
    <w:p w14:paraId="169D2885">
      <w:pPr>
        <w:pStyle w:val="19"/>
        <w:tabs>
          <w:tab w:val="right" w:leader="dot" w:pos="9072"/>
        </w:tabs>
      </w:pPr>
      <w:r>
        <w:fldChar w:fldCharType="begin"/>
      </w:r>
      <w:r>
        <w:instrText xml:space="preserve"> HYPERLINK \l _Toc27071 </w:instrText>
      </w:r>
      <w:r>
        <w:fldChar w:fldCharType="separate"/>
      </w:r>
      <w:r>
        <w:rPr>
          <w:rFonts w:ascii="Times New Roman" w:hAnsi="Times New Roman" w:eastAsia="黑体"/>
        </w:rPr>
        <w:t xml:space="preserve">2.3 </w:t>
      </w:r>
      <w:r>
        <w:rPr>
          <w:rFonts w:hint="eastAsia" w:ascii="Times New Roman" w:hAnsi="Times New Roman" w:eastAsia="黑体"/>
        </w:rPr>
        <w:t>文献综述与方法论定位</w:t>
      </w:r>
      <w:r>
        <w:tab/>
      </w:r>
      <w:r>
        <w:fldChar w:fldCharType="begin"/>
      </w:r>
      <w:r>
        <w:instrText xml:space="preserve"> PAGEREF _Toc27071 \h </w:instrText>
      </w:r>
      <w:r>
        <w:fldChar w:fldCharType="separate"/>
      </w:r>
      <w:r>
        <w:t>21</w:t>
      </w:r>
      <w:r>
        <w:fldChar w:fldCharType="end"/>
      </w:r>
      <w:r>
        <w:fldChar w:fldCharType="end"/>
      </w:r>
    </w:p>
    <w:p w14:paraId="71383A3A">
      <w:pPr>
        <w:pStyle w:val="19"/>
        <w:tabs>
          <w:tab w:val="right" w:leader="dot" w:pos="9072"/>
        </w:tabs>
      </w:pPr>
      <w:r>
        <w:fldChar w:fldCharType="begin"/>
      </w:r>
      <w:r>
        <w:instrText xml:space="preserve"> HYPERLINK \l _Toc3945 </w:instrText>
      </w:r>
      <w:r>
        <w:fldChar w:fldCharType="separate"/>
      </w:r>
      <w:r>
        <w:rPr>
          <w:rFonts w:ascii="Times New Roman" w:hAnsi="Times New Roman" w:eastAsia="黑体"/>
        </w:rPr>
        <w:t xml:space="preserve">2.4 </w:t>
      </w:r>
      <w:r>
        <w:rPr>
          <w:rFonts w:hint="eastAsia" w:ascii="Times New Roman" w:hAnsi="Times New Roman" w:eastAsia="黑体"/>
        </w:rPr>
        <w:t>核心概念界定</w:t>
      </w:r>
      <w:r>
        <w:tab/>
      </w:r>
      <w:r>
        <w:fldChar w:fldCharType="begin"/>
      </w:r>
      <w:r>
        <w:instrText xml:space="preserve"> PAGEREF _Toc3945 \h </w:instrText>
      </w:r>
      <w:r>
        <w:fldChar w:fldCharType="separate"/>
      </w:r>
      <w:r>
        <w:t>23</w:t>
      </w:r>
      <w:r>
        <w:fldChar w:fldCharType="end"/>
      </w:r>
      <w:r>
        <w:fldChar w:fldCharType="end"/>
      </w:r>
    </w:p>
    <w:p w14:paraId="67E2F815">
      <w:pPr>
        <w:pStyle w:val="19"/>
        <w:tabs>
          <w:tab w:val="right" w:leader="dot" w:pos="9072"/>
        </w:tabs>
      </w:pPr>
      <w:r>
        <w:fldChar w:fldCharType="begin"/>
      </w:r>
      <w:r>
        <w:instrText xml:space="preserve"> HYPERLINK \l _Toc28231 </w:instrText>
      </w:r>
      <w:r>
        <w:fldChar w:fldCharType="separate"/>
      </w:r>
      <w:r>
        <w:rPr>
          <w:rFonts w:ascii="Times New Roman" w:hAnsi="Times New Roman" w:eastAsia="黑体"/>
        </w:rPr>
        <w:t xml:space="preserve">2.5 </w:t>
      </w:r>
      <w:r>
        <w:rPr>
          <w:rFonts w:hint="eastAsia" w:ascii="Times New Roman" w:hAnsi="Times New Roman" w:eastAsia="黑体"/>
        </w:rPr>
        <w:t>为什么传统风控体系识别不了折旧错配</w:t>
      </w:r>
      <w:r>
        <w:tab/>
      </w:r>
      <w:r>
        <w:fldChar w:fldCharType="begin"/>
      </w:r>
      <w:r>
        <w:instrText xml:space="preserve"> PAGEREF _Toc28231 \h </w:instrText>
      </w:r>
      <w:r>
        <w:fldChar w:fldCharType="separate"/>
      </w:r>
      <w:r>
        <w:t>24</w:t>
      </w:r>
      <w:r>
        <w:fldChar w:fldCharType="end"/>
      </w:r>
      <w:r>
        <w:fldChar w:fldCharType="end"/>
      </w:r>
    </w:p>
    <w:p w14:paraId="778AA609">
      <w:pPr>
        <w:pStyle w:val="16"/>
        <w:tabs>
          <w:tab w:val="right" w:leader="dot" w:pos="9072"/>
        </w:tabs>
      </w:pPr>
      <w:r>
        <w:fldChar w:fldCharType="begin"/>
      </w:r>
      <w:r>
        <w:instrText xml:space="preserve"> HYPERLINK \l _Toc32393 </w:instrText>
      </w:r>
      <w:r>
        <w:fldChar w:fldCharType="separate"/>
      </w:r>
      <w:r>
        <w:rPr>
          <w:rFonts w:hint="eastAsia" w:ascii="Times New Roman" w:hAnsi="Times New Roman" w:eastAsia="黑体"/>
        </w:rPr>
        <w:t>第三章研究设计与方法论</w:t>
      </w:r>
      <w:r>
        <w:tab/>
      </w:r>
      <w:r>
        <w:fldChar w:fldCharType="begin"/>
      </w:r>
      <w:r>
        <w:instrText xml:space="preserve"> PAGEREF _Toc32393 \h </w:instrText>
      </w:r>
      <w:r>
        <w:fldChar w:fldCharType="separate"/>
      </w:r>
      <w:r>
        <w:t>29</w:t>
      </w:r>
      <w:r>
        <w:fldChar w:fldCharType="end"/>
      </w:r>
      <w:r>
        <w:fldChar w:fldCharType="end"/>
      </w:r>
    </w:p>
    <w:p w14:paraId="692F0C18">
      <w:pPr>
        <w:pStyle w:val="19"/>
        <w:tabs>
          <w:tab w:val="right" w:leader="dot" w:pos="9072"/>
        </w:tabs>
      </w:pPr>
      <w:r>
        <w:fldChar w:fldCharType="begin"/>
      </w:r>
      <w:r>
        <w:instrText xml:space="preserve"> HYPERLINK \l _Toc12771 </w:instrText>
      </w:r>
      <w:r>
        <w:fldChar w:fldCharType="separate"/>
      </w:r>
      <w:r>
        <w:rPr>
          <w:rFonts w:ascii="Times New Roman" w:hAnsi="Times New Roman" w:eastAsia="黑体"/>
        </w:rPr>
        <w:t xml:space="preserve">3.1 </w:t>
      </w:r>
      <w:r>
        <w:rPr>
          <w:rFonts w:hint="eastAsia" w:ascii="Times New Roman" w:hAnsi="Times New Roman" w:eastAsia="黑体"/>
        </w:rPr>
        <w:t>总体研究框架</w:t>
      </w:r>
      <w:r>
        <w:tab/>
      </w:r>
      <w:r>
        <w:fldChar w:fldCharType="begin"/>
      </w:r>
      <w:r>
        <w:instrText xml:space="preserve"> PAGEREF _Toc12771 \h </w:instrText>
      </w:r>
      <w:r>
        <w:fldChar w:fldCharType="separate"/>
      </w:r>
      <w:r>
        <w:t>29</w:t>
      </w:r>
      <w:r>
        <w:fldChar w:fldCharType="end"/>
      </w:r>
      <w:r>
        <w:fldChar w:fldCharType="end"/>
      </w:r>
    </w:p>
    <w:p w14:paraId="3C04A7CA">
      <w:pPr>
        <w:pStyle w:val="19"/>
        <w:tabs>
          <w:tab w:val="right" w:leader="dot" w:pos="9072"/>
        </w:tabs>
      </w:pPr>
      <w:r>
        <w:fldChar w:fldCharType="begin"/>
      </w:r>
      <w:r>
        <w:instrText xml:space="preserve"> HYPERLINK \l _Toc27494 </w:instrText>
      </w:r>
      <w:r>
        <w:fldChar w:fldCharType="separate"/>
      </w:r>
      <w:r>
        <w:rPr>
          <w:rFonts w:ascii="Times New Roman" w:hAnsi="Times New Roman" w:eastAsia="黑体"/>
        </w:rPr>
        <w:t xml:space="preserve">3.2 </w:t>
      </w:r>
      <w:r>
        <w:rPr>
          <w:rFonts w:hint="eastAsia" w:ascii="Times New Roman" w:hAnsi="Times New Roman" w:eastAsia="黑体"/>
        </w:rPr>
        <w:t>数据来源与样本选择</w:t>
      </w:r>
      <w:r>
        <w:tab/>
      </w:r>
      <w:r>
        <w:fldChar w:fldCharType="begin"/>
      </w:r>
      <w:r>
        <w:instrText xml:space="preserve"> PAGEREF _Toc27494 \h </w:instrText>
      </w:r>
      <w:r>
        <w:fldChar w:fldCharType="separate"/>
      </w:r>
      <w:r>
        <w:t>31</w:t>
      </w:r>
      <w:r>
        <w:fldChar w:fldCharType="end"/>
      </w:r>
      <w:r>
        <w:fldChar w:fldCharType="end"/>
      </w:r>
    </w:p>
    <w:p w14:paraId="2342FE16">
      <w:pPr>
        <w:pStyle w:val="19"/>
        <w:tabs>
          <w:tab w:val="right" w:leader="dot" w:pos="9072"/>
        </w:tabs>
      </w:pPr>
      <w:r>
        <w:fldChar w:fldCharType="begin"/>
      </w:r>
      <w:r>
        <w:instrText xml:space="preserve"> HYPERLINK \l _Toc1109 </w:instrText>
      </w:r>
      <w:r>
        <w:fldChar w:fldCharType="separate"/>
      </w:r>
      <w:r>
        <w:rPr>
          <w:rFonts w:ascii="Times New Roman" w:hAnsi="Times New Roman" w:eastAsia="黑体"/>
        </w:rPr>
        <w:t xml:space="preserve">3.3 </w:t>
      </w:r>
      <w:r>
        <w:rPr>
          <w:rFonts w:hint="eastAsia" w:ascii="Times New Roman" w:hAnsi="Times New Roman" w:eastAsia="黑体"/>
        </w:rPr>
        <w:t>证据链标注体系（Evidence-Chain</w:t>
      </w:r>
      <w:r>
        <w:rPr>
          <w:rFonts w:ascii="Times New Roman" w:hAnsi="Times New Roman" w:eastAsia="黑体"/>
        </w:rPr>
        <w:t xml:space="preserve"> </w:t>
      </w:r>
      <w:r>
        <w:rPr>
          <w:rFonts w:hint="eastAsia" w:ascii="Times New Roman" w:hAnsi="Times New Roman" w:eastAsia="黑体"/>
        </w:rPr>
        <w:t>Annotation）</w:t>
      </w:r>
      <w:r>
        <w:tab/>
      </w:r>
      <w:r>
        <w:fldChar w:fldCharType="begin"/>
      </w:r>
      <w:r>
        <w:instrText xml:space="preserve"> PAGEREF _Toc1109 \h </w:instrText>
      </w:r>
      <w:r>
        <w:fldChar w:fldCharType="separate"/>
      </w:r>
      <w:r>
        <w:t>33</w:t>
      </w:r>
      <w:r>
        <w:fldChar w:fldCharType="end"/>
      </w:r>
      <w:r>
        <w:fldChar w:fldCharType="end"/>
      </w:r>
    </w:p>
    <w:p w14:paraId="74B76C8A">
      <w:pPr>
        <w:pStyle w:val="19"/>
        <w:tabs>
          <w:tab w:val="right" w:leader="dot" w:pos="9072"/>
        </w:tabs>
      </w:pPr>
      <w:r>
        <w:fldChar w:fldCharType="begin"/>
      </w:r>
      <w:r>
        <w:instrText xml:space="preserve"> HYPERLINK \l _Toc26766 </w:instrText>
      </w:r>
      <w:r>
        <w:fldChar w:fldCharType="separate"/>
      </w:r>
      <w:r>
        <w:rPr>
          <w:rFonts w:ascii="Times New Roman" w:hAnsi="Times New Roman" w:eastAsia="黑体"/>
        </w:rPr>
        <w:t xml:space="preserve">3.4 </w:t>
      </w:r>
      <w:r>
        <w:rPr>
          <w:rFonts w:hint="eastAsia" w:ascii="Times New Roman" w:hAnsi="Times New Roman" w:eastAsia="黑体"/>
        </w:rPr>
        <w:t>五维度折旧风险评分模型（5D-DRS）</w:t>
      </w:r>
      <w:r>
        <w:tab/>
      </w:r>
      <w:r>
        <w:fldChar w:fldCharType="begin"/>
      </w:r>
      <w:r>
        <w:instrText xml:space="preserve"> PAGEREF _Toc26766 \h </w:instrText>
      </w:r>
      <w:r>
        <w:fldChar w:fldCharType="separate"/>
      </w:r>
      <w:r>
        <w:t>39</w:t>
      </w:r>
      <w:r>
        <w:fldChar w:fldCharType="end"/>
      </w:r>
      <w:r>
        <w:fldChar w:fldCharType="end"/>
      </w:r>
    </w:p>
    <w:p w14:paraId="5A20445C">
      <w:pPr>
        <w:pStyle w:val="19"/>
        <w:tabs>
          <w:tab w:val="right" w:leader="dot" w:pos="9072"/>
        </w:tabs>
      </w:pPr>
      <w:r>
        <w:fldChar w:fldCharType="begin"/>
      </w:r>
      <w:r>
        <w:instrText xml:space="preserve"> HYPERLINK \l _Toc28806 </w:instrText>
      </w:r>
      <w:r>
        <w:fldChar w:fldCharType="separate"/>
      </w:r>
      <w:r>
        <w:rPr>
          <w:rFonts w:ascii="Times New Roman" w:hAnsi="Times New Roman" w:eastAsia="黑体"/>
        </w:rPr>
        <w:t xml:space="preserve">3.5 </w:t>
      </w:r>
      <w:r>
        <w:rPr>
          <w:rFonts w:hint="eastAsia" w:ascii="Times New Roman" w:hAnsi="Times New Roman" w:eastAsia="黑体"/>
        </w:rPr>
        <w:t>财务指标体系（45</w:t>
      </w:r>
      <w:r>
        <w:rPr>
          <w:rFonts w:ascii="Times New Roman" w:hAnsi="Times New Roman" w:eastAsia="黑体"/>
        </w:rPr>
        <w:t xml:space="preserve"> </w:t>
      </w:r>
      <w:r>
        <w:rPr>
          <w:rFonts w:hint="eastAsia" w:ascii="Times New Roman" w:hAnsi="Times New Roman" w:eastAsia="黑体"/>
        </w:rPr>
        <w:t>指标三层结构）</w:t>
      </w:r>
      <w:r>
        <w:tab/>
      </w:r>
      <w:r>
        <w:fldChar w:fldCharType="begin"/>
      </w:r>
      <w:r>
        <w:instrText xml:space="preserve"> PAGEREF _Toc28806 \h </w:instrText>
      </w:r>
      <w:r>
        <w:fldChar w:fldCharType="separate"/>
      </w:r>
      <w:r>
        <w:t>44</w:t>
      </w:r>
      <w:r>
        <w:fldChar w:fldCharType="end"/>
      </w:r>
      <w:r>
        <w:fldChar w:fldCharType="end"/>
      </w:r>
    </w:p>
    <w:p w14:paraId="006B66B7">
      <w:pPr>
        <w:pStyle w:val="19"/>
        <w:tabs>
          <w:tab w:val="right" w:leader="dot" w:pos="9072"/>
        </w:tabs>
      </w:pPr>
      <w:r>
        <w:fldChar w:fldCharType="begin"/>
      </w:r>
      <w:r>
        <w:instrText xml:space="preserve"> HYPERLINK \l _Toc13734 </w:instrText>
      </w:r>
      <w:r>
        <w:fldChar w:fldCharType="separate"/>
      </w:r>
      <w:r>
        <w:rPr>
          <w:rFonts w:ascii="Times New Roman" w:hAnsi="Times New Roman" w:eastAsia="黑体"/>
        </w:rPr>
        <w:t xml:space="preserve">3.6 AI </w:t>
      </w:r>
      <w:r>
        <w:rPr>
          <w:rFonts w:hint="eastAsia" w:ascii="Times New Roman" w:hAnsi="Times New Roman" w:eastAsia="黑体"/>
        </w:rPr>
        <w:t>技术应用架构</w:t>
      </w:r>
      <w:r>
        <w:tab/>
      </w:r>
      <w:r>
        <w:fldChar w:fldCharType="begin"/>
      </w:r>
      <w:r>
        <w:instrText xml:space="preserve"> PAGEREF _Toc13734 \h </w:instrText>
      </w:r>
      <w:r>
        <w:fldChar w:fldCharType="separate"/>
      </w:r>
      <w:r>
        <w:t>44</w:t>
      </w:r>
      <w:r>
        <w:fldChar w:fldCharType="end"/>
      </w:r>
      <w:r>
        <w:fldChar w:fldCharType="end"/>
      </w:r>
    </w:p>
    <w:p w14:paraId="32500080">
      <w:pPr>
        <w:pStyle w:val="19"/>
        <w:tabs>
          <w:tab w:val="right" w:leader="dot" w:pos="9072"/>
        </w:tabs>
      </w:pPr>
      <w:r>
        <w:fldChar w:fldCharType="begin"/>
      </w:r>
      <w:r>
        <w:instrText xml:space="preserve"> HYPERLINK \l _Toc7769 </w:instrText>
      </w:r>
      <w:r>
        <w:fldChar w:fldCharType="separate"/>
      </w:r>
      <w:r>
        <w:rPr>
          <w:rFonts w:ascii="Times New Roman" w:hAnsi="Times New Roman" w:eastAsia="黑体"/>
        </w:rPr>
        <w:t xml:space="preserve">3.7 </w:t>
      </w:r>
      <w:r>
        <w:rPr>
          <w:rFonts w:hint="eastAsia" w:ascii="Times New Roman" w:hAnsi="Times New Roman" w:eastAsia="黑体"/>
        </w:rPr>
        <w:t>信度、效度与研究伦理</w:t>
      </w:r>
      <w:r>
        <w:tab/>
      </w:r>
      <w:r>
        <w:fldChar w:fldCharType="begin"/>
      </w:r>
      <w:r>
        <w:instrText xml:space="preserve"> PAGEREF _Toc7769 \h </w:instrText>
      </w:r>
      <w:r>
        <w:fldChar w:fldCharType="separate"/>
      </w:r>
      <w:r>
        <w:t>46</w:t>
      </w:r>
      <w:r>
        <w:fldChar w:fldCharType="end"/>
      </w:r>
      <w:r>
        <w:fldChar w:fldCharType="end"/>
      </w:r>
    </w:p>
    <w:p w14:paraId="7FB7EFF2">
      <w:pPr>
        <w:pStyle w:val="16"/>
        <w:tabs>
          <w:tab w:val="right" w:leader="dot" w:pos="9072"/>
        </w:tabs>
      </w:pPr>
      <w:r>
        <w:fldChar w:fldCharType="begin"/>
      </w:r>
      <w:r>
        <w:instrText xml:space="preserve"> HYPERLINK \l _Toc3707 </w:instrText>
      </w:r>
      <w:r>
        <w:fldChar w:fldCharType="separate"/>
      </w:r>
      <w:r>
        <w:rPr>
          <w:rFonts w:hint="eastAsia" w:ascii="Times New Roman" w:hAnsi="Times New Roman" w:eastAsia="黑体"/>
        </w:rPr>
        <w:t>第四章实证结果：美国十大科技公司折旧风险面板分析</w:t>
      </w:r>
      <w:r>
        <w:tab/>
      </w:r>
      <w:r>
        <w:fldChar w:fldCharType="begin"/>
      </w:r>
      <w:r>
        <w:instrText xml:space="preserve"> PAGEREF _Toc3707 \h </w:instrText>
      </w:r>
      <w:r>
        <w:fldChar w:fldCharType="separate"/>
      </w:r>
      <w:r>
        <w:t>48</w:t>
      </w:r>
      <w:r>
        <w:fldChar w:fldCharType="end"/>
      </w:r>
      <w:r>
        <w:fldChar w:fldCharType="end"/>
      </w:r>
    </w:p>
    <w:p w14:paraId="4519C505">
      <w:pPr>
        <w:pStyle w:val="19"/>
        <w:tabs>
          <w:tab w:val="right" w:leader="dot" w:pos="9072"/>
        </w:tabs>
      </w:pPr>
      <w:r>
        <w:fldChar w:fldCharType="begin"/>
      </w:r>
      <w:r>
        <w:instrText xml:space="preserve"> HYPERLINK \l _Toc2068 </w:instrText>
      </w:r>
      <w:r>
        <w:fldChar w:fldCharType="separate"/>
      </w:r>
      <w:r>
        <w:rPr>
          <w:rFonts w:ascii="Times New Roman" w:hAnsi="Times New Roman" w:eastAsia="黑体"/>
        </w:rPr>
        <w:t xml:space="preserve">4.1 </w:t>
      </w:r>
      <w:r>
        <w:rPr>
          <w:rFonts w:hint="eastAsia" w:ascii="Times New Roman" w:hAnsi="Times New Roman" w:eastAsia="黑体"/>
        </w:rPr>
        <w:t>面板总览：10</w:t>
      </w:r>
      <w:r>
        <w:rPr>
          <w:rFonts w:ascii="Times New Roman" w:hAnsi="Times New Roman" w:eastAsia="黑体"/>
        </w:rPr>
        <w:t xml:space="preserve"> </w:t>
      </w:r>
      <w:r>
        <w:rPr>
          <w:rFonts w:hint="eastAsia" w:ascii="Times New Roman" w:hAnsi="Times New Roman" w:eastAsia="黑体"/>
        </w:rPr>
        <w:t>家</w:t>
      </w:r>
      <w:r>
        <w:rPr>
          <w:rFonts w:ascii="Times New Roman" w:hAnsi="Times New Roman" w:eastAsia="黑体"/>
        </w:rPr>
        <w:t xml:space="preserve"> × 3 </w:t>
      </w:r>
      <w:r>
        <w:rPr>
          <w:rFonts w:hint="eastAsia" w:ascii="Times New Roman" w:hAnsi="Times New Roman" w:eastAsia="黑体"/>
        </w:rPr>
        <w:t>财年</w:t>
      </w:r>
      <w:r>
        <w:rPr>
          <w:rFonts w:ascii="Times New Roman" w:hAnsi="Times New Roman" w:eastAsia="黑体"/>
        </w:rPr>
        <w:t xml:space="preserve"> = 30 </w:t>
      </w:r>
      <w:r>
        <w:rPr>
          <w:rFonts w:hint="eastAsia" w:ascii="Times New Roman" w:hAnsi="Times New Roman" w:eastAsia="黑体"/>
        </w:rPr>
        <w:t>个观测</w:t>
      </w:r>
      <w:r>
        <w:tab/>
      </w:r>
      <w:r>
        <w:fldChar w:fldCharType="begin"/>
      </w:r>
      <w:r>
        <w:instrText xml:space="preserve"> PAGEREF _Toc2068 \h </w:instrText>
      </w:r>
      <w:r>
        <w:fldChar w:fldCharType="separate"/>
      </w:r>
      <w:r>
        <w:t>48</w:t>
      </w:r>
      <w:r>
        <w:fldChar w:fldCharType="end"/>
      </w:r>
      <w:r>
        <w:fldChar w:fldCharType="end"/>
      </w:r>
    </w:p>
    <w:p w14:paraId="6521A47B">
      <w:pPr>
        <w:pStyle w:val="19"/>
        <w:tabs>
          <w:tab w:val="right" w:leader="dot" w:pos="9072"/>
        </w:tabs>
      </w:pPr>
      <w:r>
        <w:fldChar w:fldCharType="begin"/>
      </w:r>
      <w:r>
        <w:instrText xml:space="preserve"> HYPERLINK \l _Toc9016 </w:instrText>
      </w:r>
      <w:r>
        <w:fldChar w:fldCharType="separate"/>
      </w:r>
      <w:r>
        <w:rPr>
          <w:rFonts w:ascii="Times New Roman" w:hAnsi="Times New Roman" w:eastAsia="黑体"/>
        </w:rPr>
        <w:t xml:space="preserve">4.2 </w:t>
      </w:r>
      <w:r>
        <w:rPr>
          <w:rFonts w:hint="eastAsia" w:ascii="Times New Roman" w:hAnsi="Times New Roman" w:eastAsia="黑体"/>
        </w:rPr>
        <w:t>中心年横截面：风险排行榜</w:t>
      </w:r>
      <w:r>
        <w:tab/>
      </w:r>
      <w:r>
        <w:fldChar w:fldCharType="begin"/>
      </w:r>
      <w:r>
        <w:instrText xml:space="preserve"> PAGEREF _Toc9016 \h </w:instrText>
      </w:r>
      <w:r>
        <w:fldChar w:fldCharType="separate"/>
      </w:r>
      <w:r>
        <w:t>50</w:t>
      </w:r>
      <w:r>
        <w:fldChar w:fldCharType="end"/>
      </w:r>
      <w:r>
        <w:fldChar w:fldCharType="end"/>
      </w:r>
    </w:p>
    <w:p w14:paraId="431BFD89">
      <w:pPr>
        <w:pStyle w:val="19"/>
        <w:tabs>
          <w:tab w:val="right" w:leader="dot" w:pos="9072"/>
        </w:tabs>
      </w:pPr>
      <w:r>
        <w:fldChar w:fldCharType="begin"/>
      </w:r>
      <w:r>
        <w:instrText xml:space="preserve"> HYPERLINK \l _Toc18483 </w:instrText>
      </w:r>
      <w:r>
        <w:fldChar w:fldCharType="separate"/>
      </w:r>
      <w:r>
        <w:rPr>
          <w:rFonts w:ascii="Times New Roman" w:hAnsi="Times New Roman" w:eastAsia="黑体"/>
        </w:rPr>
        <w:t xml:space="preserve">4.3 </w:t>
      </w:r>
      <w:r>
        <w:rPr>
          <w:rFonts w:hint="eastAsia" w:ascii="Times New Roman" w:hAnsi="Times New Roman" w:eastAsia="黑体"/>
        </w:rPr>
        <w:t>高风险组（≥4.0）：五家公司的三张面孔</w:t>
      </w:r>
      <w:r>
        <w:tab/>
      </w:r>
      <w:r>
        <w:fldChar w:fldCharType="begin"/>
      </w:r>
      <w:r>
        <w:instrText xml:space="preserve"> PAGEREF _Toc18483 \h </w:instrText>
      </w:r>
      <w:r>
        <w:fldChar w:fldCharType="separate"/>
      </w:r>
      <w:r>
        <w:t>53</w:t>
      </w:r>
      <w:r>
        <w:fldChar w:fldCharType="end"/>
      </w:r>
      <w:r>
        <w:fldChar w:fldCharType="end"/>
      </w:r>
    </w:p>
    <w:p w14:paraId="15C8DBAD">
      <w:pPr>
        <w:pStyle w:val="19"/>
        <w:tabs>
          <w:tab w:val="right" w:leader="dot" w:pos="9072"/>
        </w:tabs>
      </w:pPr>
      <w:r>
        <w:fldChar w:fldCharType="begin"/>
      </w:r>
      <w:r>
        <w:instrText xml:space="preserve"> HYPERLINK \l _Toc2942 </w:instrText>
      </w:r>
      <w:r>
        <w:fldChar w:fldCharType="separate"/>
      </w:r>
      <w:r>
        <w:rPr>
          <w:rFonts w:ascii="Times New Roman" w:hAnsi="Times New Roman" w:eastAsia="黑体"/>
        </w:rPr>
        <w:t xml:space="preserve">4.4 </w:t>
      </w:r>
      <w:r>
        <w:rPr>
          <w:rFonts w:hint="eastAsia" w:ascii="Times New Roman" w:hAnsi="Times New Roman" w:eastAsia="黑体"/>
        </w:rPr>
        <w:t>中高风险组（3.0-3.9）：风险的三种形态</w:t>
      </w:r>
      <w:r>
        <w:tab/>
      </w:r>
      <w:r>
        <w:fldChar w:fldCharType="begin"/>
      </w:r>
      <w:r>
        <w:instrText xml:space="preserve"> PAGEREF _Toc2942 \h </w:instrText>
      </w:r>
      <w:r>
        <w:fldChar w:fldCharType="separate"/>
      </w:r>
      <w:r>
        <w:t>57</w:t>
      </w:r>
      <w:r>
        <w:fldChar w:fldCharType="end"/>
      </w:r>
      <w:r>
        <w:fldChar w:fldCharType="end"/>
      </w:r>
    </w:p>
    <w:p w14:paraId="708DF07C">
      <w:pPr>
        <w:pStyle w:val="19"/>
        <w:tabs>
          <w:tab w:val="right" w:leader="dot" w:pos="9072"/>
        </w:tabs>
      </w:pPr>
      <w:r>
        <w:fldChar w:fldCharType="begin"/>
      </w:r>
      <w:r>
        <w:instrText xml:space="preserve"> HYPERLINK \l _Toc10905 </w:instrText>
      </w:r>
      <w:r>
        <w:fldChar w:fldCharType="separate"/>
      </w:r>
      <w:r>
        <w:rPr>
          <w:rFonts w:ascii="Times New Roman" w:hAnsi="Times New Roman" w:eastAsia="黑体"/>
        </w:rPr>
        <w:t xml:space="preserve">4.5 </w:t>
      </w:r>
      <w:r>
        <w:rPr>
          <w:rFonts w:hint="eastAsia" w:ascii="Times New Roman" w:hAnsi="Times New Roman" w:eastAsia="黑体"/>
        </w:rPr>
        <w:t>低分对照组（&lt;3.0）：模型的判别效度</w:t>
      </w:r>
      <w:r>
        <w:tab/>
      </w:r>
      <w:r>
        <w:fldChar w:fldCharType="begin"/>
      </w:r>
      <w:r>
        <w:instrText xml:space="preserve"> PAGEREF _Toc10905 \h </w:instrText>
      </w:r>
      <w:r>
        <w:fldChar w:fldCharType="separate"/>
      </w:r>
      <w:r>
        <w:t>60</w:t>
      </w:r>
      <w:r>
        <w:fldChar w:fldCharType="end"/>
      </w:r>
      <w:r>
        <w:fldChar w:fldCharType="end"/>
      </w:r>
    </w:p>
    <w:p w14:paraId="58832633">
      <w:pPr>
        <w:pStyle w:val="19"/>
        <w:tabs>
          <w:tab w:val="right" w:leader="dot" w:pos="9072"/>
        </w:tabs>
      </w:pPr>
      <w:r>
        <w:fldChar w:fldCharType="begin"/>
      </w:r>
      <w:r>
        <w:instrText xml:space="preserve"> HYPERLINK \l _Toc21316 </w:instrText>
      </w:r>
      <w:r>
        <w:fldChar w:fldCharType="separate"/>
      </w:r>
      <w:r>
        <w:rPr>
          <w:rFonts w:ascii="Times New Roman" w:hAnsi="Times New Roman" w:eastAsia="黑体"/>
        </w:rPr>
        <w:t xml:space="preserve">4.6 </w:t>
      </w:r>
      <w:r>
        <w:rPr>
          <w:rFonts w:hint="eastAsia" w:ascii="Times New Roman" w:hAnsi="Times New Roman" w:eastAsia="黑体"/>
        </w:rPr>
        <w:t>四个结构性发现</w:t>
      </w:r>
      <w:r>
        <w:tab/>
      </w:r>
      <w:r>
        <w:fldChar w:fldCharType="begin"/>
      </w:r>
      <w:r>
        <w:instrText xml:space="preserve"> PAGEREF _Toc21316 \h </w:instrText>
      </w:r>
      <w:r>
        <w:fldChar w:fldCharType="separate"/>
      </w:r>
      <w:r>
        <w:t>61</w:t>
      </w:r>
      <w:r>
        <w:fldChar w:fldCharType="end"/>
      </w:r>
      <w:r>
        <w:fldChar w:fldCharType="end"/>
      </w:r>
    </w:p>
    <w:p w14:paraId="62DC1377">
      <w:pPr>
        <w:pStyle w:val="19"/>
        <w:tabs>
          <w:tab w:val="right" w:leader="dot" w:pos="9072"/>
        </w:tabs>
      </w:pPr>
      <w:r>
        <w:fldChar w:fldCharType="begin"/>
      </w:r>
      <w:r>
        <w:instrText xml:space="preserve"> HYPERLINK \l _Toc17530 </w:instrText>
      </w:r>
      <w:r>
        <w:fldChar w:fldCharType="separate"/>
      </w:r>
      <w:r>
        <w:rPr>
          <w:rFonts w:ascii="Times New Roman" w:hAnsi="Times New Roman" w:eastAsia="黑体"/>
        </w:rPr>
        <w:t xml:space="preserve">4.7 </w:t>
      </w:r>
      <w:r>
        <w:rPr>
          <w:rFonts w:hint="eastAsia" w:ascii="Times New Roman" w:hAnsi="Times New Roman" w:eastAsia="黑体"/>
        </w:rPr>
        <w:t>本章小结</w:t>
      </w:r>
      <w:r>
        <w:tab/>
      </w:r>
      <w:r>
        <w:fldChar w:fldCharType="begin"/>
      </w:r>
      <w:r>
        <w:instrText xml:space="preserve"> PAGEREF _Toc17530 \h </w:instrText>
      </w:r>
      <w:r>
        <w:fldChar w:fldCharType="separate"/>
      </w:r>
      <w:r>
        <w:t>64</w:t>
      </w:r>
      <w:r>
        <w:fldChar w:fldCharType="end"/>
      </w:r>
      <w:r>
        <w:fldChar w:fldCharType="end"/>
      </w:r>
    </w:p>
    <w:p w14:paraId="063E3FBC">
      <w:pPr>
        <w:pStyle w:val="16"/>
        <w:tabs>
          <w:tab w:val="right" w:leader="dot" w:pos="9072"/>
        </w:tabs>
      </w:pPr>
      <w:r>
        <w:fldChar w:fldCharType="begin"/>
      </w:r>
      <w:r>
        <w:instrText xml:space="preserve"> HYPERLINK \l _Toc30628 </w:instrText>
      </w:r>
      <w:r>
        <w:fldChar w:fldCharType="separate"/>
      </w:r>
      <w:r>
        <w:rPr>
          <w:rFonts w:hint="eastAsia" w:ascii="Times New Roman" w:hAnsi="Times New Roman" w:eastAsia="黑体"/>
        </w:rPr>
        <w:t>第五章风险管理体系设计：从识别到落地的全链条方案</w:t>
      </w:r>
      <w:r>
        <w:tab/>
      </w:r>
      <w:r>
        <w:fldChar w:fldCharType="begin"/>
      </w:r>
      <w:r>
        <w:instrText xml:space="preserve"> PAGEREF _Toc30628 \h </w:instrText>
      </w:r>
      <w:r>
        <w:fldChar w:fldCharType="separate"/>
      </w:r>
      <w:r>
        <w:t>65</w:t>
      </w:r>
      <w:r>
        <w:fldChar w:fldCharType="end"/>
      </w:r>
      <w:r>
        <w:fldChar w:fldCharType="end"/>
      </w:r>
    </w:p>
    <w:p w14:paraId="3C3AB743">
      <w:pPr>
        <w:pStyle w:val="19"/>
        <w:tabs>
          <w:tab w:val="right" w:leader="dot" w:pos="9072"/>
        </w:tabs>
      </w:pPr>
      <w:r>
        <w:fldChar w:fldCharType="begin"/>
      </w:r>
      <w:r>
        <w:instrText xml:space="preserve"> HYPERLINK \l _Toc12409 </w:instrText>
      </w:r>
      <w:r>
        <w:fldChar w:fldCharType="separate"/>
      </w:r>
      <w:r>
        <w:rPr>
          <w:rFonts w:ascii="Times New Roman" w:hAnsi="Times New Roman" w:eastAsia="黑体"/>
        </w:rPr>
        <w:t xml:space="preserve">5.2 </w:t>
      </w:r>
      <w:r>
        <w:rPr>
          <w:rFonts w:hint="eastAsia" w:ascii="Times New Roman" w:hAnsi="Times New Roman" w:eastAsia="黑体"/>
        </w:rPr>
        <w:t>看得见风险：折旧风险智能识别系统</w:t>
      </w:r>
      <w:r>
        <w:tab/>
      </w:r>
      <w:r>
        <w:fldChar w:fldCharType="begin"/>
      </w:r>
      <w:r>
        <w:instrText xml:space="preserve"> PAGEREF _Toc12409 \h </w:instrText>
      </w:r>
      <w:r>
        <w:fldChar w:fldCharType="separate"/>
      </w:r>
      <w:r>
        <w:t>66</w:t>
      </w:r>
      <w:r>
        <w:fldChar w:fldCharType="end"/>
      </w:r>
      <w:r>
        <w:fldChar w:fldCharType="end"/>
      </w:r>
    </w:p>
    <w:p w14:paraId="0FA92FCC">
      <w:pPr>
        <w:pStyle w:val="19"/>
        <w:tabs>
          <w:tab w:val="right" w:leader="dot" w:pos="9072"/>
        </w:tabs>
      </w:pPr>
      <w:r>
        <w:fldChar w:fldCharType="begin"/>
      </w:r>
      <w:r>
        <w:instrText xml:space="preserve"> HYPERLINK \l _Toc6898 </w:instrText>
      </w:r>
      <w:r>
        <w:fldChar w:fldCharType="separate"/>
      </w:r>
      <w:r>
        <w:rPr>
          <w:rFonts w:ascii="Times New Roman" w:hAnsi="Times New Roman" w:eastAsia="黑体"/>
        </w:rPr>
        <w:t xml:space="preserve">5.3 </w:t>
      </w:r>
      <w:r>
        <w:rPr>
          <w:rFonts w:hint="eastAsia" w:ascii="Times New Roman" w:hAnsi="Times New Roman" w:eastAsia="黑体"/>
        </w:rPr>
        <w:t>管得住过程：预警规则体系与滚动复核机制</w:t>
      </w:r>
      <w:r>
        <w:tab/>
      </w:r>
      <w:r>
        <w:fldChar w:fldCharType="begin"/>
      </w:r>
      <w:r>
        <w:instrText xml:space="preserve"> PAGEREF _Toc6898 \h </w:instrText>
      </w:r>
      <w:r>
        <w:fldChar w:fldCharType="separate"/>
      </w:r>
      <w:r>
        <w:t>67</w:t>
      </w:r>
      <w:r>
        <w:fldChar w:fldCharType="end"/>
      </w:r>
      <w:r>
        <w:fldChar w:fldCharType="end"/>
      </w:r>
    </w:p>
    <w:p w14:paraId="1B1233F4">
      <w:pPr>
        <w:pStyle w:val="19"/>
        <w:tabs>
          <w:tab w:val="right" w:leader="dot" w:pos="9072"/>
        </w:tabs>
      </w:pPr>
      <w:r>
        <w:fldChar w:fldCharType="begin"/>
      </w:r>
      <w:r>
        <w:instrText xml:space="preserve"> HYPERLINK \l _Toc14539 </w:instrText>
      </w:r>
      <w:r>
        <w:fldChar w:fldCharType="separate"/>
      </w:r>
      <w:r>
        <w:rPr>
          <w:rFonts w:ascii="Times New Roman" w:hAnsi="Times New Roman" w:eastAsia="黑体"/>
        </w:rPr>
        <w:t xml:space="preserve">5.4 </w:t>
      </w:r>
      <w:r>
        <w:rPr>
          <w:rFonts w:hint="eastAsia" w:ascii="Times New Roman" w:hAnsi="Times New Roman" w:eastAsia="黑体"/>
        </w:rPr>
        <w:t>降得下损失：三类主体的应用方案</w:t>
      </w:r>
      <w:r>
        <w:tab/>
      </w:r>
      <w:r>
        <w:fldChar w:fldCharType="begin"/>
      </w:r>
      <w:r>
        <w:instrText xml:space="preserve"> PAGEREF _Toc14539 \h </w:instrText>
      </w:r>
      <w:r>
        <w:fldChar w:fldCharType="separate"/>
      </w:r>
      <w:r>
        <w:t>68</w:t>
      </w:r>
      <w:r>
        <w:fldChar w:fldCharType="end"/>
      </w:r>
      <w:r>
        <w:fldChar w:fldCharType="end"/>
      </w:r>
    </w:p>
    <w:p w14:paraId="38F69E33">
      <w:pPr>
        <w:pStyle w:val="19"/>
        <w:tabs>
          <w:tab w:val="right" w:leader="dot" w:pos="9072"/>
        </w:tabs>
      </w:pPr>
      <w:r>
        <w:fldChar w:fldCharType="begin"/>
      </w:r>
      <w:r>
        <w:instrText xml:space="preserve"> HYPERLINK \l _Toc13027 </w:instrText>
      </w:r>
      <w:r>
        <w:fldChar w:fldCharType="separate"/>
      </w:r>
      <w:r>
        <w:rPr>
          <w:rFonts w:ascii="Times New Roman" w:hAnsi="Times New Roman" w:eastAsia="黑体"/>
        </w:rPr>
        <w:t xml:space="preserve">5.5 </w:t>
      </w:r>
      <w:r>
        <w:rPr>
          <w:rFonts w:hint="eastAsia" w:ascii="Times New Roman" w:hAnsi="Times New Roman" w:eastAsia="黑体"/>
        </w:rPr>
        <w:t>技术迭代路径与应用潜力</w:t>
      </w:r>
      <w:r>
        <w:tab/>
      </w:r>
      <w:r>
        <w:fldChar w:fldCharType="begin"/>
      </w:r>
      <w:r>
        <w:instrText xml:space="preserve"> PAGEREF _Toc13027 \h </w:instrText>
      </w:r>
      <w:r>
        <w:fldChar w:fldCharType="separate"/>
      </w:r>
      <w:r>
        <w:t>85</w:t>
      </w:r>
      <w:r>
        <w:fldChar w:fldCharType="end"/>
      </w:r>
      <w:r>
        <w:fldChar w:fldCharType="end"/>
      </w:r>
    </w:p>
    <w:p w14:paraId="1583173B">
      <w:pPr>
        <w:pStyle w:val="16"/>
        <w:tabs>
          <w:tab w:val="right" w:leader="dot" w:pos="9072"/>
        </w:tabs>
      </w:pPr>
      <w:r>
        <w:fldChar w:fldCharType="begin"/>
      </w:r>
      <w:r>
        <w:instrText xml:space="preserve"> HYPERLINK \l _Toc18273 </w:instrText>
      </w:r>
      <w:r>
        <w:fldChar w:fldCharType="separate"/>
      </w:r>
      <w:r>
        <w:rPr>
          <w:rFonts w:hint="eastAsia" w:ascii="Times New Roman" w:hAnsi="Times New Roman" w:eastAsia="黑体"/>
        </w:rPr>
        <w:t>第六章对中国科创企业的镜鉴</w:t>
      </w:r>
      <w:r>
        <w:tab/>
      </w:r>
      <w:r>
        <w:fldChar w:fldCharType="begin"/>
      </w:r>
      <w:r>
        <w:instrText xml:space="preserve"> PAGEREF _Toc18273 \h </w:instrText>
      </w:r>
      <w:r>
        <w:fldChar w:fldCharType="separate"/>
      </w:r>
      <w:r>
        <w:t>87</w:t>
      </w:r>
      <w:r>
        <w:fldChar w:fldCharType="end"/>
      </w:r>
      <w:r>
        <w:fldChar w:fldCharType="end"/>
      </w:r>
    </w:p>
    <w:p w14:paraId="2A998A76">
      <w:pPr>
        <w:pStyle w:val="19"/>
        <w:tabs>
          <w:tab w:val="right" w:leader="dot" w:pos="9072"/>
        </w:tabs>
      </w:pPr>
      <w:r>
        <w:fldChar w:fldCharType="begin"/>
      </w:r>
      <w:r>
        <w:instrText xml:space="preserve"> HYPERLINK \l _Toc18567 </w:instrText>
      </w:r>
      <w:r>
        <w:fldChar w:fldCharType="separate"/>
      </w:r>
      <w:r>
        <w:rPr>
          <w:rFonts w:ascii="Times New Roman" w:hAnsi="Times New Roman" w:eastAsia="黑体"/>
        </w:rPr>
        <w:t xml:space="preserve">6.1 </w:t>
      </w:r>
      <w:r>
        <w:rPr>
          <w:rFonts w:hint="eastAsia" w:ascii="Times New Roman" w:hAnsi="Times New Roman" w:eastAsia="黑体"/>
        </w:rPr>
        <w:t>美国实证的启示：错配是周期性的，不是偶然的</w:t>
      </w:r>
      <w:r>
        <w:tab/>
      </w:r>
      <w:r>
        <w:fldChar w:fldCharType="begin"/>
      </w:r>
      <w:r>
        <w:instrText xml:space="preserve"> PAGEREF _Toc18567 \h </w:instrText>
      </w:r>
      <w:r>
        <w:fldChar w:fldCharType="separate"/>
      </w:r>
      <w:r>
        <w:t>87</w:t>
      </w:r>
      <w:r>
        <w:fldChar w:fldCharType="end"/>
      </w:r>
      <w:r>
        <w:fldChar w:fldCharType="end"/>
      </w:r>
    </w:p>
    <w:p w14:paraId="5A835174">
      <w:pPr>
        <w:pStyle w:val="19"/>
        <w:tabs>
          <w:tab w:val="right" w:leader="dot" w:pos="9072"/>
        </w:tabs>
      </w:pPr>
      <w:r>
        <w:fldChar w:fldCharType="begin"/>
      </w:r>
      <w:r>
        <w:instrText xml:space="preserve"> HYPERLINK \l _Toc29793 </w:instrText>
      </w:r>
      <w:r>
        <w:fldChar w:fldCharType="separate"/>
      </w:r>
      <w:r>
        <w:rPr>
          <w:rFonts w:ascii="Times New Roman" w:hAnsi="Times New Roman" w:eastAsia="黑体"/>
        </w:rPr>
        <w:t xml:space="preserve">6.2 </w:t>
      </w:r>
      <w:r>
        <w:rPr>
          <w:rFonts w:hint="eastAsia" w:ascii="Times New Roman" w:hAnsi="Times New Roman" w:eastAsia="黑体"/>
        </w:rPr>
        <w:t>中国的同类隐患：智算中心建设潮下的会计前瞻</w:t>
      </w:r>
      <w:r>
        <w:tab/>
      </w:r>
      <w:r>
        <w:fldChar w:fldCharType="begin"/>
      </w:r>
      <w:r>
        <w:instrText xml:space="preserve"> PAGEREF _Toc29793 \h </w:instrText>
      </w:r>
      <w:r>
        <w:fldChar w:fldCharType="separate"/>
      </w:r>
      <w:r>
        <w:t>88</w:t>
      </w:r>
      <w:r>
        <w:fldChar w:fldCharType="end"/>
      </w:r>
      <w:r>
        <w:fldChar w:fldCharType="end"/>
      </w:r>
    </w:p>
    <w:p w14:paraId="1391C4BE">
      <w:pPr>
        <w:pStyle w:val="19"/>
        <w:tabs>
          <w:tab w:val="right" w:leader="dot" w:pos="9072"/>
        </w:tabs>
      </w:pPr>
      <w:r>
        <w:fldChar w:fldCharType="begin"/>
      </w:r>
      <w:r>
        <w:instrText xml:space="preserve"> HYPERLINK \l _Toc24925 </w:instrText>
      </w:r>
      <w:r>
        <w:fldChar w:fldCharType="separate"/>
      </w:r>
      <w:r>
        <w:rPr>
          <w:rFonts w:ascii="Times New Roman" w:hAnsi="Times New Roman" w:eastAsia="黑体"/>
        </w:rPr>
        <w:t xml:space="preserve">6.3 </w:t>
      </w:r>
      <w:r>
        <w:rPr>
          <w:rFonts w:hint="eastAsia" w:ascii="Times New Roman" w:hAnsi="Times New Roman" w:eastAsia="黑体"/>
        </w:rPr>
        <w:t>制度差异：加速折旧是合法工具，而非灰色地带</w:t>
      </w:r>
      <w:r>
        <w:tab/>
      </w:r>
      <w:r>
        <w:fldChar w:fldCharType="begin"/>
      </w:r>
      <w:r>
        <w:instrText xml:space="preserve"> PAGEREF _Toc24925 \h </w:instrText>
      </w:r>
      <w:r>
        <w:fldChar w:fldCharType="separate"/>
      </w:r>
      <w:r>
        <w:t>89</w:t>
      </w:r>
      <w:r>
        <w:fldChar w:fldCharType="end"/>
      </w:r>
      <w:r>
        <w:fldChar w:fldCharType="end"/>
      </w:r>
    </w:p>
    <w:p w14:paraId="007FA169">
      <w:pPr>
        <w:pStyle w:val="19"/>
        <w:tabs>
          <w:tab w:val="right" w:leader="dot" w:pos="9072"/>
        </w:tabs>
      </w:pPr>
      <w:r>
        <w:fldChar w:fldCharType="begin"/>
      </w:r>
      <w:r>
        <w:instrText xml:space="preserve"> HYPERLINK \l _Toc3453 </w:instrText>
      </w:r>
      <w:r>
        <w:fldChar w:fldCharType="separate"/>
      </w:r>
      <w:r>
        <w:rPr>
          <w:rFonts w:ascii="Times New Roman" w:hAnsi="Times New Roman" w:eastAsia="黑体"/>
        </w:rPr>
        <w:t xml:space="preserve">6.4 </w:t>
      </w:r>
      <w:r>
        <w:rPr>
          <w:rFonts w:hint="eastAsia" w:ascii="Times New Roman" w:hAnsi="Times New Roman" w:eastAsia="黑体"/>
        </w:rPr>
        <w:t>政策建议</w:t>
      </w:r>
      <w:r>
        <w:tab/>
      </w:r>
      <w:r>
        <w:fldChar w:fldCharType="begin"/>
      </w:r>
      <w:r>
        <w:instrText xml:space="preserve"> PAGEREF _Toc3453 \h </w:instrText>
      </w:r>
      <w:r>
        <w:fldChar w:fldCharType="separate"/>
      </w:r>
      <w:r>
        <w:t>91</w:t>
      </w:r>
      <w:r>
        <w:fldChar w:fldCharType="end"/>
      </w:r>
      <w:r>
        <w:fldChar w:fldCharType="end"/>
      </w:r>
    </w:p>
    <w:p w14:paraId="5DD583C3">
      <w:pPr>
        <w:pStyle w:val="19"/>
        <w:tabs>
          <w:tab w:val="right" w:leader="dot" w:pos="9072"/>
        </w:tabs>
      </w:pPr>
      <w:r>
        <w:fldChar w:fldCharType="begin"/>
      </w:r>
      <w:r>
        <w:instrText xml:space="preserve"> HYPERLINK \l _Toc8658 </w:instrText>
      </w:r>
      <w:r>
        <w:fldChar w:fldCharType="separate"/>
      </w:r>
      <w:r>
        <w:rPr>
          <w:rFonts w:ascii="Times New Roman" w:hAnsi="Times New Roman" w:eastAsia="黑体"/>
        </w:rPr>
        <w:t xml:space="preserve">6.5 </w:t>
      </w:r>
      <w:r>
        <w:rPr>
          <w:rFonts w:hint="eastAsia" w:ascii="Times New Roman" w:hAnsi="Times New Roman" w:eastAsia="黑体"/>
        </w:rPr>
        <w:t>本章小结</w:t>
      </w:r>
      <w:r>
        <w:tab/>
      </w:r>
      <w:r>
        <w:fldChar w:fldCharType="begin"/>
      </w:r>
      <w:r>
        <w:instrText xml:space="preserve"> PAGEREF _Toc8658 \h </w:instrText>
      </w:r>
      <w:r>
        <w:fldChar w:fldCharType="separate"/>
      </w:r>
      <w:r>
        <w:t>92</w:t>
      </w:r>
      <w:r>
        <w:fldChar w:fldCharType="end"/>
      </w:r>
      <w:r>
        <w:fldChar w:fldCharType="end"/>
      </w:r>
    </w:p>
    <w:p w14:paraId="5D0FC042">
      <w:pPr>
        <w:pStyle w:val="19"/>
        <w:tabs>
          <w:tab w:val="right" w:leader="dot" w:pos="9072"/>
        </w:tabs>
      </w:pPr>
      <w:r>
        <w:fldChar w:fldCharType="begin"/>
      </w:r>
      <w:r>
        <w:instrText xml:space="preserve"> HYPERLINK \l _Toc1254 </w:instrText>
      </w:r>
      <w:r>
        <w:fldChar w:fldCharType="separate"/>
      </w:r>
      <w:r>
        <w:rPr>
          <w:rFonts w:ascii="Times New Roman" w:hAnsi="Times New Roman" w:eastAsia="黑体"/>
        </w:rPr>
        <w:t xml:space="preserve">6.6 </w:t>
      </w:r>
      <w:r>
        <w:rPr>
          <w:rFonts w:hint="eastAsia" w:ascii="Times New Roman" w:hAnsi="Times New Roman" w:eastAsia="黑体"/>
        </w:rPr>
        <w:t>中国科创企业的验证探索：5D-DRS</w:t>
      </w:r>
      <w:r>
        <w:rPr>
          <w:rFonts w:ascii="Times New Roman" w:hAnsi="Times New Roman" w:eastAsia="黑体"/>
        </w:rPr>
        <w:t xml:space="preserve"> </w:t>
      </w:r>
      <w:r>
        <w:rPr>
          <w:rFonts w:hint="eastAsia" w:ascii="Times New Roman" w:hAnsi="Times New Roman" w:eastAsia="黑体"/>
        </w:rPr>
        <w:t>方法论迁移测试（六家A股样本）</w:t>
      </w:r>
      <w:r>
        <w:tab/>
      </w:r>
      <w:r>
        <w:fldChar w:fldCharType="begin"/>
      </w:r>
      <w:r>
        <w:instrText xml:space="preserve"> PAGEREF _Toc1254 \h </w:instrText>
      </w:r>
      <w:r>
        <w:fldChar w:fldCharType="separate"/>
      </w:r>
      <w:r>
        <w:t>92</w:t>
      </w:r>
      <w:r>
        <w:fldChar w:fldCharType="end"/>
      </w:r>
      <w:r>
        <w:fldChar w:fldCharType="end"/>
      </w:r>
    </w:p>
    <w:p w14:paraId="32AF1FE5">
      <w:pPr>
        <w:pStyle w:val="19"/>
        <w:tabs>
          <w:tab w:val="right" w:leader="dot" w:pos="9072"/>
        </w:tabs>
      </w:pPr>
      <w:r>
        <w:fldChar w:fldCharType="begin"/>
      </w:r>
      <w:r>
        <w:instrText xml:space="preserve"> HYPERLINK \l _Toc31971 </w:instrText>
      </w:r>
      <w:r>
        <w:fldChar w:fldCharType="separate"/>
      </w:r>
      <w:r>
        <w:rPr>
          <w:rFonts w:ascii="Times New Roman" w:hAnsi="Times New Roman" w:eastAsia="黑体"/>
        </w:rPr>
        <w:t xml:space="preserve">6.7 </w:t>
      </w:r>
      <w:r>
        <w:rPr>
          <w:rFonts w:hint="eastAsia" w:ascii="Times New Roman" w:hAnsi="Times New Roman" w:eastAsia="黑体"/>
        </w:rPr>
        <w:t>AI技术深化：从“规则引擎”到“认知增强”</w:t>
      </w:r>
      <w:r>
        <w:tab/>
      </w:r>
      <w:r>
        <w:fldChar w:fldCharType="begin"/>
      </w:r>
      <w:r>
        <w:instrText xml:space="preserve"> PAGEREF _Toc31971 \h </w:instrText>
      </w:r>
      <w:r>
        <w:fldChar w:fldCharType="separate"/>
      </w:r>
      <w:r>
        <w:t>97</w:t>
      </w:r>
      <w:r>
        <w:fldChar w:fldCharType="end"/>
      </w:r>
      <w:r>
        <w:fldChar w:fldCharType="end"/>
      </w:r>
    </w:p>
    <w:p w14:paraId="5DAB371E">
      <w:pPr>
        <w:pStyle w:val="16"/>
        <w:tabs>
          <w:tab w:val="right" w:leader="dot" w:pos="9072"/>
        </w:tabs>
      </w:pPr>
      <w:r>
        <w:fldChar w:fldCharType="begin"/>
      </w:r>
      <w:r>
        <w:instrText xml:space="preserve"> HYPERLINK \l _Toc27884 </w:instrText>
      </w:r>
      <w:r>
        <w:fldChar w:fldCharType="separate"/>
      </w:r>
      <w:r>
        <w:rPr>
          <w:rFonts w:hint="eastAsia" w:ascii="Times New Roman" w:hAnsi="Times New Roman" w:eastAsia="黑体"/>
        </w:rPr>
        <w:t>第七章结论与展望</w:t>
      </w:r>
      <w:r>
        <w:tab/>
      </w:r>
      <w:r>
        <w:fldChar w:fldCharType="begin"/>
      </w:r>
      <w:r>
        <w:instrText xml:space="preserve"> PAGEREF _Toc27884 \h </w:instrText>
      </w:r>
      <w:r>
        <w:fldChar w:fldCharType="separate"/>
      </w:r>
      <w:r>
        <w:t>102</w:t>
      </w:r>
      <w:r>
        <w:fldChar w:fldCharType="end"/>
      </w:r>
      <w:r>
        <w:fldChar w:fldCharType="end"/>
      </w:r>
    </w:p>
    <w:p w14:paraId="6189FBF9">
      <w:pPr>
        <w:pStyle w:val="19"/>
        <w:tabs>
          <w:tab w:val="right" w:leader="dot" w:pos="9072"/>
        </w:tabs>
      </w:pPr>
      <w:r>
        <w:fldChar w:fldCharType="begin"/>
      </w:r>
      <w:r>
        <w:instrText xml:space="preserve"> HYPERLINK \l _Toc8646 </w:instrText>
      </w:r>
      <w:r>
        <w:fldChar w:fldCharType="separate"/>
      </w:r>
      <w:r>
        <w:rPr>
          <w:rFonts w:ascii="Times New Roman" w:hAnsi="Times New Roman" w:eastAsia="黑体"/>
        </w:rPr>
        <w:t xml:space="preserve">7.1 </w:t>
      </w:r>
      <w:r>
        <w:rPr>
          <w:rFonts w:hint="eastAsia" w:ascii="Times New Roman" w:hAnsi="Times New Roman" w:eastAsia="黑体"/>
        </w:rPr>
        <w:t>折旧政策完善：不是替代，而是补充</w:t>
      </w:r>
      <w:r>
        <w:tab/>
      </w:r>
      <w:r>
        <w:fldChar w:fldCharType="begin"/>
      </w:r>
      <w:r>
        <w:instrText xml:space="preserve"> PAGEREF _Toc8646 \h </w:instrText>
      </w:r>
      <w:r>
        <w:fldChar w:fldCharType="separate"/>
      </w:r>
      <w:r>
        <w:t>102</w:t>
      </w:r>
      <w:r>
        <w:fldChar w:fldCharType="end"/>
      </w:r>
      <w:r>
        <w:fldChar w:fldCharType="end"/>
      </w:r>
    </w:p>
    <w:p w14:paraId="643BCF48">
      <w:pPr>
        <w:pStyle w:val="19"/>
        <w:tabs>
          <w:tab w:val="right" w:leader="dot" w:pos="9072"/>
        </w:tabs>
      </w:pPr>
      <w:r>
        <w:fldChar w:fldCharType="begin"/>
      </w:r>
      <w:r>
        <w:instrText xml:space="preserve"> HYPERLINK \l _Toc3465 </w:instrText>
      </w:r>
      <w:r>
        <w:fldChar w:fldCharType="separate"/>
      </w:r>
      <w:r>
        <w:rPr>
          <w:rFonts w:ascii="Times New Roman" w:hAnsi="Times New Roman" w:eastAsia="黑体"/>
        </w:rPr>
        <w:t xml:space="preserve">7.2 </w:t>
      </w:r>
      <w:r>
        <w:rPr>
          <w:rFonts w:hint="eastAsia" w:ascii="Times New Roman" w:hAnsi="Times New Roman" w:eastAsia="黑体"/>
        </w:rPr>
        <w:t>主要结论</w:t>
      </w:r>
      <w:r>
        <w:tab/>
      </w:r>
      <w:r>
        <w:fldChar w:fldCharType="begin"/>
      </w:r>
      <w:r>
        <w:instrText xml:space="preserve"> PAGEREF _Toc3465 \h </w:instrText>
      </w:r>
      <w:r>
        <w:fldChar w:fldCharType="separate"/>
      </w:r>
      <w:r>
        <w:t>107</w:t>
      </w:r>
      <w:r>
        <w:fldChar w:fldCharType="end"/>
      </w:r>
      <w:r>
        <w:fldChar w:fldCharType="end"/>
      </w:r>
    </w:p>
    <w:p w14:paraId="1600DC5A">
      <w:pPr>
        <w:pStyle w:val="19"/>
        <w:tabs>
          <w:tab w:val="right" w:leader="dot" w:pos="9072"/>
        </w:tabs>
      </w:pPr>
      <w:r>
        <w:fldChar w:fldCharType="begin"/>
      </w:r>
      <w:r>
        <w:instrText xml:space="preserve"> HYPERLINK \l _Toc8120 </w:instrText>
      </w:r>
      <w:r>
        <w:fldChar w:fldCharType="separate"/>
      </w:r>
      <w:r>
        <w:rPr>
          <w:rFonts w:ascii="Times New Roman" w:hAnsi="Times New Roman" w:eastAsia="黑体"/>
        </w:rPr>
        <w:t xml:space="preserve">7.3 </w:t>
      </w:r>
      <w:r>
        <w:rPr>
          <w:rFonts w:hint="eastAsia" w:ascii="Times New Roman" w:hAnsi="Times New Roman" w:eastAsia="黑体"/>
        </w:rPr>
        <w:t>研究贡献</w:t>
      </w:r>
      <w:r>
        <w:tab/>
      </w:r>
      <w:r>
        <w:fldChar w:fldCharType="begin"/>
      </w:r>
      <w:r>
        <w:instrText xml:space="preserve"> PAGEREF _Toc8120 \h </w:instrText>
      </w:r>
      <w:r>
        <w:fldChar w:fldCharType="separate"/>
      </w:r>
      <w:r>
        <w:t>108</w:t>
      </w:r>
      <w:r>
        <w:fldChar w:fldCharType="end"/>
      </w:r>
      <w:r>
        <w:fldChar w:fldCharType="end"/>
      </w:r>
    </w:p>
    <w:p w14:paraId="7702646B">
      <w:pPr>
        <w:pStyle w:val="19"/>
        <w:tabs>
          <w:tab w:val="right" w:leader="dot" w:pos="9072"/>
        </w:tabs>
      </w:pPr>
      <w:r>
        <w:fldChar w:fldCharType="begin"/>
      </w:r>
      <w:r>
        <w:instrText xml:space="preserve"> HYPERLINK \l _Toc19313 </w:instrText>
      </w:r>
      <w:r>
        <w:fldChar w:fldCharType="separate"/>
      </w:r>
      <w:r>
        <w:rPr>
          <w:rFonts w:ascii="Times New Roman" w:hAnsi="Times New Roman" w:eastAsia="黑体"/>
        </w:rPr>
        <w:t xml:space="preserve">7.4 </w:t>
      </w:r>
      <w:r>
        <w:rPr>
          <w:rFonts w:hint="eastAsia" w:ascii="Times New Roman" w:hAnsi="Times New Roman" w:eastAsia="黑体"/>
        </w:rPr>
        <w:t>研究局限与未来展望</w:t>
      </w:r>
      <w:r>
        <w:tab/>
      </w:r>
      <w:r>
        <w:fldChar w:fldCharType="begin"/>
      </w:r>
      <w:r>
        <w:instrText xml:space="preserve"> PAGEREF _Toc19313 \h </w:instrText>
      </w:r>
      <w:r>
        <w:fldChar w:fldCharType="separate"/>
      </w:r>
      <w:r>
        <w:t>108</w:t>
      </w:r>
      <w:r>
        <w:fldChar w:fldCharType="end"/>
      </w:r>
      <w:r>
        <w:fldChar w:fldCharType="end"/>
      </w:r>
    </w:p>
    <w:p w14:paraId="425CE84E">
      <w:pPr>
        <w:pStyle w:val="16"/>
        <w:tabs>
          <w:tab w:val="right" w:leader="dot" w:pos="9072"/>
        </w:tabs>
      </w:pPr>
      <w:r>
        <w:fldChar w:fldCharType="begin"/>
      </w:r>
      <w:r>
        <w:instrText xml:space="preserve"> HYPERLINK \l _Toc14696 </w:instrText>
      </w:r>
      <w:r>
        <w:fldChar w:fldCharType="separate"/>
      </w:r>
      <w:r>
        <w:rPr>
          <w:rFonts w:hint="eastAsia" w:ascii="Times New Roman" w:hAnsi="Times New Roman" w:eastAsia="黑体"/>
        </w:rPr>
        <w:t>参考文献</w:t>
      </w:r>
      <w:r>
        <w:tab/>
      </w:r>
      <w:r>
        <w:fldChar w:fldCharType="begin"/>
      </w:r>
      <w:r>
        <w:instrText xml:space="preserve"> PAGEREF _Toc14696 \h </w:instrText>
      </w:r>
      <w:r>
        <w:fldChar w:fldCharType="separate"/>
      </w:r>
      <w:r>
        <w:t>110</w:t>
      </w:r>
      <w:r>
        <w:fldChar w:fldCharType="end"/>
      </w:r>
      <w:r>
        <w:fldChar w:fldCharType="end"/>
      </w:r>
    </w:p>
    <w:p w14:paraId="7F24AEC9">
      <w:pPr>
        <w:pStyle w:val="19"/>
        <w:tabs>
          <w:tab w:val="right" w:leader="dot" w:pos="9072"/>
        </w:tabs>
      </w:pPr>
      <w:r>
        <w:fldChar w:fldCharType="begin"/>
      </w:r>
      <w:r>
        <w:instrText xml:space="preserve"> HYPERLINK \l _Toc5201 </w:instrText>
      </w:r>
      <w:r>
        <w:fldChar w:fldCharType="separate"/>
      </w:r>
      <w:r>
        <w:rPr>
          <w:rFonts w:hint="eastAsia" w:ascii="Times New Roman" w:hAnsi="Times New Roman" w:eastAsia="黑体"/>
        </w:rPr>
        <w:t>一、学术文献（方法论祖先与理论支撑）</w:t>
      </w:r>
      <w:r>
        <w:tab/>
      </w:r>
      <w:r>
        <w:fldChar w:fldCharType="begin"/>
      </w:r>
      <w:r>
        <w:instrText xml:space="preserve"> PAGEREF _Toc5201 \h </w:instrText>
      </w:r>
      <w:r>
        <w:fldChar w:fldCharType="separate"/>
      </w:r>
      <w:r>
        <w:t>110</w:t>
      </w:r>
      <w:r>
        <w:fldChar w:fldCharType="end"/>
      </w:r>
      <w:r>
        <w:fldChar w:fldCharType="end"/>
      </w:r>
    </w:p>
    <w:p w14:paraId="08ABCE88">
      <w:pPr>
        <w:pStyle w:val="19"/>
        <w:tabs>
          <w:tab w:val="right" w:leader="dot" w:pos="9072"/>
        </w:tabs>
      </w:pPr>
      <w:r>
        <w:fldChar w:fldCharType="begin"/>
      </w:r>
      <w:r>
        <w:instrText xml:space="preserve"> HYPERLINK \l _Toc27800 </w:instrText>
      </w:r>
      <w:r>
        <w:fldChar w:fldCharType="separate"/>
      </w:r>
      <w:r>
        <w:rPr>
          <w:rFonts w:hint="eastAsia" w:ascii="Times New Roman" w:hAnsi="Times New Roman" w:eastAsia="黑体"/>
        </w:rPr>
        <w:t>二、行业与政策来源</w:t>
      </w:r>
      <w:r>
        <w:tab/>
      </w:r>
      <w:r>
        <w:fldChar w:fldCharType="begin"/>
      </w:r>
      <w:r>
        <w:instrText xml:space="preserve"> PAGEREF _Toc27800 \h </w:instrText>
      </w:r>
      <w:r>
        <w:fldChar w:fldCharType="separate"/>
      </w:r>
      <w:r>
        <w:t>110</w:t>
      </w:r>
      <w:r>
        <w:fldChar w:fldCharType="end"/>
      </w:r>
      <w:r>
        <w:fldChar w:fldCharType="end"/>
      </w:r>
    </w:p>
    <w:p w14:paraId="24C6F59E">
      <w:pPr>
        <w:pStyle w:val="16"/>
        <w:tabs>
          <w:tab w:val="right" w:leader="dot" w:pos="9072"/>
        </w:tabs>
      </w:pPr>
      <w:r>
        <w:fldChar w:fldCharType="begin"/>
      </w:r>
      <w:r>
        <w:instrText xml:space="preserve"> HYPERLINK \l _Toc25195 </w:instrText>
      </w:r>
      <w:r>
        <w:fldChar w:fldCharType="separate"/>
      </w:r>
      <w:r>
        <w:rPr>
          <w:rFonts w:hint="eastAsia" w:ascii="Times New Roman" w:hAnsi="Times New Roman" w:eastAsia="黑体"/>
        </w:rPr>
        <w:t>附录</w:t>
      </w:r>
      <w:r>
        <w:rPr>
          <w:rFonts w:ascii="Times New Roman" w:hAnsi="Times New Roman" w:eastAsia="黑体"/>
        </w:rPr>
        <w:t xml:space="preserve"> A </w:t>
      </w:r>
      <w:r>
        <w:rPr>
          <w:rFonts w:hint="eastAsia" w:ascii="Times New Roman" w:hAnsi="Times New Roman" w:eastAsia="黑体"/>
        </w:rPr>
        <w:t>评分锚点表与全部验算</w:t>
      </w:r>
      <w:r>
        <w:tab/>
      </w:r>
      <w:r>
        <w:fldChar w:fldCharType="begin"/>
      </w:r>
      <w:r>
        <w:instrText xml:space="preserve"> PAGEREF _Toc25195 \h </w:instrText>
      </w:r>
      <w:r>
        <w:fldChar w:fldCharType="separate"/>
      </w:r>
      <w:r>
        <w:t>113</w:t>
      </w:r>
      <w:r>
        <w:fldChar w:fldCharType="end"/>
      </w:r>
      <w:r>
        <w:fldChar w:fldCharType="end"/>
      </w:r>
    </w:p>
    <w:p w14:paraId="4ED7C355">
      <w:pPr>
        <w:pStyle w:val="19"/>
        <w:tabs>
          <w:tab w:val="right" w:leader="dot" w:pos="9072"/>
        </w:tabs>
      </w:pPr>
      <w:r>
        <w:fldChar w:fldCharType="begin"/>
      </w:r>
      <w:r>
        <w:instrText xml:space="preserve"> HYPERLINK \l _Toc6124 </w:instrText>
      </w:r>
      <w:r>
        <w:fldChar w:fldCharType="separate"/>
      </w:r>
      <w:r>
        <w:rPr>
          <w:rFonts w:ascii="Times New Roman" w:hAnsi="Times New Roman" w:eastAsia="黑体"/>
        </w:rPr>
        <w:t>A.1 评分锚点表</w:t>
      </w:r>
      <w:r>
        <w:tab/>
      </w:r>
      <w:r>
        <w:fldChar w:fldCharType="begin"/>
      </w:r>
      <w:r>
        <w:instrText xml:space="preserve"> PAGEREF _Toc6124 \h </w:instrText>
      </w:r>
      <w:r>
        <w:fldChar w:fldCharType="separate"/>
      </w:r>
      <w:r>
        <w:t>113</w:t>
      </w:r>
      <w:r>
        <w:fldChar w:fldCharType="end"/>
      </w:r>
      <w:r>
        <w:fldChar w:fldCharType="end"/>
      </w:r>
    </w:p>
    <w:p w14:paraId="27471690">
      <w:pPr>
        <w:pStyle w:val="19"/>
        <w:tabs>
          <w:tab w:val="right" w:leader="dot" w:pos="9072"/>
        </w:tabs>
      </w:pPr>
      <w:r>
        <w:fldChar w:fldCharType="begin"/>
      </w:r>
      <w:r>
        <w:instrText xml:space="preserve"> HYPERLINK \l _Toc14769 </w:instrText>
      </w:r>
      <w:r>
        <w:fldChar w:fldCharType="separate"/>
      </w:r>
      <w:r>
        <w:rPr>
          <w:rFonts w:ascii="Times New Roman" w:hAnsi="Times New Roman" w:eastAsia="黑体"/>
        </w:rPr>
        <w:t xml:space="preserve">A.2 </w:t>
      </w:r>
      <w:r>
        <w:rPr>
          <w:rFonts w:hint="eastAsia" w:ascii="Times New Roman" w:hAnsi="Times New Roman" w:eastAsia="黑体"/>
        </w:rPr>
        <w:t>中心年</w:t>
      </w:r>
      <w:r>
        <w:rPr>
          <w:rFonts w:ascii="Times New Roman" w:hAnsi="Times New Roman" w:eastAsia="黑体"/>
        </w:rPr>
        <w:t xml:space="preserve"> 10 </w:t>
      </w:r>
      <w:r>
        <w:rPr>
          <w:rFonts w:hint="eastAsia" w:ascii="Times New Roman" w:hAnsi="Times New Roman" w:eastAsia="黑体"/>
        </w:rPr>
        <w:t>个观测综合评分验算表</w:t>
      </w:r>
      <w:r>
        <w:tab/>
      </w:r>
      <w:r>
        <w:fldChar w:fldCharType="begin"/>
      </w:r>
      <w:r>
        <w:instrText xml:space="preserve"> PAGEREF _Toc14769 \h </w:instrText>
      </w:r>
      <w:r>
        <w:fldChar w:fldCharType="separate"/>
      </w:r>
      <w:r>
        <w:t>114</w:t>
      </w:r>
      <w:r>
        <w:fldChar w:fldCharType="end"/>
      </w:r>
      <w:r>
        <w:fldChar w:fldCharType="end"/>
      </w:r>
    </w:p>
    <w:p w14:paraId="62DA42A9">
      <w:pPr>
        <w:pStyle w:val="19"/>
        <w:tabs>
          <w:tab w:val="right" w:leader="dot" w:pos="9072"/>
        </w:tabs>
      </w:pPr>
      <w:r>
        <w:fldChar w:fldCharType="begin"/>
      </w:r>
      <w:r>
        <w:instrText xml:space="preserve"> HYPERLINK \l _Toc14329 </w:instrText>
      </w:r>
      <w:r>
        <w:fldChar w:fldCharType="separate"/>
      </w:r>
      <w:r>
        <w:rPr>
          <w:rFonts w:ascii="Times New Roman" w:hAnsi="Times New Roman" w:eastAsia="黑体"/>
        </w:rPr>
        <w:t xml:space="preserve">A.3 </w:t>
      </w:r>
      <w:r>
        <w:rPr>
          <w:rFonts w:hint="eastAsia" w:ascii="Times New Roman" w:hAnsi="Times New Roman" w:eastAsia="黑体"/>
        </w:rPr>
        <w:t>扩样</w:t>
      </w:r>
      <w:r>
        <w:rPr>
          <w:rFonts w:ascii="Times New Roman" w:hAnsi="Times New Roman" w:eastAsia="黑体"/>
        </w:rPr>
        <w:t xml:space="preserve"> 20 </w:t>
      </w:r>
      <w:r>
        <w:rPr>
          <w:rFonts w:hint="eastAsia" w:ascii="Times New Roman" w:hAnsi="Times New Roman" w:eastAsia="黑体"/>
        </w:rPr>
        <w:t>个观测综合评分验算表（扩样新增）</w:t>
      </w:r>
      <w:r>
        <w:tab/>
      </w:r>
      <w:r>
        <w:fldChar w:fldCharType="begin"/>
      </w:r>
      <w:r>
        <w:instrText xml:space="preserve"> PAGEREF _Toc14329 \h </w:instrText>
      </w:r>
      <w:r>
        <w:fldChar w:fldCharType="separate"/>
      </w:r>
      <w:r>
        <w:t>115</w:t>
      </w:r>
      <w:r>
        <w:fldChar w:fldCharType="end"/>
      </w:r>
      <w:r>
        <w:fldChar w:fldCharType="end"/>
      </w:r>
    </w:p>
    <w:p w14:paraId="134C3B1F">
      <w:pPr>
        <w:pStyle w:val="19"/>
        <w:tabs>
          <w:tab w:val="right" w:leader="dot" w:pos="9072"/>
        </w:tabs>
      </w:pPr>
      <w:r>
        <w:fldChar w:fldCharType="begin"/>
      </w:r>
      <w:r>
        <w:instrText xml:space="preserve"> HYPERLINK \l _Toc21255 </w:instrText>
      </w:r>
      <w:r>
        <w:fldChar w:fldCharType="separate"/>
      </w:r>
      <w:r>
        <w:rPr>
          <w:rFonts w:ascii="Times New Roman" w:hAnsi="Times New Roman" w:eastAsia="黑体"/>
        </w:rPr>
        <w:t xml:space="preserve">A.4 </w:t>
      </w:r>
      <w:r>
        <w:rPr>
          <w:rFonts w:hint="eastAsia" w:ascii="Times New Roman" w:hAnsi="Times New Roman" w:eastAsia="黑体"/>
        </w:rPr>
        <w:t>逐维评分依据</w:t>
      </w:r>
      <w:r>
        <w:tab/>
      </w:r>
      <w:r>
        <w:fldChar w:fldCharType="begin"/>
      </w:r>
      <w:r>
        <w:instrText xml:space="preserve"> PAGEREF _Toc21255 \h </w:instrText>
      </w:r>
      <w:r>
        <w:fldChar w:fldCharType="separate"/>
      </w:r>
      <w:r>
        <w:t>116</w:t>
      </w:r>
      <w:r>
        <w:fldChar w:fldCharType="end"/>
      </w:r>
      <w:r>
        <w:fldChar w:fldCharType="end"/>
      </w:r>
    </w:p>
    <w:p w14:paraId="20DA49ED">
      <w:pPr>
        <w:pStyle w:val="19"/>
        <w:tabs>
          <w:tab w:val="right" w:leader="dot" w:pos="9072"/>
        </w:tabs>
      </w:pPr>
      <w:r>
        <w:fldChar w:fldCharType="begin"/>
      </w:r>
      <w:r>
        <w:instrText xml:space="preserve"> HYPERLINK \l _Toc15898 </w:instrText>
      </w:r>
      <w:r>
        <w:fldChar w:fldCharType="separate"/>
      </w:r>
      <w:r>
        <w:rPr>
          <w:rFonts w:ascii="Times New Roman" w:hAnsi="Times New Roman" w:eastAsia="黑体"/>
        </w:rPr>
        <w:t>A.5 AI 评分与人工评分的差距分析</w:t>
      </w:r>
      <w:r>
        <w:tab/>
      </w:r>
      <w:r>
        <w:fldChar w:fldCharType="begin"/>
      </w:r>
      <w:r>
        <w:instrText xml:space="preserve"> PAGEREF _Toc15898 \h </w:instrText>
      </w:r>
      <w:r>
        <w:fldChar w:fldCharType="separate"/>
      </w:r>
      <w:r>
        <w:t>116</w:t>
      </w:r>
      <w:r>
        <w:fldChar w:fldCharType="end"/>
      </w:r>
      <w:r>
        <w:fldChar w:fldCharType="end"/>
      </w:r>
    </w:p>
    <w:p w14:paraId="2CF79C17">
      <w:pPr>
        <w:pStyle w:val="16"/>
        <w:tabs>
          <w:tab w:val="right" w:leader="dot" w:pos="9072"/>
        </w:tabs>
      </w:pPr>
      <w:r>
        <w:fldChar w:fldCharType="begin"/>
      </w:r>
      <w:r>
        <w:instrText xml:space="preserve"> HYPERLINK \l _Toc3676 </w:instrText>
      </w:r>
      <w:r>
        <w:fldChar w:fldCharType="separate"/>
      </w:r>
      <w:r>
        <w:rPr>
          <w:rFonts w:hint="eastAsia" w:ascii="Times New Roman" w:hAnsi="Times New Roman" w:eastAsia="黑体"/>
        </w:rPr>
        <w:t>附录</w:t>
      </w:r>
      <w:r>
        <w:rPr>
          <w:rFonts w:ascii="Times New Roman" w:hAnsi="Times New Roman" w:eastAsia="黑体"/>
        </w:rPr>
        <w:t xml:space="preserve"> B </w:t>
      </w:r>
      <w:r>
        <w:rPr>
          <w:rFonts w:hint="eastAsia" w:ascii="Times New Roman" w:hAnsi="Times New Roman" w:eastAsia="黑体"/>
        </w:rPr>
        <w:t>证据链标注样例</w:t>
      </w:r>
      <w:r>
        <w:tab/>
      </w:r>
      <w:r>
        <w:fldChar w:fldCharType="begin"/>
      </w:r>
      <w:r>
        <w:instrText xml:space="preserve"> PAGEREF _Toc3676 \h </w:instrText>
      </w:r>
      <w:r>
        <w:fldChar w:fldCharType="separate"/>
      </w:r>
      <w:r>
        <w:t>119</w:t>
      </w:r>
      <w:r>
        <w:fldChar w:fldCharType="end"/>
      </w:r>
      <w:r>
        <w:fldChar w:fldCharType="end"/>
      </w:r>
    </w:p>
    <w:p w14:paraId="090500A3">
      <w:pPr>
        <w:pStyle w:val="16"/>
        <w:tabs>
          <w:tab w:val="right" w:leader="dot" w:pos="9072"/>
        </w:tabs>
      </w:pPr>
      <w:r>
        <w:fldChar w:fldCharType="begin"/>
      </w:r>
      <w:r>
        <w:instrText xml:space="preserve"> HYPERLINK \l _Toc22161 </w:instrText>
      </w:r>
      <w:r>
        <w:fldChar w:fldCharType="separate"/>
      </w:r>
      <w:r>
        <w:rPr>
          <w:rFonts w:hint="eastAsia" w:ascii="Times New Roman" w:hAnsi="Times New Roman" w:eastAsia="黑体"/>
        </w:rPr>
        <w:t>附录</w:t>
      </w:r>
      <w:r>
        <w:rPr>
          <w:rFonts w:ascii="Times New Roman" w:hAnsi="Times New Roman" w:eastAsia="黑体"/>
        </w:rPr>
        <w:t xml:space="preserve"> C </w:t>
      </w:r>
      <w:r>
        <w:rPr>
          <w:rFonts w:hint="eastAsia" w:ascii="Times New Roman" w:hAnsi="Times New Roman" w:eastAsia="黑体"/>
        </w:rPr>
        <w:t>财务指标体系（45</w:t>
      </w:r>
      <w:r>
        <w:rPr>
          <w:rFonts w:ascii="Times New Roman" w:hAnsi="Times New Roman" w:eastAsia="黑体"/>
        </w:rPr>
        <w:t xml:space="preserve"> </w:t>
      </w:r>
      <w:r>
        <w:rPr>
          <w:rFonts w:hint="eastAsia" w:ascii="Times New Roman" w:hAnsi="Times New Roman" w:eastAsia="黑体"/>
        </w:rPr>
        <w:t>指标三层结构）</w:t>
      </w:r>
      <w:r>
        <w:tab/>
      </w:r>
      <w:r>
        <w:fldChar w:fldCharType="begin"/>
      </w:r>
      <w:r>
        <w:instrText xml:space="preserve"> PAGEREF _Toc22161 \h </w:instrText>
      </w:r>
      <w:r>
        <w:fldChar w:fldCharType="separate"/>
      </w:r>
      <w:r>
        <w:t>121</w:t>
      </w:r>
      <w:r>
        <w:fldChar w:fldCharType="end"/>
      </w:r>
      <w:r>
        <w:fldChar w:fldCharType="end"/>
      </w:r>
    </w:p>
    <w:p w14:paraId="0D69F418">
      <w:pPr>
        <w:pStyle w:val="16"/>
        <w:tabs>
          <w:tab w:val="right" w:leader="dot" w:pos="9072"/>
        </w:tabs>
      </w:pPr>
      <w:r>
        <w:fldChar w:fldCharType="begin"/>
      </w:r>
      <w:r>
        <w:instrText xml:space="preserve"> HYPERLINK \l _Toc19124 </w:instrText>
      </w:r>
      <w:r>
        <w:fldChar w:fldCharType="separate"/>
      </w:r>
      <w:r>
        <w:rPr>
          <w:rFonts w:hint="eastAsia" w:ascii="Times New Roman" w:hAnsi="Times New Roman" w:eastAsia="黑体"/>
        </w:rPr>
        <w:t>附录</w:t>
      </w:r>
      <w:r>
        <w:rPr>
          <w:rFonts w:ascii="Times New Roman" w:hAnsi="Times New Roman" w:eastAsia="黑体"/>
        </w:rPr>
        <w:t xml:space="preserve"> D </w:t>
      </w:r>
      <w:r>
        <w:rPr>
          <w:rFonts w:hint="eastAsia" w:ascii="Times New Roman" w:hAnsi="Times New Roman" w:eastAsia="黑体"/>
        </w:rPr>
        <w:t>系统与代码说明</w:t>
      </w:r>
      <w:r>
        <w:tab/>
      </w:r>
      <w:r>
        <w:fldChar w:fldCharType="begin"/>
      </w:r>
      <w:r>
        <w:instrText xml:space="preserve"> PAGEREF _Toc19124 \h </w:instrText>
      </w:r>
      <w:r>
        <w:fldChar w:fldCharType="separate"/>
      </w:r>
      <w:r>
        <w:t>122</w:t>
      </w:r>
      <w:r>
        <w:fldChar w:fldCharType="end"/>
      </w:r>
      <w:r>
        <w:fldChar w:fldCharType="end"/>
      </w:r>
    </w:p>
    <w:p w14:paraId="77C3FBDB">
      <w:pPr>
        <w:pStyle w:val="16"/>
        <w:tabs>
          <w:tab w:val="right" w:leader="dot" w:pos="9072"/>
        </w:tabs>
      </w:pPr>
      <w:r>
        <w:fldChar w:fldCharType="begin"/>
      </w:r>
      <w:r>
        <w:instrText xml:space="preserve"> HYPERLINK \l _Toc24823 </w:instrText>
      </w:r>
      <w:r>
        <w:fldChar w:fldCharType="separate"/>
      </w:r>
      <w:r>
        <w:rPr>
          <w:rFonts w:hint="eastAsia" w:ascii="Times New Roman" w:hAnsi="Times New Roman" w:eastAsia="黑体"/>
        </w:rPr>
        <w:t>附录</w:t>
      </w:r>
      <w:r>
        <w:rPr>
          <w:rFonts w:ascii="Times New Roman" w:hAnsi="Times New Roman" w:eastAsia="黑体"/>
        </w:rPr>
        <w:t xml:space="preserve"> E </w:t>
      </w:r>
      <w:r>
        <w:rPr>
          <w:rFonts w:hint="eastAsia" w:ascii="Times New Roman" w:hAnsi="Times New Roman" w:eastAsia="黑体"/>
        </w:rPr>
        <w:t>团队分工</w:t>
      </w:r>
      <w:r>
        <w:tab/>
      </w:r>
      <w:r>
        <w:fldChar w:fldCharType="begin"/>
      </w:r>
      <w:r>
        <w:instrText xml:space="preserve"> PAGEREF _Toc24823 \h </w:instrText>
      </w:r>
      <w:r>
        <w:fldChar w:fldCharType="separate"/>
      </w:r>
      <w:r>
        <w:t>125</w:t>
      </w:r>
      <w:r>
        <w:fldChar w:fldCharType="end"/>
      </w:r>
      <w:r>
        <w:fldChar w:fldCharType="end"/>
      </w:r>
    </w:p>
    <w:p w14:paraId="74CD5874">
      <w:pPr>
        <w:pStyle w:val="16"/>
        <w:tabs>
          <w:tab w:val="right" w:leader="dot" w:pos="9072"/>
        </w:tabs>
      </w:pPr>
      <w:r>
        <w:fldChar w:fldCharType="begin"/>
      </w:r>
      <w:r>
        <w:instrText xml:space="preserve"> HYPERLINK \l _Toc31578 </w:instrText>
      </w:r>
      <w:r>
        <w:fldChar w:fldCharType="separate"/>
      </w:r>
      <w:r>
        <w:rPr>
          <w:rFonts w:hint="eastAsia" w:ascii="Times New Roman" w:hAnsi="Times New Roman" w:eastAsia="黑体"/>
        </w:rPr>
        <w:t>附录 F 机器学习方向验证：人工评分逻辑的可计算性证明</w:t>
      </w:r>
      <w:r>
        <w:tab/>
      </w:r>
      <w:r>
        <w:fldChar w:fldCharType="begin"/>
      </w:r>
      <w:r>
        <w:instrText xml:space="preserve"> PAGEREF _Toc31578 \h </w:instrText>
      </w:r>
      <w:r>
        <w:fldChar w:fldCharType="separate"/>
      </w:r>
      <w:r>
        <w:t>126</w:t>
      </w:r>
      <w:r>
        <w:fldChar w:fldCharType="end"/>
      </w:r>
      <w:r>
        <w:fldChar w:fldCharType="end"/>
      </w:r>
    </w:p>
    <w:p w14:paraId="34B4CAE2">
      <w:pPr>
        <w:pStyle w:val="19"/>
        <w:tabs>
          <w:tab w:val="right" w:leader="dot" w:pos="9072"/>
        </w:tabs>
      </w:pPr>
      <w:r>
        <w:fldChar w:fldCharType="begin"/>
      </w:r>
      <w:r>
        <w:instrText xml:space="preserve"> HYPERLINK \l _Toc13592 </w:instrText>
      </w:r>
      <w:r>
        <w:fldChar w:fldCharType="separate"/>
      </w:r>
      <w:r>
        <w:rPr>
          <w:rFonts w:ascii="Times New Roman" w:hAnsi="Times New Roman" w:eastAsia="黑体"/>
        </w:rPr>
        <w:t xml:space="preserve">F.1 </w:t>
      </w:r>
      <w:r>
        <w:rPr>
          <w:rFonts w:hint="eastAsia" w:ascii="Times New Roman" w:hAnsi="Times New Roman" w:eastAsia="黑体"/>
        </w:rPr>
        <w:t>方法</w:t>
      </w:r>
      <w:r>
        <w:tab/>
      </w:r>
      <w:r>
        <w:fldChar w:fldCharType="begin"/>
      </w:r>
      <w:r>
        <w:instrText xml:space="preserve"> PAGEREF _Toc13592 \h </w:instrText>
      </w:r>
      <w:r>
        <w:fldChar w:fldCharType="separate"/>
      </w:r>
      <w:r>
        <w:t>126</w:t>
      </w:r>
      <w:r>
        <w:fldChar w:fldCharType="end"/>
      </w:r>
      <w:r>
        <w:fldChar w:fldCharType="end"/>
      </w:r>
    </w:p>
    <w:p w14:paraId="0E8BA590">
      <w:pPr>
        <w:pStyle w:val="19"/>
        <w:tabs>
          <w:tab w:val="right" w:leader="dot" w:pos="9072"/>
        </w:tabs>
      </w:pPr>
      <w:r>
        <w:fldChar w:fldCharType="begin"/>
      </w:r>
      <w:r>
        <w:instrText xml:space="preserve"> HYPERLINK \l _Toc19415 </w:instrText>
      </w:r>
      <w:r>
        <w:fldChar w:fldCharType="separate"/>
      </w:r>
      <w:r>
        <w:rPr>
          <w:rFonts w:ascii="Times New Roman" w:hAnsi="Times New Roman" w:eastAsia="黑体"/>
        </w:rPr>
        <w:t xml:space="preserve">F.2 </w:t>
      </w:r>
      <w:r>
        <w:rPr>
          <w:rFonts w:hint="eastAsia" w:ascii="Times New Roman" w:hAnsi="Times New Roman" w:eastAsia="黑体"/>
        </w:rPr>
        <w:t>结果</w:t>
      </w:r>
      <w:r>
        <w:tab/>
      </w:r>
      <w:r>
        <w:fldChar w:fldCharType="begin"/>
      </w:r>
      <w:r>
        <w:instrText xml:space="preserve"> PAGEREF _Toc19415 \h </w:instrText>
      </w:r>
      <w:r>
        <w:fldChar w:fldCharType="separate"/>
      </w:r>
      <w:r>
        <w:t>127</w:t>
      </w:r>
      <w:r>
        <w:fldChar w:fldCharType="end"/>
      </w:r>
      <w:r>
        <w:fldChar w:fldCharType="end"/>
      </w:r>
    </w:p>
    <w:p w14:paraId="4C0662BA">
      <w:pPr>
        <w:pStyle w:val="19"/>
        <w:tabs>
          <w:tab w:val="right" w:leader="dot" w:pos="9072"/>
        </w:tabs>
      </w:pPr>
      <w:r>
        <w:fldChar w:fldCharType="begin"/>
      </w:r>
      <w:r>
        <w:instrText xml:space="preserve"> HYPERLINK \l _Toc24482 </w:instrText>
      </w:r>
      <w:r>
        <w:fldChar w:fldCharType="separate"/>
      </w:r>
      <w:r>
        <w:rPr>
          <w:rFonts w:ascii="Times New Roman" w:hAnsi="Times New Roman" w:eastAsia="黑体"/>
        </w:rPr>
        <w:t xml:space="preserve">F.3 </w:t>
      </w:r>
      <w:r>
        <w:rPr>
          <w:rFonts w:hint="eastAsia" w:ascii="Times New Roman" w:hAnsi="Times New Roman" w:eastAsia="黑体"/>
        </w:rPr>
        <w:t>研究边界与下一步升级路径</w:t>
      </w:r>
      <w:r>
        <w:tab/>
      </w:r>
      <w:r>
        <w:fldChar w:fldCharType="begin"/>
      </w:r>
      <w:r>
        <w:instrText xml:space="preserve"> PAGEREF _Toc24482 \h </w:instrText>
      </w:r>
      <w:r>
        <w:fldChar w:fldCharType="separate"/>
      </w:r>
      <w:r>
        <w:t>132</w:t>
      </w:r>
      <w:r>
        <w:fldChar w:fldCharType="end"/>
      </w:r>
      <w:r>
        <w:fldChar w:fldCharType="end"/>
      </w:r>
    </w:p>
    <w:p w14:paraId="165CE3D9">
      <w:r>
        <w:fldChar w:fldCharType="end"/>
      </w:r>
    </w:p>
    <w:bookmarkEnd w:id="3"/>
    <w:p w14:paraId="78092EF7">
      <w:pPr>
        <w:pStyle w:val="2"/>
        <w:pageBreakBefore/>
        <w:spacing w:before="360" w:after="240" w:line="360" w:lineRule="auto"/>
        <w:jc w:val="center"/>
      </w:pPr>
      <w:bookmarkStart w:id="4" w:name="_Toc9442"/>
      <w:bookmarkStart w:id="5" w:name="摘要"/>
      <w:r>
        <w:rPr>
          <w:rFonts w:hint="eastAsia" w:ascii="Times New Roman" w:hAnsi="Times New Roman" w:eastAsia="黑体"/>
          <w:b/>
          <w:color w:val="000000"/>
          <w:sz w:val="32"/>
        </w:rPr>
        <w:t>摘要</w:t>
      </w:r>
      <w:bookmarkEnd w:id="4"/>
    </w:p>
    <w:p w14:paraId="0C54FF13">
      <w:pPr>
        <w:pStyle w:val="25"/>
        <w:spacing w:before="40" w:after="40" w:line="360" w:lineRule="auto"/>
        <w:ind w:firstLine="480"/>
      </w:pPr>
      <w:r>
        <w:rPr>
          <w:rFonts w:ascii="Times New Roman" w:hAnsi="Times New Roman" w:eastAsia="宋体"/>
          <w:sz w:val="24"/>
        </w:rPr>
        <w:t xml:space="preserve">AI </w:t>
      </w:r>
      <w:r>
        <w:rPr>
          <w:rFonts w:hint="eastAsia" w:ascii="Times New Roman" w:hAnsi="Times New Roman" w:eastAsia="宋体"/>
          <w:sz w:val="24"/>
        </w:rPr>
        <w:t>算力资产的技术迭代周期仅</w:t>
      </w:r>
      <w:r>
        <w:rPr>
          <w:rFonts w:ascii="Times New Roman" w:hAnsi="Times New Roman" w:eastAsia="宋体"/>
          <w:sz w:val="24"/>
        </w:rPr>
        <w:t xml:space="preserve"> 1-2 </w:t>
      </w:r>
      <w:r>
        <w:rPr>
          <w:rFonts w:hint="eastAsia" w:ascii="Times New Roman" w:hAnsi="Times New Roman" w:eastAsia="宋体"/>
          <w:sz w:val="24"/>
        </w:rPr>
        <w:t>年，美国科技巨头却普遍按</w:t>
      </w:r>
      <w:r>
        <w:rPr>
          <w:rFonts w:ascii="Times New Roman" w:hAnsi="Times New Roman" w:eastAsia="宋体"/>
          <w:sz w:val="24"/>
        </w:rPr>
        <w:t xml:space="preserve"> 4-8 </w:t>
      </w:r>
      <w:r>
        <w:rPr>
          <w:rFonts w:hint="eastAsia" w:ascii="Times New Roman" w:hAnsi="Times New Roman" w:eastAsia="宋体"/>
          <w:sz w:val="24"/>
        </w:rPr>
        <w:t>年计提折旧——技术寿命与会计寿命的结构性错配，使折旧费用被系统性低估、当期利润被系统性前置（未来减值风险累积）。Burry</w:t>
      </w:r>
      <w:r>
        <w:rPr>
          <w:rFonts w:ascii="Times New Roman" w:hAnsi="Times New Roman" w:eastAsia="宋体"/>
          <w:sz w:val="24"/>
        </w:rPr>
        <w:t xml:space="preserve"> </w:t>
      </w:r>
      <w:r>
        <w:rPr>
          <w:rFonts w:hint="eastAsia" w:ascii="Times New Roman" w:hAnsi="Times New Roman" w:eastAsia="宋体"/>
          <w:sz w:val="24"/>
        </w:rPr>
        <w:t>估计，2026-2028</w:t>
      </w:r>
      <w:r>
        <w:rPr>
          <w:rFonts w:ascii="Times New Roman" w:hAnsi="Times New Roman" w:eastAsia="宋体"/>
          <w:sz w:val="24"/>
        </w:rPr>
        <w:t xml:space="preserve"> </w:t>
      </w:r>
      <w:r>
        <w:rPr>
          <w:rFonts w:hint="eastAsia" w:ascii="Times New Roman" w:hAnsi="Times New Roman" w:eastAsia="宋体"/>
          <w:sz w:val="24"/>
        </w:rPr>
        <w:t>年全行业低估折旧约</w:t>
      </w:r>
      <w:r>
        <w:rPr>
          <w:rFonts w:ascii="Times New Roman" w:hAnsi="Times New Roman" w:eastAsia="宋体"/>
          <w:sz w:val="24"/>
        </w:rPr>
        <w:t xml:space="preserve"> 1760 </w:t>
      </w:r>
      <w:r>
        <w:rPr>
          <w:rFonts w:hint="eastAsia" w:ascii="Times New Roman" w:hAnsi="Times New Roman" w:eastAsia="宋体"/>
          <w:sz w:val="24"/>
        </w:rPr>
        <w:t>亿美元。</w:t>
      </w:r>
    </w:p>
    <w:p w14:paraId="61881015">
      <w:pPr>
        <w:pStyle w:val="3"/>
        <w:spacing w:before="40" w:after="40" w:line="360" w:lineRule="auto"/>
        <w:ind w:firstLine="480"/>
      </w:pPr>
      <w:r>
        <w:rPr>
          <w:rFonts w:hint="eastAsia" w:ascii="Times New Roman" w:hAnsi="Times New Roman" w:eastAsia="宋体"/>
          <w:sz w:val="24"/>
        </w:rPr>
        <w:t>折旧错配并非孤立的会计技术问题，而是算力基础设施计量失真-资本错配-放大算法迭代失败财务冲击的财务放大器;它嵌入科创企业</w:t>
      </w:r>
      <w:r>
        <w:rPr>
          <w:rFonts w:hint="eastAsia" w:ascii="Times New Roman" w:hAnsi="Times New Roman" w:eastAsia="宋体"/>
          <w:sz w:val="24"/>
          <w:lang w:eastAsia="zh-CN"/>
        </w:rPr>
        <w:t>，</w:t>
      </w:r>
      <w:r>
        <w:rPr>
          <w:rFonts w:hint="eastAsia" w:ascii="Times New Roman" w:hAnsi="Times New Roman" w:eastAsia="宋体"/>
          <w:sz w:val="24"/>
        </w:rPr>
        <w:t>融资-估值-投资全生命周期是赛题算法安全、数据合规、科技伦理、知识产权、地缘博弈等多元风险在财务报表维度的枢纽性体现。</w:t>
      </w:r>
    </w:p>
    <w:p w14:paraId="5132EE5D">
      <w:pPr>
        <w:pStyle w:val="3"/>
        <w:spacing w:before="40" w:after="40" w:line="360" w:lineRule="auto"/>
        <w:ind w:firstLine="480"/>
      </w:pPr>
      <w:r>
        <w:rPr>
          <w:rFonts w:hint="eastAsia" w:ascii="Times New Roman" w:hAnsi="Times New Roman" w:eastAsia="宋体"/>
          <w:sz w:val="24"/>
        </w:rPr>
        <w:t>本研究以</w:t>
      </w:r>
      <w:r>
        <w:rPr>
          <w:rFonts w:ascii="Times New Roman" w:hAnsi="Times New Roman" w:eastAsia="宋体"/>
          <w:sz w:val="24"/>
        </w:rPr>
        <w:t xml:space="preserve"> SEC </w:t>
      </w:r>
      <w:r>
        <w:rPr>
          <w:rFonts w:hint="eastAsia" w:ascii="Times New Roman" w:hAnsi="Times New Roman" w:eastAsia="宋体"/>
          <w:sz w:val="24"/>
        </w:rPr>
        <w:t>法定披露的</w:t>
      </w:r>
      <w:r>
        <w:rPr>
          <w:rFonts w:ascii="Times New Roman" w:hAnsi="Times New Roman" w:eastAsia="宋体"/>
          <w:sz w:val="24"/>
        </w:rPr>
        <w:t xml:space="preserve"> 10-K </w:t>
      </w:r>
      <w:r>
        <w:rPr>
          <w:rFonts w:hint="eastAsia" w:ascii="Times New Roman" w:hAnsi="Times New Roman" w:eastAsia="宋体"/>
          <w:sz w:val="24"/>
        </w:rPr>
        <w:t>年报为数据源，构建证据链标注体系与五维度折旧风险评分模型（5D-DRS）：以“原文—行号—会计含义—推断链”四列结构固化风险信号，经五维度加权评分。10</w:t>
      </w:r>
      <w:r>
        <w:rPr>
          <w:rFonts w:ascii="Times New Roman" w:hAnsi="Times New Roman" w:eastAsia="宋体"/>
          <w:sz w:val="24"/>
        </w:rPr>
        <w:t xml:space="preserve"> </w:t>
      </w:r>
      <w:r>
        <w:rPr>
          <w:rFonts w:hint="eastAsia" w:ascii="Times New Roman" w:hAnsi="Times New Roman" w:eastAsia="宋体"/>
          <w:sz w:val="24"/>
        </w:rPr>
        <w:t>家科技公司</w:t>
      </w:r>
      <w:r>
        <w:rPr>
          <w:rFonts w:ascii="Times New Roman" w:hAnsi="Times New Roman" w:eastAsia="宋体"/>
          <w:sz w:val="24"/>
        </w:rPr>
        <w:t xml:space="preserve"> × 3 </w:t>
      </w:r>
      <w:r>
        <w:rPr>
          <w:rFonts w:hint="eastAsia" w:ascii="Times New Roman" w:hAnsi="Times New Roman" w:eastAsia="宋体"/>
          <w:sz w:val="24"/>
        </w:rPr>
        <w:t>财年</w:t>
      </w:r>
      <w:r>
        <w:rPr>
          <w:rFonts w:ascii="Times New Roman" w:hAnsi="Times New Roman" w:eastAsia="宋体"/>
          <w:sz w:val="24"/>
        </w:rPr>
        <w:t xml:space="preserve"> = 30 </w:t>
      </w:r>
      <w:r>
        <w:rPr>
          <w:rFonts w:hint="eastAsia" w:ascii="Times New Roman" w:hAnsi="Times New Roman" w:eastAsia="宋体"/>
          <w:sz w:val="24"/>
        </w:rPr>
        <w:t>份面板样本（全部人工复核）的实证发现：6</w:t>
      </w:r>
      <w:r>
        <w:rPr>
          <w:rFonts w:ascii="Times New Roman" w:hAnsi="Times New Roman" w:eastAsia="宋体"/>
          <w:sz w:val="24"/>
        </w:rPr>
        <w:t xml:space="preserve"> </w:t>
      </w:r>
      <w:r>
        <w:rPr>
          <w:rFonts w:hint="eastAsia" w:ascii="Times New Roman" w:hAnsi="Times New Roman" w:eastAsia="宋体"/>
          <w:sz w:val="24"/>
        </w:rPr>
        <w:t>家公司在</w:t>
      </w:r>
      <w:r>
        <w:rPr>
          <w:rFonts w:ascii="Times New Roman" w:hAnsi="Times New Roman" w:eastAsia="宋体"/>
          <w:sz w:val="24"/>
        </w:rPr>
        <w:t xml:space="preserve"> AI </w:t>
      </w:r>
      <w:r>
        <w:rPr>
          <w:rFonts w:hint="eastAsia" w:ascii="Times New Roman" w:hAnsi="Times New Roman" w:eastAsia="宋体"/>
          <w:sz w:val="24"/>
        </w:rPr>
        <w:t>投资爆发后约</w:t>
      </w:r>
      <w:r>
        <w:rPr>
          <w:rFonts w:ascii="Times New Roman" w:hAnsi="Times New Roman" w:eastAsia="宋体"/>
          <w:sz w:val="24"/>
        </w:rPr>
        <w:t xml:space="preserve"> 12 </w:t>
      </w:r>
      <w:r>
        <w:rPr>
          <w:rFonts w:hint="eastAsia" w:ascii="Times New Roman" w:hAnsi="Times New Roman" w:eastAsia="宋体"/>
          <w:sz w:val="24"/>
        </w:rPr>
        <w:t>个月内同步延长折旧年限，Oracle</w:t>
      </w:r>
      <w:r>
        <w:rPr>
          <w:rFonts w:ascii="Times New Roman" w:hAnsi="Times New Roman" w:eastAsia="宋体"/>
          <w:sz w:val="24"/>
        </w:rPr>
        <w:t xml:space="preserv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成为“连续延长者”；变更年评分均值为</w:t>
      </w:r>
      <w:r>
        <w:rPr>
          <w:rFonts w:ascii="Times New Roman" w:hAnsi="Times New Roman" w:eastAsia="宋体"/>
          <w:sz w:val="24"/>
        </w:rPr>
        <w:t xml:space="preserve"> </w:t>
      </w:r>
      <w:r>
        <w:rPr>
          <w:rFonts w:hint="eastAsia" w:ascii="Times New Roman" w:hAnsi="Times New Roman" w:eastAsia="宋体"/>
          <w:sz w:val="24"/>
        </w:rPr>
        <w:t>4.25，高于非变更年的</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分），呈现面板层面的共现特征，但有效独立样本量约</w:t>
      </w:r>
      <w:r>
        <w:rPr>
          <w:rFonts w:ascii="Times New Roman" w:hAnsi="Times New Roman" w:eastAsia="宋体"/>
          <w:sz w:val="24"/>
        </w:rPr>
        <w:t xml:space="preserve"> </w:t>
      </w:r>
      <w:r>
        <w:rPr>
          <w:rFonts w:hint="eastAsia" w:ascii="Times New Roman" w:hAnsi="Times New Roman" w:eastAsia="宋体"/>
          <w:sz w:val="24"/>
        </w:rPr>
        <w:t>10，此处仅作描述性报告；风险</w:t>
      </w:r>
      <w:r>
        <w:rPr>
          <w:rFonts w:ascii="Times New Roman" w:hAnsi="Times New Roman" w:eastAsia="宋体"/>
          <w:sz w:val="24"/>
        </w:rPr>
        <w:t xml:space="preserve"> = </w:t>
      </w:r>
      <w:r>
        <w:rPr>
          <w:rFonts w:hint="eastAsia" w:ascii="Times New Roman" w:hAnsi="Times New Roman" w:eastAsia="宋体"/>
          <w:sz w:val="24"/>
        </w:rPr>
        <w:t>假设激进度</w:t>
      </w:r>
      <w:r>
        <w:rPr>
          <w:rFonts w:ascii="Times New Roman" w:hAnsi="Times New Roman" w:eastAsia="宋体"/>
          <w:sz w:val="24"/>
        </w:rPr>
        <w:t xml:space="preserve"> × </w:t>
      </w:r>
      <w:r>
        <w:rPr>
          <w:rFonts w:hint="eastAsia" w:ascii="Times New Roman" w:hAnsi="Times New Roman" w:eastAsia="宋体"/>
          <w:sz w:val="24"/>
        </w:rPr>
        <w:t>资产敞口；错配沿“折旧—存货—商誉—租赁”四通道分化。证据链方法具备双向验证能力：既辨明“5→8</w:t>
      </w:r>
      <w:r>
        <w:rPr>
          <w:rFonts w:ascii="Times New Roman" w:hAnsi="Times New Roman" w:eastAsia="宋体"/>
          <w:sz w:val="24"/>
        </w:rPr>
        <w:t xml:space="preserve"> </w:t>
      </w:r>
      <w:r>
        <w:rPr>
          <w:rFonts w:hint="eastAsia" w:ascii="Times New Roman" w:hAnsi="Times New Roman" w:eastAsia="宋体"/>
          <w:sz w:val="24"/>
        </w:rPr>
        <w:t>年”变更真身为</w:t>
      </w:r>
      <w:r>
        <w:rPr>
          <w:rFonts w:ascii="Times New Roman" w:hAnsi="Times New Roman" w:eastAsia="宋体"/>
          <w:sz w:val="24"/>
        </w:rPr>
        <w:t xml:space="preserve"> Intel </w:t>
      </w:r>
      <w:r>
        <w:rPr>
          <w:rFonts w:hint="eastAsia" w:ascii="Times New Roman" w:hAnsi="Times New Roman" w:eastAsia="宋体"/>
          <w:sz w:val="24"/>
        </w:rPr>
        <w:t>晶圆厂设备，又逐字证实“Oracle</w:t>
      </w:r>
      <w:r>
        <w:rPr>
          <w:rFonts w:ascii="Times New Roman" w:hAnsi="Times New Roman" w:eastAsia="宋体"/>
          <w:sz w:val="24"/>
        </w:rPr>
        <w:t xml:space="preserve"> </w:t>
      </w:r>
      <w:r>
        <w:rPr>
          <w:rFonts w:hint="eastAsia" w:ascii="Times New Roman" w:hAnsi="Times New Roman" w:eastAsia="宋体"/>
          <w:sz w:val="24"/>
        </w:rPr>
        <w:t>延长至</w:t>
      </w:r>
      <w:r>
        <w:rPr>
          <w:rFonts w:ascii="Times New Roman" w:hAnsi="Times New Roman" w:eastAsia="宋体"/>
          <w:sz w:val="24"/>
        </w:rPr>
        <w:t xml:space="preserve"> 6 </w:t>
      </w:r>
      <w:r>
        <w:rPr>
          <w:rFonts w:hint="eastAsia" w:ascii="Times New Roman" w:hAnsi="Times New Roman" w:eastAsia="宋体"/>
          <w:sz w:val="24"/>
        </w:rPr>
        <w:t>年”（经营费用</w:t>
      </w:r>
      <w:r>
        <w:rPr>
          <w:rFonts w:ascii="Times New Roman" w:hAnsi="Times New Roman" w:eastAsia="宋体"/>
          <w:sz w:val="24"/>
        </w:rPr>
        <w:t xml:space="preserve"> -7.33 </w:t>
      </w:r>
      <w:r>
        <w:rPr>
          <w:rFonts w:hint="eastAsia" w:ascii="Times New Roman" w:hAnsi="Times New Roman" w:eastAsia="宋体"/>
          <w:sz w:val="24"/>
        </w:rPr>
        <w:t>亿美元）。</w:t>
      </w:r>
    </w:p>
    <w:p w14:paraId="44CD5C3A">
      <w:pPr>
        <w:pStyle w:val="3"/>
        <w:spacing w:before="40" w:after="40" w:line="360" w:lineRule="auto"/>
        <w:ind w:firstLine="480"/>
      </w:pPr>
      <w:r>
        <w:rPr>
          <w:rFonts w:hint="eastAsia" w:ascii="Times New Roman" w:hAnsi="Times New Roman" w:eastAsia="宋体"/>
          <w:sz w:val="24"/>
        </w:rPr>
        <w:t>本研究进一步回应产业痛点与国家需求：以“受害者分析+产业需求对照表”论证折旧错配对机构投资者、科创板定价效率与国家科技金融战略的真实伤害；以“政策映射表+三层价值”衔接高水平科技自立自强与科技金融“五篇大文章”国家战略；系统剖析审计、信用评级、精算与监管科技四大传统风控支柱的结构性盲区，阐明本研究“填补缝隙”而非“替代”的定位。</w:t>
      </w:r>
    </w:p>
    <w:p w14:paraId="0CE10505">
      <w:pPr>
        <w:pStyle w:val="3"/>
        <w:spacing w:before="40" w:after="40" w:line="360" w:lineRule="auto"/>
        <w:ind w:firstLine="480"/>
      </w:pPr>
      <w:r>
        <w:rPr>
          <w:rFonts w:hint="eastAsia" w:ascii="Times New Roman" w:hAnsi="Times New Roman" w:eastAsia="宋体"/>
          <w:sz w:val="24"/>
        </w:rPr>
        <w:t>据此构建“看得见—管得住—降得下”的全链条风控方案：可运行的</w:t>
      </w:r>
      <w:r>
        <w:rPr>
          <w:rFonts w:ascii="Times New Roman" w:hAnsi="Times New Roman" w:eastAsia="宋体"/>
          <w:sz w:val="24"/>
        </w:rPr>
        <w:t xml:space="preserve"> Streamlit </w:t>
      </w:r>
      <w:r>
        <w:rPr>
          <w:rFonts w:hint="eastAsia" w:ascii="Times New Roman" w:hAnsi="Times New Roman" w:eastAsia="宋体"/>
          <w:sz w:val="24"/>
        </w:rPr>
        <w:t>智能识别系统、由实证发现反推的四条量化预警规则、面向企业/保险/监管的三类落地方案；创新设计</w:t>
      </w:r>
      <w:r>
        <w:rPr>
          <w:rFonts w:ascii="Times New Roman" w:hAnsi="Times New Roman" w:eastAsia="宋体"/>
          <w:sz w:val="24"/>
        </w:rPr>
        <w:t xml:space="preserve"> </w:t>
      </w:r>
      <w:r>
        <w:rPr>
          <w:rFonts w:hint="eastAsia" w:ascii="Times New Roman" w:hAnsi="Times New Roman" w:eastAsia="宋体"/>
          <w:sz w:val="24"/>
        </w:rPr>
        <w:t>DMVI（科创资产减值波动险）与</w:t>
      </w:r>
      <w:r>
        <w:rPr>
          <w:rFonts w:ascii="Times New Roman" w:hAnsi="Times New Roman" w:eastAsia="宋体"/>
          <w:sz w:val="24"/>
        </w:rPr>
        <w:t xml:space="preserve"> </w:t>
      </w:r>
      <w:r>
        <w:rPr>
          <w:rFonts w:hint="eastAsia" w:ascii="Times New Roman" w:hAnsi="Times New Roman" w:eastAsia="宋体"/>
          <w:sz w:val="24"/>
        </w:rPr>
        <w:t>ESI（科创资产置换保险）两类保险缓释产品，将折旧风险从“不可识别的会计偏差”转化为“可定价的保险标的”。AI</w:t>
      </w:r>
      <w:r>
        <w:rPr>
          <w:rFonts w:ascii="Times New Roman" w:hAnsi="Times New Roman" w:eastAsia="宋体"/>
          <w:sz w:val="24"/>
        </w:rPr>
        <w:t xml:space="preserve"> </w:t>
      </w:r>
      <w:r>
        <w:rPr>
          <w:rFonts w:hint="eastAsia" w:ascii="Times New Roman" w:hAnsi="Times New Roman" w:eastAsia="宋体"/>
          <w:sz w:val="24"/>
        </w:rPr>
        <w:t>技术层面，提出</w:t>
      </w:r>
      <w:r>
        <w:rPr>
          <w:rFonts w:ascii="Times New Roman" w:hAnsi="Times New Roman" w:eastAsia="宋体"/>
          <w:sz w:val="24"/>
        </w:rPr>
        <w:t xml:space="preserve"> RAG </w:t>
      </w:r>
      <w:r>
        <w:rPr>
          <w:rFonts w:hint="eastAsia" w:ascii="Times New Roman" w:hAnsi="Times New Roman" w:eastAsia="宋体"/>
          <w:sz w:val="24"/>
        </w:rPr>
        <w:t>解释引擎与</w:t>
      </w:r>
      <w:r>
        <w:rPr>
          <w:rFonts w:ascii="Times New Roman" w:hAnsi="Times New Roman" w:eastAsia="宋体"/>
          <w:sz w:val="24"/>
        </w:rPr>
        <w:t xml:space="preserve"> FinBERT </w:t>
      </w:r>
      <w:r>
        <w:rPr>
          <w:rFonts w:hint="eastAsia" w:ascii="Times New Roman" w:hAnsi="Times New Roman" w:eastAsia="宋体"/>
          <w:sz w:val="24"/>
        </w:rPr>
        <w:t>文本分析的深化路径；政策层面，通过国际比较阐明中国折旧政策的先进性，提出“政策引导+市场缓释”双轮驱动方案。中国科创企业应善用合法加速折旧工具，让账面跟上技术迭代。</w:t>
      </w:r>
    </w:p>
    <w:p w14:paraId="0A66C86F">
      <w:pPr>
        <w:pStyle w:val="3"/>
        <w:spacing w:before="40" w:after="40" w:line="360" w:lineRule="auto"/>
        <w:ind w:firstLine="480"/>
      </w:pPr>
      <w:r>
        <w:rPr>
          <w:rFonts w:hint="eastAsia" w:ascii="Times New Roman" w:hAnsi="Times New Roman" w:eastAsia="宋体"/>
          <w:sz w:val="24"/>
        </w:rPr>
        <w:t>总体而言，本研究将折旧错配从会计技术问题升维为科技金融的基础设施问题：折旧年限假设是科创企业资产真实性计量的第一道闸门，5D-DRS 评分为科技金融“投、融、贷、保”全流程提供可复算的风险度量公共底座。</w:t>
      </w:r>
    </w:p>
    <w:p w14:paraId="43ED4096">
      <w:pPr>
        <w:pStyle w:val="3"/>
        <w:spacing w:before="40" w:after="40" w:line="360" w:lineRule="auto"/>
        <w:ind w:firstLine="480"/>
      </w:pPr>
      <w:r>
        <w:rPr>
          <w:rFonts w:hint="eastAsia" w:ascii="Times New Roman" w:hAnsi="Times New Roman" w:eastAsia="宋体"/>
          <w:sz w:val="24"/>
        </w:rPr>
        <w:t>关键词：科创企业；资产折旧；会计估计变更；风险识别；科技保险；人工智能</w:t>
      </w:r>
    </w:p>
    <w:bookmarkEnd w:id="5"/>
    <w:p w14:paraId="220BED2F">
      <w:pPr>
        <w:pStyle w:val="2"/>
        <w:pageBreakBefore/>
        <w:spacing w:before="360" w:after="240" w:line="360" w:lineRule="auto"/>
        <w:jc w:val="center"/>
      </w:pPr>
      <w:bookmarkStart w:id="6" w:name="_Toc14125"/>
      <w:bookmarkStart w:id="7" w:name="第一章问题提出风口上的财报陷阱"/>
      <w:r>
        <w:rPr>
          <w:rFonts w:hint="eastAsia" w:ascii="Times New Roman" w:hAnsi="Times New Roman" w:eastAsia="黑体"/>
          <w:b/>
          <w:color w:val="000000"/>
          <w:sz w:val="32"/>
        </w:rPr>
        <w:t>第一章问题提出：风口上的财报陷阱</w:t>
      </w:r>
      <w:bookmarkEnd w:id="6"/>
    </w:p>
    <w:p w14:paraId="6275BB55">
      <w:pPr>
        <w:pStyle w:val="25"/>
        <w:spacing w:before="40" w:after="40" w:line="360" w:lineRule="auto"/>
        <w:ind w:firstLine="480"/>
      </w:pPr>
      <w:r>
        <w:rPr>
          <w:rFonts w:hint="eastAsia" w:ascii="Times New Roman" w:hAnsi="Times New Roman" w:eastAsia="宋体"/>
          <w:sz w:val="24"/>
        </w:rPr>
        <w:t>本章核心结论：AI</w:t>
      </w:r>
      <w:r>
        <w:rPr>
          <w:rFonts w:ascii="Times New Roman" w:hAnsi="Times New Roman" w:eastAsia="宋体"/>
          <w:sz w:val="24"/>
        </w:rPr>
        <w:t xml:space="preserve"> </w:t>
      </w:r>
      <w:r>
        <w:rPr>
          <w:rFonts w:hint="eastAsia" w:ascii="Times New Roman" w:hAnsi="Times New Roman" w:eastAsia="宋体"/>
          <w:sz w:val="24"/>
        </w:rPr>
        <w:t>资本开支狂潮下，1-2</w:t>
      </w:r>
      <w:r>
        <w:rPr>
          <w:rFonts w:ascii="Times New Roman" w:hAnsi="Times New Roman" w:eastAsia="宋体"/>
          <w:sz w:val="24"/>
        </w:rPr>
        <w:t xml:space="preserve"> </w:t>
      </w:r>
      <w:r>
        <w:rPr>
          <w:rFonts w:hint="eastAsia" w:ascii="Times New Roman" w:hAnsi="Times New Roman" w:eastAsia="宋体"/>
          <w:sz w:val="24"/>
        </w:rPr>
        <w:t>年技术迭代</w:t>
      </w:r>
      <w:r>
        <w:rPr>
          <w:rFonts w:ascii="Times New Roman" w:hAnsi="Times New Roman" w:eastAsia="宋体"/>
          <w:sz w:val="24"/>
        </w:rPr>
        <w:t xml:space="preserve"> vs 4-8 </w:t>
      </w:r>
      <w:r>
        <w:rPr>
          <w:rFonts w:hint="eastAsia" w:ascii="Times New Roman" w:hAnsi="Times New Roman" w:eastAsia="宋体"/>
          <w:sz w:val="24"/>
        </w:rPr>
        <w:t>年会计寿命的错配正在系统性高估利润；Burry</w:t>
      </w:r>
      <w:r>
        <w:rPr>
          <w:rFonts w:ascii="Times New Roman" w:hAnsi="Times New Roman" w:eastAsia="宋体"/>
          <w:sz w:val="24"/>
        </w:rPr>
        <w:t xml:space="preserve"> </w:t>
      </w:r>
      <w:r>
        <w:rPr>
          <w:rFonts w:hint="eastAsia" w:ascii="Times New Roman" w:hAnsi="Times New Roman" w:eastAsia="宋体"/>
          <w:sz w:val="24"/>
        </w:rPr>
        <w:t>估算</w:t>
      </w:r>
      <w:r>
        <w:rPr>
          <w:rFonts w:ascii="Times New Roman" w:hAnsi="Times New Roman" w:eastAsia="宋体"/>
          <w:sz w:val="24"/>
        </w:rPr>
        <w:t xml:space="preserve"> 2026-2028 </w:t>
      </w:r>
      <w:r>
        <w:rPr>
          <w:rFonts w:hint="eastAsia" w:ascii="Times New Roman" w:hAnsi="Times New Roman" w:eastAsia="宋体"/>
          <w:sz w:val="24"/>
        </w:rPr>
        <w:t>年全行业低估折旧</w:t>
      </w:r>
      <w:r>
        <w:rPr>
          <w:rFonts w:ascii="Times New Roman" w:hAnsi="Times New Roman" w:eastAsia="宋体"/>
          <w:sz w:val="24"/>
        </w:rPr>
        <w:t xml:space="preserve"> 1760 </w:t>
      </w:r>
      <w:r>
        <w:rPr>
          <w:rFonts w:hint="eastAsia" w:ascii="Times New Roman" w:hAnsi="Times New Roman" w:eastAsia="宋体"/>
          <w:sz w:val="24"/>
        </w:rPr>
        <w:t>亿美元（2028</w:t>
      </w:r>
      <w:r>
        <w:rPr>
          <w:rFonts w:ascii="Times New Roman" w:hAnsi="Times New Roman" w:eastAsia="宋体"/>
          <w:sz w:val="24"/>
        </w:rPr>
        <w:t xml:space="preserve"> </w:t>
      </w:r>
      <w:r>
        <w:rPr>
          <w:rFonts w:hint="eastAsia" w:ascii="Times New Roman" w:hAnsi="Times New Roman" w:eastAsia="宋体"/>
          <w:sz w:val="24"/>
        </w:rPr>
        <w:t>年单年</w:t>
      </w:r>
      <w:r>
        <w:rPr>
          <w:rFonts w:ascii="Times New Roman" w:hAnsi="Times New Roman" w:eastAsia="宋体"/>
          <w:sz w:val="24"/>
        </w:rPr>
        <w:t xml:space="preserve"> Oracle </w:t>
      </w:r>
      <w:r>
        <w:rPr>
          <w:rFonts w:hint="eastAsia" w:ascii="Times New Roman" w:hAnsi="Times New Roman" w:eastAsia="宋体"/>
          <w:sz w:val="24"/>
        </w:rPr>
        <w:t>利润或被夸大</w:t>
      </w:r>
      <w:r>
        <w:rPr>
          <w:rFonts w:ascii="Times New Roman" w:hAnsi="Times New Roman" w:eastAsia="宋体"/>
          <w:sz w:val="24"/>
        </w:rPr>
        <w:t xml:space="preserve"> 26.9%、Meta </w:t>
      </w:r>
      <w:r>
        <w:rPr>
          <w:rFonts w:hint="eastAsia" w:ascii="Times New Roman" w:hAnsi="Times New Roman" w:eastAsia="宋体"/>
          <w:sz w:val="24"/>
        </w:rPr>
        <w:t>20.8%），而市场对会计异常的识别速度已从“数年”压缩至“小时级”——折旧错配是</w:t>
      </w:r>
      <w:r>
        <w:rPr>
          <w:rFonts w:ascii="Times New Roman" w:hAnsi="Times New Roman" w:eastAsia="宋体"/>
          <w:sz w:val="24"/>
        </w:rPr>
        <w:t xml:space="preserve"> AI </w:t>
      </w:r>
      <w:r>
        <w:rPr>
          <w:rFonts w:hint="eastAsia" w:ascii="Times New Roman" w:hAnsi="Times New Roman" w:eastAsia="宋体"/>
          <w:sz w:val="24"/>
        </w:rPr>
        <w:t>算力资产这一新资产类别在工业时代会计制度下的特有计量危机，直接嵌入科创企业估值-融资-投资的死亡螺旋，是科技保险看不清、算不准、担不住痛点的核心瓶颈。</w:t>
      </w:r>
    </w:p>
    <w:p w14:paraId="4DCDC5BD">
      <w:pPr>
        <w:pStyle w:val="4"/>
        <w:spacing w:before="320" w:after="160" w:line="360" w:lineRule="auto"/>
      </w:pPr>
      <w:bookmarkStart w:id="8" w:name="_Toc11706"/>
      <w:bookmarkStart w:id="9" w:name="ai-资本开支狂潮与折旧假设的静默博弈"/>
      <w:r>
        <w:rPr>
          <w:rFonts w:ascii="Times New Roman" w:hAnsi="Times New Roman" w:eastAsia="黑体"/>
          <w:b/>
          <w:color w:val="003366"/>
          <w:sz w:val="28"/>
        </w:rPr>
        <w:t xml:space="preserve">1.1 AI </w:t>
      </w:r>
      <w:r>
        <w:rPr>
          <w:rFonts w:hint="eastAsia" w:ascii="Times New Roman" w:hAnsi="Times New Roman" w:eastAsia="黑体"/>
          <w:b/>
          <w:color w:val="003366"/>
          <w:sz w:val="28"/>
        </w:rPr>
        <w:t>资本开支狂潮与折旧假设的静默博弈</w:t>
      </w:r>
      <w:bookmarkEnd w:id="8"/>
    </w:p>
    <w:p w14:paraId="173ED7E2">
      <w:pPr>
        <w:pStyle w:val="25"/>
        <w:spacing w:before="40" w:after="40" w:line="360" w:lineRule="auto"/>
        <w:ind w:firstLine="480"/>
      </w:pPr>
      <w:r>
        <w:rPr>
          <w:rFonts w:hint="eastAsia" w:ascii="Times New Roman" w:hAnsi="Times New Roman" w:eastAsia="宋体"/>
          <w:sz w:val="24"/>
        </w:rPr>
        <w:t>生成式人工智能的爆发引发了一场史无前例的基础设施军备竞赛。为支撑大模型训练与推理，美国超大规模科技公司（Hyperscalers）年度资本开支已达千亿美元量级，海量资金沉淀为</w:t>
      </w:r>
      <w:r>
        <w:rPr>
          <w:rFonts w:ascii="Times New Roman" w:hAnsi="Times New Roman" w:eastAsia="宋体"/>
          <w:sz w:val="24"/>
        </w:rPr>
        <w:t xml:space="preserve"> GPU </w:t>
      </w:r>
      <w:r>
        <w:rPr>
          <w:rFonts w:hint="eastAsia" w:ascii="Times New Roman" w:hAnsi="Times New Roman" w:eastAsia="宋体"/>
          <w:sz w:val="24"/>
        </w:rPr>
        <w:t>集群、数据中心与网络设备等固定资产。然而，与这场喧嚣的投资狂潮形成鲜明对比的，是财报附注中一场静默的博弈：这些资产的折旧年限该按几年算？</w:t>
      </w:r>
    </w:p>
    <w:p w14:paraId="226FB64F">
      <w:pPr>
        <w:pStyle w:val="3"/>
        <w:spacing w:before="40" w:after="40" w:line="360" w:lineRule="auto"/>
        <w:ind w:firstLine="480"/>
      </w:pPr>
      <w:r>
        <w:rPr>
          <w:rFonts w:hint="eastAsia" w:ascii="Times New Roman" w:hAnsi="Times New Roman" w:eastAsia="宋体"/>
          <w:sz w:val="24"/>
        </w:rPr>
        <w:t>这个问题的答案直接决定利润表的成色。折旧是固定资产成本在使用寿命内的分摊——年限每延长一年，当期折旧费用就减少一块，当期利润就增厚一块。在会计准则框架内，折旧年限属于“会计估计”，管理层拥有合法裁量权；变更采用未来适用法，既往不咎。于是，一个看似技术性的估计选择，成了</w:t>
      </w:r>
      <w:r>
        <w:rPr>
          <w:rFonts w:ascii="Times New Roman" w:hAnsi="Times New Roman" w:eastAsia="宋体"/>
          <w:sz w:val="24"/>
        </w:rPr>
        <w:t xml:space="preserve"> AI </w:t>
      </w:r>
      <w:r>
        <w:rPr>
          <w:rFonts w:hint="eastAsia" w:ascii="Times New Roman" w:hAnsi="Times New Roman" w:eastAsia="宋体"/>
          <w:sz w:val="24"/>
        </w:rPr>
        <w:t>时代利润管理最合规、也最隐蔽的杠杆。</w:t>
      </w:r>
    </w:p>
    <w:p w14:paraId="3B754D92">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这场博弈的赌注正在指数级放大。2025 年，全球数据中心投资规模约 5,800 亿美元，首次超越同期全球石油供应投资（约 5,400 亿美元）（晶澳科技，2026）——算力正式取代原油，成为最昂贵的生产要素。而承载算力的服务器与数据中心资产，正是折旧错配风险的物理载体：投资越是狂飙，年限假设每一年的“宽松”，所撬动的利润失真的绝对规模就越大。</w:t>
      </w:r>
    </w:p>
    <w:p w14:paraId="2AC72CD9">
      <w:pPr>
        <w:pStyle w:val="3"/>
        <w:spacing w:before="40" w:after="40" w:line="360" w:lineRule="auto"/>
        <w:ind w:firstLine="480"/>
      </w:pPr>
      <w:r>
        <w:rPr>
          <w:rFonts w:hint="eastAsia" w:ascii="Times New Roman" w:hAnsi="Times New Roman" w:eastAsia="宋体"/>
          <w:sz w:val="24"/>
        </w:rPr>
        <w:t>美股的极端波动不仅体现在指数层面，更直接作用于单只科技巨头。2025年1月27日，中国AI初创企业DeepSeek发布低成本高性能模型，英伟达（NVIDIA）单日暴跌16.86%，市值蒸发约5,890亿美元，创下全球上市公司有史以来最大的单日市值损失纪录；同日美股芯片股集体崩盘，博通跌17.40%、台积电跌13.33%，纳斯达克指数单日下跌3.07%，整个市场一天之内蒸发了约1万亿美元。2022年2月，Meta公布财报后单日暴跌26.39%，市值蒸发超2,300亿美元，创当时美股历史个股最大单日跌幅。这些案例揭示了一个被选择性忽视的制度性事实：美股没有涨跌停限制，没有停牌缓冲机制，一家科技巨头的市值可以在数小时内腰斩。当中国投资者追逐美股科技上涨行情时，往往只看到了AI带动的涨幅，却忽视了下行风险的非对称性——上涨可以缓慢积累，下跌却可以瞬间兑现。这种制度环境，使得折旧错配所积累的利润高估风险一旦暴露，市场定价的修正速度将远超有涨跌停保护的市场，投资者根本没有反应时间。</w:t>
      </w:r>
    </w:p>
    <w:bookmarkEnd w:id="9"/>
    <w:p w14:paraId="2B11B781">
      <w:pPr>
        <w:pStyle w:val="4"/>
        <w:spacing w:before="320" w:after="160" w:line="360" w:lineRule="auto"/>
      </w:pPr>
      <w:bookmarkStart w:id="10" w:name="_Toc21816"/>
      <w:bookmarkStart w:id="11" w:name="从-burry-警告到华尔街论战1760-亿美元的争议"/>
      <w:r>
        <w:rPr>
          <w:rFonts w:ascii="Times New Roman" w:hAnsi="Times New Roman" w:eastAsia="黑体"/>
          <w:b/>
          <w:color w:val="003366"/>
          <w:sz w:val="28"/>
        </w:rPr>
        <w:t xml:space="preserve">1.2 </w:t>
      </w:r>
      <w:r>
        <w:rPr>
          <w:rFonts w:hint="eastAsia" w:ascii="Times New Roman" w:hAnsi="Times New Roman" w:eastAsia="黑体"/>
          <w:b/>
          <w:color w:val="003366"/>
          <w:sz w:val="28"/>
        </w:rPr>
        <w:t>从</w:t>
      </w:r>
      <w:r>
        <w:rPr>
          <w:rFonts w:ascii="Times New Roman" w:hAnsi="Times New Roman" w:eastAsia="黑体"/>
          <w:b/>
          <w:color w:val="003366"/>
          <w:sz w:val="28"/>
        </w:rPr>
        <w:t xml:space="preserve"> Burry </w:t>
      </w:r>
      <w:r>
        <w:rPr>
          <w:rFonts w:hint="eastAsia" w:ascii="Times New Roman" w:hAnsi="Times New Roman" w:eastAsia="黑体"/>
          <w:b/>
          <w:color w:val="003366"/>
          <w:sz w:val="28"/>
        </w:rPr>
        <w:t>警告到华尔街论战：1760</w:t>
      </w:r>
      <w:r>
        <w:rPr>
          <w:rFonts w:ascii="Times New Roman" w:hAnsi="Times New Roman" w:eastAsia="黑体"/>
          <w:b/>
          <w:color w:val="003366"/>
          <w:sz w:val="28"/>
        </w:rPr>
        <w:t xml:space="preserve"> </w:t>
      </w:r>
      <w:r>
        <w:rPr>
          <w:rFonts w:hint="eastAsia" w:ascii="Times New Roman" w:hAnsi="Times New Roman" w:eastAsia="黑体"/>
          <w:b/>
          <w:color w:val="003366"/>
          <w:sz w:val="28"/>
        </w:rPr>
        <w:t>亿美元的争议</w:t>
      </w:r>
      <w:bookmarkEnd w:id="10"/>
    </w:p>
    <w:p w14:paraId="391CC0C7">
      <w:pPr>
        <w:pStyle w:val="25"/>
        <w:spacing w:before="40" w:after="40" w:line="360" w:lineRule="auto"/>
        <w:ind w:firstLine="480"/>
      </w:pPr>
      <w:r>
        <w:rPr>
          <w:rFonts w:ascii="Times New Roman" w:hAnsi="Times New Roman" w:eastAsia="宋体"/>
          <w:sz w:val="24"/>
        </w:rPr>
        <w:t xml:space="preserve">2025 </w:t>
      </w:r>
      <w:r>
        <w:rPr>
          <w:rFonts w:hint="eastAsia" w:ascii="Times New Roman" w:hAnsi="Times New Roman" w:eastAsia="宋体"/>
          <w:sz w:val="24"/>
        </w:rPr>
        <w:t>年底，曾因精准预测</w:t>
      </w:r>
      <w:r>
        <w:rPr>
          <w:rFonts w:ascii="Times New Roman" w:hAnsi="Times New Roman" w:eastAsia="宋体"/>
          <w:sz w:val="24"/>
        </w:rPr>
        <w:t xml:space="preserve"> 2008 </w:t>
      </w:r>
      <w:r>
        <w:rPr>
          <w:rFonts w:hint="eastAsia" w:ascii="Times New Roman" w:hAnsi="Times New Roman" w:eastAsia="宋体"/>
          <w:sz w:val="24"/>
        </w:rPr>
        <w:t>年次贷危机而闻名的《大空头》原型人物</w:t>
      </w:r>
      <w:r>
        <w:rPr>
          <w:rFonts w:ascii="Times New Roman" w:hAnsi="Times New Roman" w:eastAsia="宋体"/>
          <w:sz w:val="24"/>
        </w:rPr>
        <w:t xml:space="preserve"> Michael Burry </w:t>
      </w:r>
      <w:r>
        <w:rPr>
          <w:rFonts w:hint="eastAsia" w:ascii="Times New Roman" w:hAnsi="Times New Roman" w:eastAsia="宋体"/>
          <w:sz w:val="24"/>
        </w:rPr>
        <w:t>公开指控：微软、谷歌、Meta、Oracle</w:t>
      </w:r>
      <w:r>
        <w:rPr>
          <w:rFonts w:ascii="Times New Roman" w:hAnsi="Times New Roman" w:eastAsia="宋体"/>
          <w:sz w:val="24"/>
        </w:rPr>
        <w:t xml:space="preserve"> </w:t>
      </w:r>
      <w:r>
        <w:rPr>
          <w:rFonts w:hint="eastAsia" w:ascii="Times New Roman" w:hAnsi="Times New Roman" w:eastAsia="宋体"/>
          <w:sz w:val="24"/>
        </w:rPr>
        <w:t>等超大规模算力服务商正通过延长</w:t>
      </w:r>
      <w:r>
        <w:rPr>
          <w:rFonts w:ascii="Times New Roman" w:hAnsi="Times New Roman" w:eastAsia="宋体"/>
          <w:sz w:val="24"/>
        </w:rPr>
        <w:t xml:space="preserve"> AI </w:t>
      </w:r>
      <w:r>
        <w:rPr>
          <w:rFonts w:hint="eastAsia" w:ascii="Times New Roman" w:hAnsi="Times New Roman" w:eastAsia="宋体"/>
          <w:sz w:val="24"/>
        </w:rPr>
        <w:t>芯片和服务器折旧年限“低估折旧费用、人为放大账面利润”，并称之为“现代财报中最常见的欺诈之一”（Burry</w:t>
      </w:r>
      <w:r>
        <w:rPr>
          <w:rFonts w:ascii="Times New Roman" w:hAnsi="Times New Roman" w:eastAsia="宋体"/>
          <w:sz w:val="24"/>
        </w:rPr>
        <w:t xml:space="preserve"> </w:t>
      </w:r>
      <w:r>
        <w:rPr>
          <w:rFonts w:hint="eastAsia" w:ascii="Times New Roman" w:hAnsi="Times New Roman" w:eastAsia="宋体"/>
          <w:sz w:val="24"/>
        </w:rPr>
        <w:t>原表述；本研究将其界定为“激进会计估计”）。他估计</w:t>
      </w:r>
      <w:r>
        <w:rPr>
          <w:rFonts w:ascii="Times New Roman" w:hAnsi="Times New Roman" w:eastAsia="宋体"/>
          <w:sz w:val="24"/>
        </w:rPr>
        <w:t xml:space="preserve"> 2026-2028 </w:t>
      </w:r>
      <w:r>
        <w:rPr>
          <w:rFonts w:hint="eastAsia" w:ascii="Times New Roman" w:hAnsi="Times New Roman" w:eastAsia="宋体"/>
          <w:sz w:val="24"/>
        </w:rPr>
        <w:t>年全行业将因此低估约</w:t>
      </w:r>
      <w:r>
        <w:rPr>
          <w:rFonts w:ascii="Times New Roman" w:hAnsi="Times New Roman" w:eastAsia="宋体"/>
          <w:sz w:val="24"/>
        </w:rPr>
        <w:t xml:space="preserve"> 1760 </w:t>
      </w:r>
      <w:r>
        <w:rPr>
          <w:rFonts w:hint="eastAsia" w:ascii="Times New Roman" w:hAnsi="Times New Roman" w:eastAsia="宋体"/>
          <w:sz w:val="24"/>
        </w:rPr>
        <w:t>亿美元折旧支出，主要公司利润平均被高估约</w:t>
      </w:r>
      <w:r>
        <w:rPr>
          <w:rFonts w:ascii="Times New Roman" w:hAnsi="Times New Roman" w:eastAsia="宋体"/>
          <w:sz w:val="24"/>
        </w:rPr>
        <w:t xml:space="preserve"> </w:t>
      </w:r>
      <w:r>
        <w:rPr>
          <w:rFonts w:hint="eastAsia" w:ascii="Times New Roman" w:hAnsi="Times New Roman" w:eastAsia="宋体"/>
          <w:sz w:val="24"/>
        </w:rPr>
        <w:t>24%；若按现实的</w:t>
      </w:r>
      <w:r>
        <w:rPr>
          <w:rFonts w:ascii="Times New Roman" w:hAnsi="Times New Roman" w:eastAsia="宋体"/>
          <w:sz w:val="24"/>
        </w:rPr>
        <w:t xml:space="preserve"> 2.5 </w:t>
      </w:r>
      <w:r>
        <w:rPr>
          <w:rFonts w:hint="eastAsia" w:ascii="Times New Roman" w:hAnsi="Times New Roman" w:eastAsia="宋体"/>
          <w:sz w:val="24"/>
        </w:rPr>
        <w:t>年折旧周期计算，部分巨头的“报告盈利将直接消失”。Burry</w:t>
      </w:r>
      <w:r>
        <w:rPr>
          <w:rFonts w:ascii="Times New Roman" w:hAnsi="Times New Roman" w:eastAsia="宋体"/>
          <w:sz w:val="24"/>
        </w:rPr>
        <w:t xml:space="preserve"> </w:t>
      </w:r>
      <w:r>
        <w:rPr>
          <w:rFonts w:hint="eastAsia" w:ascii="Times New Roman" w:hAnsi="Times New Roman" w:eastAsia="宋体"/>
          <w:sz w:val="24"/>
        </w:rPr>
        <w:t>还特别点名：到</w:t>
      </w:r>
      <w:r>
        <w:rPr>
          <w:rFonts w:ascii="Times New Roman" w:hAnsi="Times New Roman" w:eastAsia="宋体"/>
          <w:sz w:val="24"/>
        </w:rPr>
        <w:t xml:space="preserve"> 2028 </w:t>
      </w:r>
      <w:r>
        <w:rPr>
          <w:rFonts w:hint="eastAsia" w:ascii="Times New Roman" w:hAnsi="Times New Roman" w:eastAsia="宋体"/>
          <w:sz w:val="24"/>
        </w:rPr>
        <w:t>年，Oracle</w:t>
      </w:r>
      <w:r>
        <w:rPr>
          <w:rFonts w:ascii="Times New Roman" w:hAnsi="Times New Roman" w:eastAsia="宋体"/>
          <w:sz w:val="24"/>
        </w:rPr>
        <w:t xml:space="preserve"> </w:t>
      </w:r>
      <w:r>
        <w:rPr>
          <w:rFonts w:hint="eastAsia" w:ascii="Times New Roman" w:hAnsi="Times New Roman" w:eastAsia="宋体"/>
          <w:sz w:val="24"/>
        </w:rPr>
        <w:t>的利润可能被夸大</w:t>
      </w:r>
      <w:r>
        <w:rPr>
          <w:rFonts w:ascii="Times New Roman" w:hAnsi="Times New Roman" w:eastAsia="宋体"/>
          <w:sz w:val="24"/>
        </w:rPr>
        <w:t xml:space="preserve"> 26.9%、Meta </w:t>
      </w:r>
      <w:r>
        <w:rPr>
          <w:rFonts w:hint="eastAsia" w:ascii="Times New Roman" w:hAnsi="Times New Roman" w:eastAsia="宋体"/>
          <w:sz w:val="24"/>
        </w:rPr>
        <w:t>可能被夸大</w:t>
      </w:r>
      <w:r>
        <w:rPr>
          <w:rFonts w:ascii="Times New Roman" w:hAnsi="Times New Roman" w:eastAsia="宋体"/>
          <w:sz w:val="24"/>
        </w:rPr>
        <w:t xml:space="preserve"> </w:t>
      </w:r>
      <w:r>
        <w:rPr>
          <w:rFonts w:hint="eastAsia" w:ascii="Times New Roman" w:hAnsi="Times New Roman" w:eastAsia="宋体"/>
          <w:sz w:val="24"/>
        </w:rPr>
        <w:t>20.8%——本研究第四章对面板样本的逐字标注，恰好为这两个点名提供了来自法定披露文件的微观证据（Oracle</w:t>
      </w:r>
      <w:r>
        <w:rPr>
          <w:rFonts w:ascii="Times New Roman" w:hAnsi="Times New Roman" w:eastAsia="宋体"/>
          <w:sz w:val="24"/>
        </w:rPr>
        <w:t xml:space="preserve"> </w:t>
      </w:r>
      <w:r>
        <w:rPr>
          <w:rFonts w:hint="eastAsia" w:ascii="Times New Roman" w:hAnsi="Times New Roman" w:eastAsia="宋体"/>
          <w:sz w:val="24"/>
        </w:rPr>
        <w:t>两次延长、Meta</w:t>
      </w:r>
      <w:r>
        <w:rPr>
          <w:rFonts w:ascii="Times New Roman" w:hAnsi="Times New Roman" w:eastAsia="宋体"/>
          <w:sz w:val="24"/>
        </w:rPr>
        <w:t xml:space="preserve"> </w:t>
      </w:r>
      <w:r>
        <w:rPr>
          <w:rFonts w:hint="eastAsia" w:ascii="Times New Roman" w:hAnsi="Times New Roman" w:eastAsia="宋体"/>
          <w:sz w:val="24"/>
        </w:rPr>
        <w:t>三年两延）。</w:t>
      </w:r>
    </w:p>
    <w:p w14:paraId="7FCBC3DD">
      <w:pPr>
        <w:pStyle w:val="3"/>
        <w:spacing w:before="40" w:after="40" w:line="360" w:lineRule="auto"/>
        <w:ind w:firstLine="480"/>
      </w:pPr>
      <w:r>
        <w:rPr>
          <w:rFonts w:ascii="Times New Roman" w:hAnsi="Times New Roman" w:eastAsia="宋体"/>
          <w:sz w:val="24"/>
        </w:rPr>
        <w:t xml:space="preserve">Burry </w:t>
      </w:r>
      <w:r>
        <w:rPr>
          <w:rFonts w:hint="eastAsia" w:ascii="Times New Roman" w:hAnsi="Times New Roman" w:eastAsia="宋体"/>
          <w:sz w:val="24"/>
        </w:rPr>
        <w:t>并非孤声，但也并非没有对手——这场争议已升级为华尔街的多空论战。多方阵营中：美国银行分析师</w:t>
      </w:r>
      <w:r>
        <w:rPr>
          <w:rFonts w:ascii="Times New Roman" w:hAnsi="Times New Roman" w:eastAsia="宋体"/>
          <w:sz w:val="24"/>
        </w:rPr>
        <w:t xml:space="preserve"> Justin Post </w:t>
      </w:r>
      <w:r>
        <w:rPr>
          <w:rFonts w:hint="eastAsia" w:ascii="Times New Roman" w:hAnsi="Times New Roman" w:eastAsia="宋体"/>
          <w:sz w:val="24"/>
        </w:rPr>
        <w:t>测算，到</w:t>
      </w:r>
      <w:r>
        <w:rPr>
          <w:rFonts w:ascii="Times New Roman" w:hAnsi="Times New Roman" w:eastAsia="宋体"/>
          <w:sz w:val="24"/>
        </w:rPr>
        <w:t xml:space="preserve"> 2027 </w:t>
      </w:r>
      <w:r>
        <w:rPr>
          <w:rFonts w:hint="eastAsia" w:ascii="Times New Roman" w:hAnsi="Times New Roman" w:eastAsia="宋体"/>
          <w:sz w:val="24"/>
        </w:rPr>
        <w:t>年仅</w:t>
      </w:r>
      <w:r>
        <w:rPr>
          <w:rFonts w:ascii="Times New Roman" w:hAnsi="Times New Roman" w:eastAsia="宋体"/>
          <w:sz w:val="24"/>
        </w:rPr>
        <w:t xml:space="preserve"> Google、Meta、Amazon </w:t>
      </w:r>
      <w:r>
        <w:rPr>
          <w:rFonts w:hint="eastAsia" w:ascii="Times New Roman" w:hAnsi="Times New Roman" w:eastAsia="宋体"/>
          <w:sz w:val="24"/>
        </w:rPr>
        <w:t>三家的折旧费用就可能被市场共识低估（其估算约</w:t>
      </w:r>
      <w:r>
        <w:rPr>
          <w:rFonts w:ascii="Times New Roman" w:hAnsi="Times New Roman" w:eastAsia="宋体"/>
          <w:sz w:val="24"/>
        </w:rPr>
        <w:t xml:space="preserve"> 164 </w:t>
      </w:r>
      <w:r>
        <w:rPr>
          <w:rFonts w:hint="eastAsia" w:ascii="Times New Roman" w:hAnsi="Times New Roman" w:eastAsia="宋体"/>
          <w:sz w:val="24"/>
        </w:rPr>
        <w:t>亿美元）；摩根士丹利警告市场严重低估了未来折旧激增对利润的冲击；英格兰银行则将“AI</w:t>
      </w:r>
      <w:r>
        <w:rPr>
          <w:rFonts w:ascii="Times New Roman" w:hAnsi="Times New Roman" w:eastAsia="宋体"/>
          <w:sz w:val="24"/>
        </w:rPr>
        <w:t xml:space="preserve"> </w:t>
      </w:r>
      <w:r>
        <w:rPr>
          <w:rFonts w:hint="eastAsia" w:ascii="Times New Roman" w:hAnsi="Times New Roman" w:eastAsia="宋体"/>
          <w:sz w:val="24"/>
        </w:rPr>
        <w:t>行业未来收益的不确定性”列为系统性风险。反方阵营中：伯恩斯坦（Bernstein）2025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月中旬报告（分析师</w:t>
      </w:r>
      <w:r>
        <w:rPr>
          <w:rFonts w:ascii="Times New Roman" w:hAnsi="Times New Roman" w:eastAsia="宋体"/>
          <w:sz w:val="24"/>
        </w:rPr>
        <w:t xml:space="preserve"> Stacy A. </w:t>
      </w:r>
      <w:r>
        <w:rPr>
          <w:rFonts w:hint="eastAsia" w:ascii="Times New Roman" w:hAnsi="Times New Roman" w:eastAsia="宋体"/>
          <w:sz w:val="24"/>
        </w:rPr>
        <w:t>Rasgon）认为，GPU</w:t>
      </w:r>
      <w:r>
        <w:rPr>
          <w:rFonts w:ascii="Times New Roman" w:hAnsi="Times New Roman" w:eastAsia="宋体"/>
          <w:sz w:val="24"/>
        </w:rPr>
        <w:t xml:space="preserve"> </w:t>
      </w:r>
      <w:r>
        <w:rPr>
          <w:rFonts w:hint="eastAsia" w:ascii="Times New Roman" w:hAnsi="Times New Roman" w:eastAsia="宋体"/>
          <w:sz w:val="24"/>
        </w:rPr>
        <w:t>可以盈利运行约</w:t>
      </w:r>
      <w:r>
        <w:rPr>
          <w:rFonts w:ascii="Times New Roman" w:hAnsi="Times New Roman" w:eastAsia="宋体"/>
          <w:sz w:val="24"/>
        </w:rPr>
        <w:t xml:space="preserve"> 6 </w:t>
      </w:r>
      <w:r>
        <w:rPr>
          <w:rFonts w:hint="eastAsia" w:ascii="Times New Roman" w:hAnsi="Times New Roman" w:eastAsia="宋体"/>
          <w:sz w:val="24"/>
        </w:rPr>
        <w:t>年，科技巨头现行的折旧会计大体合理，Burry</w:t>
      </w:r>
      <w:r>
        <w:rPr>
          <w:rFonts w:ascii="Times New Roman" w:hAnsi="Times New Roman" w:eastAsia="宋体"/>
          <w:sz w:val="24"/>
        </w:rPr>
        <w:t xml:space="preserve"> </w:t>
      </w:r>
      <w:r>
        <w:rPr>
          <w:rFonts w:hint="eastAsia" w:ascii="Times New Roman" w:hAnsi="Times New Roman" w:eastAsia="宋体"/>
          <w:sz w:val="24"/>
        </w:rPr>
        <w:t>的悲观测算被夸大。中文财经媒体亦深度跟进这场论战（界面新闻</w:t>
      </w:r>
      <w:r>
        <w:rPr>
          <w:rFonts w:ascii="Times New Roman" w:hAnsi="Times New Roman" w:eastAsia="宋体"/>
          <w:sz w:val="24"/>
        </w:rPr>
        <w:t xml:space="preserve"> 2025 </w:t>
      </w:r>
      <w:r>
        <w:rPr>
          <w:rFonts w:hint="eastAsia" w:ascii="Times New Roman" w:hAnsi="Times New Roman" w:eastAsia="宋体"/>
          <w:sz w:val="24"/>
        </w:rPr>
        <w:t>年底《面对芯片折旧，市场不淡定了》；虎嗅</w:t>
      </w:r>
      <w:r>
        <w:rPr>
          <w:rFonts w:ascii="Times New Roman" w:hAnsi="Times New Roman" w:eastAsia="宋体"/>
          <w:sz w:val="24"/>
        </w:rPr>
        <w:t xml:space="preserve"> 2025 </w:t>
      </w:r>
      <w:r>
        <w:rPr>
          <w:rFonts w:hint="eastAsia" w:ascii="Times New Roman" w:hAnsi="Times New Roman" w:eastAsia="宋体"/>
          <w:sz w:val="24"/>
        </w:rPr>
        <w:t>年底《AI</w:t>
      </w:r>
      <w:r>
        <w:rPr>
          <w:rFonts w:ascii="Times New Roman" w:hAnsi="Times New Roman" w:eastAsia="宋体"/>
          <w:sz w:val="24"/>
        </w:rPr>
        <w:t xml:space="preserve"> </w:t>
      </w:r>
      <w:r>
        <w:rPr>
          <w:rFonts w:hint="eastAsia" w:ascii="Times New Roman" w:hAnsi="Times New Roman" w:eastAsia="宋体"/>
          <w:sz w:val="24"/>
        </w:rPr>
        <w:t>泡沫的“核心争议”：GPU</w:t>
      </w:r>
      <w:r>
        <w:rPr>
          <w:rFonts w:ascii="Times New Roman" w:hAnsi="Times New Roman" w:eastAsia="宋体"/>
          <w:sz w:val="24"/>
        </w:rPr>
        <w:t xml:space="preserve"> </w:t>
      </w:r>
      <w:r>
        <w:rPr>
          <w:rFonts w:hint="eastAsia" w:ascii="Times New Roman" w:hAnsi="Times New Roman" w:eastAsia="宋体"/>
          <w:sz w:val="24"/>
        </w:rPr>
        <w:t>真的能“用”6</w:t>
      </w:r>
      <w:r>
        <w:rPr>
          <w:rFonts w:ascii="Times New Roman" w:hAnsi="Times New Roman" w:eastAsia="宋体"/>
          <w:sz w:val="24"/>
        </w:rPr>
        <w:t xml:space="preserve"> </w:t>
      </w:r>
      <w:r>
        <w:rPr>
          <w:rFonts w:hint="eastAsia" w:ascii="Times New Roman" w:hAnsi="Times New Roman" w:eastAsia="宋体"/>
          <w:sz w:val="24"/>
        </w:rPr>
        <w:t>年吗？》）。值得注意的是，界面新闻报道中“甲骨文</w:t>
      </w:r>
      <w:r>
        <w:rPr>
          <w:rFonts w:ascii="Times New Roman" w:hAnsi="Times New Roman" w:eastAsia="宋体"/>
          <w:sz w:val="24"/>
        </w:rPr>
        <w:t xml:space="preserve"> 2024 </w:t>
      </w:r>
      <w:r>
        <w:rPr>
          <w:rFonts w:hint="eastAsia" w:ascii="Times New Roman" w:hAnsi="Times New Roman" w:eastAsia="宋体"/>
          <w:sz w:val="24"/>
        </w:rPr>
        <w:t>年将服务器使用寿命从五年延长到六年”一句，与本研究扩样后标注的</w:t>
      </w:r>
      <w:r>
        <w:rPr>
          <w:rFonts w:ascii="Times New Roman" w:hAnsi="Times New Roman" w:eastAsia="宋体"/>
          <w:sz w:val="24"/>
        </w:rPr>
        <w:t xml:space="preserve"> Oracle FY2025 10-K </w:t>
      </w:r>
      <w:r>
        <w:rPr>
          <w:rFonts w:hint="eastAsia" w:ascii="Times New Roman" w:hAnsi="Times New Roman" w:eastAsia="宋体"/>
          <w:sz w:val="24"/>
        </w:rPr>
        <w:t>披露（2024</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6 </w:t>
      </w:r>
      <w:r>
        <w:rPr>
          <w:rFonts w:hint="eastAsia" w:ascii="Times New Roman" w:hAnsi="Times New Roman" w:eastAsia="宋体"/>
          <w:sz w:val="24"/>
        </w:rPr>
        <w:t>月生效</w:t>
      </w:r>
      <w:r>
        <w:rPr>
          <w:rFonts w:ascii="Times New Roman" w:hAnsi="Times New Roman" w:eastAsia="宋体"/>
          <w:sz w:val="24"/>
        </w:rPr>
        <w:t xml:space="preserve"> 5→6 </w:t>
      </w:r>
      <w:r>
        <w:rPr>
          <w:rFonts w:hint="eastAsia" w:ascii="Times New Roman" w:hAnsi="Times New Roman" w:eastAsia="宋体"/>
          <w:sz w:val="24"/>
        </w:rPr>
        <w:t>年、减少经营费用</w:t>
      </w:r>
      <w:r>
        <w:rPr>
          <w:rFonts w:ascii="Times New Roman" w:hAnsi="Times New Roman" w:eastAsia="宋体"/>
          <w:sz w:val="24"/>
        </w:rPr>
        <w:t xml:space="preserve"> 7.33 </w:t>
      </w:r>
      <w:r>
        <w:rPr>
          <w:rFonts w:hint="eastAsia" w:ascii="Times New Roman" w:hAnsi="Times New Roman" w:eastAsia="宋体"/>
          <w:sz w:val="24"/>
        </w:rPr>
        <w:t>亿美元）逐字互证——市场讨论的真伪，可以在法定披露文件中得到核验（详见</w:t>
      </w:r>
      <w:r>
        <w:rPr>
          <w:rFonts w:ascii="Times New Roman" w:hAnsi="Times New Roman" w:eastAsia="宋体"/>
          <w:sz w:val="24"/>
        </w:rPr>
        <w:t xml:space="preserve"> 3.3.5 </w:t>
      </w:r>
      <w:r>
        <w:rPr>
          <w:rFonts w:hint="eastAsia" w:ascii="Times New Roman" w:hAnsi="Times New Roman" w:eastAsia="宋体"/>
          <w:sz w:val="24"/>
        </w:rPr>
        <w:t>与</w:t>
      </w:r>
      <w:r>
        <w:rPr>
          <w:rFonts w:ascii="Times New Roman" w:hAnsi="Times New Roman" w:eastAsia="宋体"/>
          <w:sz w:val="24"/>
        </w:rPr>
        <w:t xml:space="preserve"> 4.4.1 </w:t>
      </w:r>
      <w:r>
        <w:rPr>
          <w:rFonts w:hint="eastAsia" w:ascii="Times New Roman" w:hAnsi="Times New Roman" w:eastAsia="宋体"/>
          <w:sz w:val="24"/>
        </w:rPr>
        <w:t>的“双向验证”）。更具标志性的是市场识别速度的变化：随着财报文本挖掘与算法交易的成熟，市场对会计异常的识别与定价速度正在加快——激进会计估计的“安全期”已从安然时代的数年，压缩到算法时代的小时级。</w:t>
      </w:r>
    </w:p>
    <w:bookmarkEnd w:id="11"/>
    <w:p w14:paraId="01A401C3">
      <w:pPr>
        <w:pStyle w:val="4"/>
        <w:spacing w:before="320" w:after="160" w:line="360" w:lineRule="auto"/>
      </w:pPr>
      <w:bookmarkStart w:id="12" w:name="_Toc17150"/>
      <w:bookmarkStart w:id="13" w:name="问题的本质三重结构性错配"/>
      <w:r>
        <w:rPr>
          <w:rFonts w:ascii="Times New Roman" w:hAnsi="Times New Roman" w:eastAsia="黑体"/>
          <w:b/>
          <w:color w:val="003366"/>
          <w:sz w:val="28"/>
        </w:rPr>
        <w:t xml:space="preserve">1.3 </w:t>
      </w:r>
      <w:r>
        <w:rPr>
          <w:rFonts w:hint="eastAsia" w:ascii="Times New Roman" w:hAnsi="Times New Roman" w:eastAsia="黑体"/>
          <w:b/>
          <w:color w:val="003366"/>
          <w:sz w:val="28"/>
        </w:rPr>
        <w:t>问题的本质：三重结构性错配</w:t>
      </w:r>
      <w:bookmarkEnd w:id="12"/>
    </w:p>
    <w:p w14:paraId="0C57CD7D">
      <w:pPr>
        <w:pStyle w:val="25"/>
        <w:spacing w:before="40" w:after="40" w:line="360" w:lineRule="auto"/>
        <w:ind w:firstLine="480"/>
      </w:pPr>
      <w:r>
        <w:rPr>
          <w:rFonts w:hint="eastAsia" w:ascii="Times New Roman" w:hAnsi="Times New Roman" w:eastAsia="宋体"/>
          <w:sz w:val="24"/>
        </w:rPr>
        <w:t>折旧争议的背后，是工业时代会计制度与数字时代资产现实之间的三重错配：</w:t>
      </w:r>
    </w:p>
    <w:p w14:paraId="197D173B">
      <w:pPr>
        <w:pStyle w:val="3"/>
        <w:spacing w:before="40" w:after="40" w:line="360" w:lineRule="auto"/>
        <w:ind w:firstLine="480"/>
      </w:pPr>
      <w:r>
        <w:rPr>
          <w:rFonts w:hint="eastAsia" w:ascii="Times New Roman" w:hAnsi="Times New Roman" w:eastAsia="宋体"/>
          <w:sz w:val="24"/>
        </w:rPr>
        <w:t>时间错配：AI</w:t>
      </w:r>
      <w:r>
        <w:rPr>
          <w:rFonts w:ascii="Times New Roman" w:hAnsi="Times New Roman" w:eastAsia="宋体"/>
          <w:sz w:val="24"/>
        </w:rPr>
        <w:t xml:space="preserve"> </w:t>
      </w:r>
      <w:r>
        <w:rPr>
          <w:rFonts w:hint="eastAsia" w:ascii="Times New Roman" w:hAnsi="Times New Roman" w:eastAsia="宋体"/>
          <w:sz w:val="24"/>
        </w:rPr>
        <w:t>芯片迭代周期已缩短至</w:t>
      </w:r>
      <w:r>
        <w:rPr>
          <w:rFonts w:ascii="Times New Roman" w:hAnsi="Times New Roman" w:eastAsia="宋体"/>
          <w:sz w:val="24"/>
        </w:rPr>
        <w:t xml:space="preserve"> 12-18 </w:t>
      </w:r>
      <w:r>
        <w:rPr>
          <w:rFonts w:hint="eastAsia" w:ascii="Times New Roman" w:hAnsi="Times New Roman" w:eastAsia="宋体"/>
          <w:sz w:val="24"/>
        </w:rPr>
        <w:t>个月（NVIDIA</w:t>
      </w:r>
      <w:r>
        <w:rPr>
          <w:rFonts w:ascii="Times New Roman" w:hAnsi="Times New Roman" w:eastAsia="宋体"/>
          <w:sz w:val="24"/>
        </w:rPr>
        <w:t xml:space="preserve"> </w:t>
      </w:r>
      <w:r>
        <w:rPr>
          <w:rFonts w:hint="eastAsia" w:ascii="Times New Roman" w:hAnsi="Times New Roman" w:eastAsia="宋体"/>
          <w:sz w:val="24"/>
        </w:rPr>
        <w:t>从</w:t>
      </w:r>
      <w:r>
        <w:rPr>
          <w:rFonts w:ascii="Times New Roman" w:hAnsi="Times New Roman" w:eastAsia="宋体"/>
          <w:sz w:val="24"/>
        </w:rPr>
        <w:t xml:space="preserve"> A100 </w:t>
      </w:r>
      <w:r>
        <w:rPr>
          <w:rFonts w:hint="eastAsia" w:ascii="Times New Roman" w:hAnsi="Times New Roman" w:eastAsia="宋体"/>
          <w:sz w:val="24"/>
        </w:rPr>
        <w:t>到</w:t>
      </w:r>
      <w:r>
        <w:rPr>
          <w:rFonts w:ascii="Times New Roman" w:hAnsi="Times New Roman" w:eastAsia="宋体"/>
          <w:sz w:val="24"/>
        </w:rPr>
        <w:t xml:space="preserve"> H100 </w:t>
      </w:r>
      <w:r>
        <w:rPr>
          <w:rFonts w:hint="eastAsia" w:ascii="Times New Roman" w:hAnsi="Times New Roman" w:eastAsia="宋体"/>
          <w:sz w:val="24"/>
        </w:rPr>
        <w:t>到</w:t>
      </w:r>
      <w:r>
        <w:rPr>
          <w:rFonts w:ascii="Times New Roman" w:hAnsi="Times New Roman" w:eastAsia="宋体"/>
          <w:sz w:val="24"/>
        </w:rPr>
        <w:t xml:space="preserve"> </w:t>
      </w:r>
      <w:r>
        <w:rPr>
          <w:rFonts w:hint="eastAsia" w:ascii="Times New Roman" w:hAnsi="Times New Roman" w:eastAsia="宋体"/>
          <w:sz w:val="24"/>
        </w:rPr>
        <w:t>Blackwell），而会计折旧年限普遍为</w:t>
      </w:r>
      <w:r>
        <w:rPr>
          <w:rFonts w:ascii="Times New Roman" w:hAnsi="Times New Roman" w:eastAsia="宋体"/>
          <w:sz w:val="24"/>
        </w:rPr>
        <w:t xml:space="preserve"> 4-6 </w:t>
      </w:r>
      <w:r>
        <w:rPr>
          <w:rFonts w:hint="eastAsia" w:ascii="Times New Roman" w:hAnsi="Times New Roman" w:eastAsia="宋体"/>
          <w:sz w:val="24"/>
        </w:rPr>
        <w:t>年、最长达</w:t>
      </w:r>
      <w:r>
        <w:rPr>
          <w:rFonts w:ascii="Times New Roman" w:hAnsi="Times New Roman" w:eastAsia="宋体"/>
          <w:sz w:val="24"/>
        </w:rPr>
        <w:t xml:space="preserve"> 8 </w:t>
      </w:r>
      <w:r>
        <w:rPr>
          <w:rFonts w:hint="eastAsia" w:ascii="Times New Roman" w:hAnsi="Times New Roman" w:eastAsia="宋体"/>
          <w:sz w:val="24"/>
        </w:rPr>
        <w:t>年。资产在账面上“活着”，在技术市场上已经“死了”。</w:t>
      </w:r>
    </w:p>
    <w:p w14:paraId="4D5E9DC0">
      <w:pPr>
        <w:pStyle w:val="3"/>
        <w:spacing w:before="40" w:after="40" w:line="360" w:lineRule="auto"/>
        <w:ind w:firstLine="480"/>
      </w:pPr>
      <w:r>
        <w:rPr>
          <w:rFonts w:hint="eastAsia" w:ascii="Times New Roman" w:hAnsi="Times New Roman" w:eastAsia="宋体"/>
          <w:sz w:val="24"/>
        </w:rPr>
        <w:t>规则错配：现行会计准则诞生于物理资产时代，假设价值损耗均匀、可预测；而</w:t>
      </w:r>
      <w:r>
        <w:rPr>
          <w:rFonts w:ascii="Times New Roman" w:hAnsi="Times New Roman" w:eastAsia="宋体"/>
          <w:sz w:val="24"/>
        </w:rPr>
        <w:t xml:space="preserve"> AI </w:t>
      </w:r>
      <w:r>
        <w:rPr>
          <w:rFonts w:hint="eastAsia" w:ascii="Times New Roman" w:hAnsi="Times New Roman" w:eastAsia="宋体"/>
          <w:sz w:val="24"/>
        </w:rPr>
        <w:t>资产的价值衰减由技术淘汰驱动，呈跳跃式、断崖式特征，直线法与固定年限假设从根上不适配。</w:t>
      </w:r>
    </w:p>
    <w:p w14:paraId="6DE92246">
      <w:pPr>
        <w:pStyle w:val="3"/>
        <w:spacing w:before="40" w:after="40" w:line="360" w:lineRule="auto"/>
        <w:ind w:firstLine="480"/>
      </w:pPr>
      <w:r>
        <w:rPr>
          <w:rFonts w:hint="eastAsia" w:ascii="Times New Roman" w:hAnsi="Times New Roman" w:eastAsia="宋体"/>
          <w:sz w:val="24"/>
        </w:rPr>
        <w:t>激励错配：AI</w:t>
      </w:r>
      <w:r>
        <w:rPr>
          <w:rFonts w:ascii="Times New Roman" w:hAnsi="Times New Roman" w:eastAsia="宋体"/>
          <w:sz w:val="24"/>
        </w:rPr>
        <w:t xml:space="preserve"> </w:t>
      </w:r>
      <w:r>
        <w:rPr>
          <w:rFonts w:hint="eastAsia" w:ascii="Times New Roman" w:hAnsi="Times New Roman" w:eastAsia="宋体"/>
          <w:sz w:val="24"/>
        </w:rPr>
        <w:t>军备竞赛期，“All</w:t>
      </w:r>
      <w:r>
        <w:rPr>
          <w:rFonts w:ascii="Times New Roman" w:hAnsi="Times New Roman" w:eastAsia="宋体"/>
          <w:sz w:val="24"/>
        </w:rPr>
        <w:t xml:space="preserve"> in </w:t>
      </w:r>
      <w:r>
        <w:rPr>
          <w:rFonts w:hint="eastAsia" w:ascii="Times New Roman" w:hAnsi="Times New Roman" w:eastAsia="宋体"/>
          <w:sz w:val="24"/>
        </w:rPr>
        <w:t>AI”带来估值溢价，管理层有动机压低当期成本；审计师缺乏判断</w:t>
      </w:r>
      <w:r>
        <w:rPr>
          <w:rFonts w:ascii="Times New Roman" w:hAnsi="Times New Roman" w:eastAsia="宋体"/>
          <w:sz w:val="24"/>
        </w:rPr>
        <w:t xml:space="preserve"> GPU </w:t>
      </w:r>
      <w:r>
        <w:rPr>
          <w:rFonts w:hint="eastAsia" w:ascii="Times New Roman" w:hAnsi="Times New Roman" w:eastAsia="宋体"/>
          <w:sz w:val="24"/>
        </w:rPr>
        <w:t>真实技术寿命的专业依据；虚高利润推高股价，反过来激励更大的</w:t>
      </w:r>
      <w:r>
        <w:rPr>
          <w:rFonts w:ascii="Times New Roman" w:hAnsi="Times New Roman" w:eastAsia="宋体"/>
          <w:sz w:val="24"/>
        </w:rPr>
        <w:t xml:space="preserve"> AI </w:t>
      </w:r>
      <w:r>
        <w:rPr>
          <w:rFonts w:hint="eastAsia" w:ascii="Times New Roman" w:hAnsi="Times New Roman" w:eastAsia="宋体"/>
          <w:sz w:val="24"/>
        </w:rPr>
        <w:t>投入——泡沫自我强化。</w:t>
      </w:r>
    </w:p>
    <w:bookmarkEnd w:id="13"/>
    <w:p w14:paraId="0B8E2773">
      <w:pPr>
        <w:pStyle w:val="4"/>
        <w:spacing w:before="320" w:after="160" w:line="360" w:lineRule="auto"/>
      </w:pPr>
      <w:bookmarkStart w:id="14" w:name="_Toc31711"/>
      <w:bookmarkStart w:id="15" w:name="研究问题与研究意义"/>
      <w:r>
        <w:rPr>
          <w:rFonts w:ascii="Times New Roman" w:hAnsi="Times New Roman" w:eastAsia="黑体"/>
          <w:b/>
          <w:color w:val="003366"/>
          <w:sz w:val="28"/>
        </w:rPr>
        <w:t xml:space="preserve">1.4 </w:t>
      </w:r>
      <w:r>
        <w:rPr>
          <w:rFonts w:hint="eastAsia" w:ascii="Times New Roman" w:hAnsi="Times New Roman" w:eastAsia="黑体"/>
          <w:b/>
          <w:color w:val="003366"/>
          <w:sz w:val="28"/>
        </w:rPr>
        <w:t>研究问题与研究意义</w:t>
      </w:r>
      <w:bookmarkEnd w:id="14"/>
    </w:p>
    <w:p w14:paraId="336A3420">
      <w:pPr>
        <w:pStyle w:val="25"/>
        <w:spacing w:before="40" w:after="40" w:line="360" w:lineRule="auto"/>
        <w:ind w:firstLine="480"/>
      </w:pPr>
      <w:r>
        <w:rPr>
          <w:rFonts w:hint="eastAsia" w:ascii="Times New Roman" w:hAnsi="Times New Roman" w:eastAsia="宋体"/>
          <w:sz w:val="24"/>
        </w:rPr>
        <w:t>本研究回答三个层层递进的问题：（1）如何识别——折旧错配风险能否从法定披露文本中被结构化、可验证地提取和量化？（2）如何评估——不同公司、不同年份、不同资产结构下，错配风险的高低如何可比地测量？（3）如何管理——识别结果如何转化为企业、金融机构与监管者可执行的风控动作？</w:t>
      </w:r>
    </w:p>
    <w:p w14:paraId="0C493B46">
      <w:pPr>
        <w:pStyle w:val="3"/>
        <w:spacing w:before="40" w:after="40" w:line="360" w:lineRule="auto"/>
        <w:ind w:firstLine="480"/>
      </w:pPr>
      <w:r>
        <w:rPr>
          <w:rFonts w:hint="eastAsia" w:ascii="Times New Roman" w:hAnsi="Times New Roman" w:eastAsia="宋体"/>
          <w:sz w:val="24"/>
        </w:rPr>
        <w:t>本选题的意义在于三个契合：契合科创企业特有风险场景——折旧错配是技术密集型科创企业“非标准化、全生命周期”风险的典型形态，贯穿研发、扩张、上市全周期；契合科技金融国家战略——AI</w:t>
      </w:r>
      <w:r>
        <w:rPr>
          <w:rFonts w:ascii="Times New Roman" w:hAnsi="Times New Roman" w:eastAsia="宋体"/>
          <w:sz w:val="24"/>
        </w:rPr>
        <w:t xml:space="preserve"> </w:t>
      </w:r>
      <w:r>
        <w:rPr>
          <w:rFonts w:hint="eastAsia" w:ascii="Times New Roman" w:hAnsi="Times New Roman" w:eastAsia="宋体"/>
          <w:sz w:val="24"/>
        </w:rPr>
        <w:t>算力资产“值多少钱、怎么贬值”是科技保险定价与科技金融风控的共同瓶颈，本研究提供的评分模型与残值评估方法直接服务于此；契合产业安全底线——AI</w:t>
      </w:r>
      <w:r>
        <w:rPr>
          <w:rFonts w:ascii="Times New Roman" w:hAnsi="Times New Roman" w:eastAsia="宋体"/>
          <w:sz w:val="24"/>
        </w:rPr>
        <w:t xml:space="preserve"> </w:t>
      </w:r>
      <w:r>
        <w:rPr>
          <w:rFonts w:hint="eastAsia" w:ascii="Times New Roman" w:hAnsi="Times New Roman" w:eastAsia="宋体"/>
          <w:sz w:val="24"/>
        </w:rPr>
        <w:t>基础设施的计量失真若大面积累积，将通过资本市场传导为系统性风险，前瞻识别即是筑牢安全底座。</w:t>
      </w:r>
    </w:p>
    <w:bookmarkEnd w:id="15"/>
    <w:p w14:paraId="10779428">
      <w:pPr>
        <w:pStyle w:val="4"/>
        <w:spacing w:before="320" w:after="160" w:line="360" w:lineRule="auto"/>
      </w:pPr>
      <w:bookmarkStart w:id="16" w:name="_Toc32210"/>
      <w:bookmarkStart w:id="17" w:name="为什么是折旧错配科创企业泡沫叠加机制的一个剖面"/>
      <w:r>
        <w:rPr>
          <w:rFonts w:ascii="Times New Roman" w:hAnsi="Times New Roman" w:eastAsia="黑体"/>
          <w:b/>
          <w:color w:val="003366"/>
          <w:sz w:val="28"/>
        </w:rPr>
        <w:t xml:space="preserve">1.5 </w:t>
      </w:r>
      <w:r>
        <w:rPr>
          <w:rFonts w:hint="eastAsia" w:ascii="Times New Roman" w:hAnsi="Times New Roman" w:eastAsia="黑体"/>
          <w:b/>
          <w:color w:val="003366"/>
          <w:sz w:val="28"/>
        </w:rPr>
        <w:t>为什么是折旧错配：科创企业泡沫叠加机制的一个剖面</w:t>
      </w:r>
      <w:bookmarkEnd w:id="16"/>
    </w:p>
    <w:p w14:paraId="68FB4F49">
      <w:pPr>
        <w:pStyle w:val="25"/>
        <w:spacing w:before="40" w:after="40" w:line="360" w:lineRule="auto"/>
        <w:ind w:firstLine="480"/>
      </w:pPr>
      <w:r>
        <w:rPr>
          <w:rFonts w:hint="eastAsia" w:ascii="Times New Roman" w:hAnsi="Times New Roman" w:eastAsia="宋体"/>
          <w:sz w:val="24"/>
        </w:rPr>
        <w:t>本节核心论点：折旧错配不是科创企业唯一的风险，但它是当前</w:t>
      </w:r>
      <w:r>
        <w:rPr>
          <w:rFonts w:ascii="Times New Roman" w:hAnsi="Times New Roman" w:eastAsia="宋体"/>
          <w:sz w:val="24"/>
        </w:rPr>
        <w:t xml:space="preserve"> AI </w:t>
      </w:r>
      <w:r>
        <w:rPr>
          <w:rFonts w:hint="eastAsia" w:ascii="Times New Roman" w:hAnsi="Times New Roman" w:eastAsia="宋体"/>
          <w:sz w:val="24"/>
        </w:rPr>
        <w:t>资本开支狂潮期泡沫自我增强机制中最隐蔽、可验证的财务环节。</w:t>
      </w:r>
    </w:p>
    <w:p w14:paraId="25F3E570">
      <w:pPr>
        <w:pStyle w:val="3"/>
        <w:spacing w:before="40" w:after="40" w:line="360" w:lineRule="auto"/>
        <w:ind w:firstLine="480"/>
      </w:pPr>
      <w:r>
        <w:rPr>
          <w:rFonts w:hint="eastAsia" w:ascii="Times New Roman" w:hAnsi="Times New Roman" w:eastAsia="宋体"/>
          <w:sz w:val="24"/>
        </w:rPr>
        <w:t>赛题原文列举的科创企业特有风险涵盖算法安全、数据合规、科技伦理、知识产权、地缘博弈等多元维度。本研究以“折旧错配”为切入点，并非窄化赛题，而是因为折旧错配在当前的宏观环境中占据了一个独特的结构性位置——它是泡沫叠加机制中的财务放大器。</w:t>
      </w:r>
    </w:p>
    <w:p w14:paraId="4707165D">
      <w:pPr>
        <w:pStyle w:val="3"/>
        <w:spacing w:before="40" w:after="40" w:line="360" w:lineRule="auto"/>
        <w:ind w:firstLine="480"/>
      </w:pPr>
      <w:r>
        <w:rPr>
          <w:rFonts w:hint="eastAsia" w:ascii="Times New Roman" w:hAnsi="Times New Roman" w:eastAsia="宋体"/>
          <w:sz w:val="24"/>
        </w:rPr>
        <w:t>何为泡沫叠加？</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AI </w:t>
      </w:r>
      <w:r>
        <w:rPr>
          <w:rFonts w:hint="eastAsia" w:ascii="Times New Roman" w:hAnsi="Times New Roman" w:eastAsia="宋体"/>
          <w:sz w:val="24"/>
        </w:rPr>
        <w:t>资本开支狂潮期，三重泡沫正在相互强化：</w:t>
      </w:r>
    </w:p>
    <w:p w14:paraId="6F3367A6">
      <w:pPr>
        <w:pStyle w:val="3"/>
        <w:spacing w:before="40" w:after="40" w:line="360" w:lineRule="auto"/>
        <w:ind w:firstLine="480"/>
      </w:pPr>
      <w:r>
        <w:rPr>
          <w:rFonts w:hint="eastAsia" w:ascii="Times New Roman" w:hAnsi="Times New Roman" w:eastAsia="宋体"/>
          <w:sz w:val="24"/>
        </w:rPr>
        <w:t>第一重：估值泡沫。</w:t>
      </w:r>
      <w:r>
        <w:rPr>
          <w:rFonts w:ascii="Times New Roman" w:hAnsi="Times New Roman" w:eastAsia="宋体"/>
          <w:sz w:val="24"/>
        </w:rPr>
        <w:t xml:space="preserve"> </w:t>
      </w:r>
      <w:r>
        <w:rPr>
          <w:rFonts w:hint="eastAsia" w:ascii="Times New Roman" w:hAnsi="Times New Roman" w:eastAsia="宋体"/>
          <w:sz w:val="24"/>
        </w:rPr>
        <w:t>市场对</w:t>
      </w:r>
      <w:r>
        <w:rPr>
          <w:rFonts w:ascii="Times New Roman" w:hAnsi="Times New Roman" w:eastAsia="宋体"/>
          <w:sz w:val="24"/>
        </w:rPr>
        <w:t xml:space="preserve"> AI </w:t>
      </w:r>
      <w:r>
        <w:rPr>
          <w:rFonts w:hint="eastAsia" w:ascii="Times New Roman" w:hAnsi="Times New Roman" w:eastAsia="宋体"/>
          <w:sz w:val="24"/>
        </w:rPr>
        <w:t>叙事的高度热情推高了科技巨头的估值倍数。“All</w:t>
      </w:r>
      <w:r>
        <w:rPr>
          <w:rFonts w:ascii="Times New Roman" w:hAnsi="Times New Roman" w:eastAsia="宋体"/>
          <w:sz w:val="24"/>
        </w:rPr>
        <w:t xml:space="preserve"> in </w:t>
      </w:r>
      <w:r>
        <w:rPr>
          <w:rFonts w:hint="eastAsia" w:ascii="Times New Roman" w:hAnsi="Times New Roman" w:eastAsia="宋体"/>
          <w:sz w:val="24"/>
        </w:rPr>
        <w:t>AI”成为估值溢价的通行证，资本开支越大、故事越宏大，估值越高。</w:t>
      </w:r>
    </w:p>
    <w:p w14:paraId="2C19F49D">
      <w:pPr>
        <w:pStyle w:val="3"/>
        <w:spacing w:before="40" w:after="40" w:line="360" w:lineRule="auto"/>
        <w:ind w:firstLine="480"/>
      </w:pPr>
      <w:r>
        <w:rPr>
          <w:rFonts w:hint="eastAsia" w:ascii="Times New Roman" w:hAnsi="Times New Roman" w:eastAsia="宋体"/>
          <w:sz w:val="24"/>
        </w:rPr>
        <w:t>第二重：基本面泡沫。</w:t>
      </w:r>
      <w:r>
        <w:rPr>
          <w:rFonts w:ascii="Times New Roman" w:hAnsi="Times New Roman" w:eastAsia="宋体"/>
          <w:sz w:val="24"/>
        </w:rPr>
        <w:t xml:space="preserve"> </w:t>
      </w:r>
      <w:r>
        <w:rPr>
          <w:rFonts w:hint="eastAsia" w:ascii="Times New Roman" w:hAnsi="Times New Roman" w:eastAsia="宋体"/>
          <w:sz w:val="24"/>
        </w:rPr>
        <w:t>折旧年限延长使当期折旧费用被人为压低，利润被系统性前置。Burry</w:t>
      </w:r>
      <w:r>
        <w:rPr>
          <w:rFonts w:ascii="Times New Roman" w:hAnsi="Times New Roman" w:eastAsia="宋体"/>
          <w:sz w:val="24"/>
        </w:rPr>
        <w:t xml:space="preserve"> </w:t>
      </w:r>
      <w:r>
        <w:rPr>
          <w:rFonts w:hint="eastAsia" w:ascii="Times New Roman" w:hAnsi="Times New Roman" w:eastAsia="宋体"/>
          <w:sz w:val="24"/>
        </w:rPr>
        <w:t>估算</w:t>
      </w:r>
      <w:r>
        <w:rPr>
          <w:rFonts w:ascii="Times New Roman" w:hAnsi="Times New Roman" w:eastAsia="宋体"/>
          <w:sz w:val="24"/>
        </w:rPr>
        <w:t xml:space="preserve"> 2026-2028 </w:t>
      </w:r>
      <w:r>
        <w:rPr>
          <w:rFonts w:hint="eastAsia" w:ascii="Times New Roman" w:hAnsi="Times New Roman" w:eastAsia="宋体"/>
          <w:sz w:val="24"/>
        </w:rPr>
        <w:t>年全行业低估折旧约</w:t>
      </w:r>
      <w:r>
        <w:rPr>
          <w:rFonts w:ascii="Times New Roman" w:hAnsi="Times New Roman" w:eastAsia="宋体"/>
          <w:sz w:val="24"/>
        </w:rPr>
        <w:t xml:space="preserve"> 1760 </w:t>
      </w:r>
      <w:r>
        <w:rPr>
          <w:rFonts w:hint="eastAsia" w:ascii="Times New Roman" w:hAnsi="Times New Roman" w:eastAsia="宋体"/>
          <w:sz w:val="24"/>
        </w:rPr>
        <w:t>亿美元——这不是小数，而是足以改变利润表格局的金额。利润“好看”了，资本开支的“故事”就更有说服力，估值泡沫获得基本面支撑。</w:t>
      </w:r>
    </w:p>
    <w:p w14:paraId="2DB3B9D0">
      <w:pPr>
        <w:pStyle w:val="3"/>
        <w:spacing w:before="40" w:after="40" w:line="360" w:lineRule="auto"/>
        <w:ind w:firstLine="480"/>
      </w:pPr>
      <w:r>
        <w:rPr>
          <w:rFonts w:hint="eastAsia" w:ascii="Times New Roman" w:hAnsi="Times New Roman" w:eastAsia="宋体"/>
          <w:sz w:val="24"/>
        </w:rPr>
        <w:t>第三重：行为泡沫。</w:t>
      </w:r>
      <w:r>
        <w:rPr>
          <w:rFonts w:ascii="Times New Roman" w:hAnsi="Times New Roman" w:eastAsia="宋体"/>
          <w:sz w:val="24"/>
        </w:rPr>
        <w:t xml:space="preserve"> </w:t>
      </w:r>
      <w:r>
        <w:rPr>
          <w:rFonts w:hint="eastAsia" w:ascii="Times New Roman" w:hAnsi="Times New Roman" w:eastAsia="宋体"/>
          <w:sz w:val="24"/>
        </w:rPr>
        <w:t>估值上涨→股价攀升→管理层股权激励兑现→更大的</w:t>
      </w:r>
      <w:r>
        <w:rPr>
          <w:rFonts w:ascii="Times New Roman" w:hAnsi="Times New Roman" w:eastAsia="宋体"/>
          <w:sz w:val="24"/>
        </w:rPr>
        <w:t xml:space="preserve"> AI </w:t>
      </w:r>
      <w:r>
        <w:rPr>
          <w:rFonts w:hint="eastAsia" w:ascii="Times New Roman" w:hAnsi="Times New Roman" w:eastAsia="宋体"/>
          <w:sz w:val="24"/>
        </w:rPr>
        <w:t>投入承诺→更高的估值——这是一个自我强化的循环。正如历史上每一次全球性资产泡沫（从郁金香到次贷危机）所展示的：当人们坚信“投资就能赚钱”时，理性约束便逐渐失效。罗斯福新政之前的大萧条，根源之一正是信贷扩张与资产价格自我强化循环的失控。</w:t>
      </w:r>
    </w:p>
    <w:p w14:paraId="40AF301B">
      <w:pPr>
        <w:pStyle w:val="3"/>
        <w:spacing w:before="40" w:after="40" w:line="360" w:lineRule="auto"/>
        <w:ind w:firstLine="480"/>
      </w:pPr>
      <w:r>
        <w:rPr>
          <w:rFonts w:hint="eastAsia" w:ascii="Times New Roman" w:hAnsi="Times New Roman" w:eastAsia="宋体"/>
          <w:sz w:val="24"/>
        </w:rPr>
        <w:t>折旧错配为什么是这一叠加机制的关键节点？</w:t>
      </w:r>
      <w:r>
        <w:rPr>
          <w:rFonts w:ascii="Times New Roman" w:hAnsi="Times New Roman" w:eastAsia="宋体"/>
          <w:sz w:val="24"/>
        </w:rPr>
        <w:t xml:space="preserve"> </w:t>
      </w:r>
      <w:r>
        <w:rPr>
          <w:rFonts w:hint="eastAsia" w:ascii="Times New Roman" w:hAnsi="Times New Roman" w:eastAsia="宋体"/>
          <w:sz w:val="24"/>
        </w:rPr>
        <w:t>因为它同时作用于三重泡沫的交汇点：</w:t>
      </w:r>
    </w:p>
    <w:p w14:paraId="5BB3E205">
      <w:pPr>
        <w:pStyle w:val="3"/>
        <w:spacing w:before="40" w:after="40" w:line="360" w:lineRule="auto"/>
        <w:ind w:firstLine="480"/>
      </w:pPr>
      <w:r>
        <w:rPr>
          <w:rFonts w:hint="eastAsia" w:ascii="Times New Roman" w:hAnsi="Times New Roman" w:eastAsia="宋体"/>
          <w:sz w:val="24"/>
        </w:rPr>
        <w:t>对估值泡沫：它提供了“基本面支撑”的会计依据——利润增长不是虚构的，是准则允许的；</w:t>
      </w:r>
    </w:p>
    <w:p w14:paraId="07963F99">
      <w:pPr>
        <w:pStyle w:val="3"/>
        <w:spacing w:before="40" w:after="40" w:line="360" w:lineRule="auto"/>
        <w:ind w:firstLine="480"/>
      </w:pPr>
      <w:r>
        <w:rPr>
          <w:rFonts w:hint="eastAsia" w:ascii="Times New Roman" w:hAnsi="Times New Roman" w:eastAsia="宋体"/>
          <w:sz w:val="24"/>
        </w:rPr>
        <w:t>对基本面泡沫：它是利润前置的财务杠杆——年限每延长一年，当期折旧费用就减少一块；</w:t>
      </w:r>
    </w:p>
    <w:p w14:paraId="0F817F6C">
      <w:pPr>
        <w:pStyle w:val="3"/>
        <w:spacing w:before="40" w:after="40" w:line="360" w:lineRule="auto"/>
        <w:ind w:firstLine="480"/>
      </w:pPr>
      <w:r>
        <w:rPr>
          <w:rFonts w:hint="eastAsia" w:ascii="Times New Roman" w:hAnsi="Times New Roman" w:eastAsia="宋体"/>
          <w:sz w:val="24"/>
        </w:rPr>
        <w:t>对行为泡沫：它降低了资本开支的“账面成本”，使更大的</w:t>
      </w:r>
      <w:r>
        <w:rPr>
          <w:rFonts w:ascii="Times New Roman" w:hAnsi="Times New Roman" w:eastAsia="宋体"/>
          <w:sz w:val="24"/>
        </w:rPr>
        <w:t xml:space="preserve"> AI </w:t>
      </w:r>
      <w:r>
        <w:rPr>
          <w:rFonts w:hint="eastAsia" w:ascii="Times New Roman" w:hAnsi="Times New Roman" w:eastAsia="宋体"/>
          <w:sz w:val="24"/>
        </w:rPr>
        <w:t>投入在财务报表上显得更可承受，从而推高风险敞口。</w:t>
      </w:r>
    </w:p>
    <w:p w14:paraId="12501B44">
      <w:pPr>
        <w:pStyle w:val="3"/>
        <w:spacing w:before="40" w:after="40" w:line="360" w:lineRule="auto"/>
        <w:ind w:firstLine="480"/>
      </w:pPr>
      <w:r>
        <w:rPr>
          <w:rFonts w:hint="eastAsia" w:ascii="Times New Roman" w:hAnsi="Times New Roman" w:eastAsia="宋体"/>
          <w:sz w:val="24"/>
        </w:rPr>
        <w:t>因此，识别折旧错配不是只关心一个会计科目，而是识别泡沫叠加机制中的财务脆弱性。当三重泡沫中的任何一重遭遇外部冲击（技术迭代超预期、利率上行、监管收紧），折旧错配累积的减值风险就会加速兑现——Micron</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18.3 </w:t>
      </w:r>
      <w:r>
        <w:rPr>
          <w:rFonts w:hint="eastAsia" w:ascii="Times New Roman" w:hAnsi="Times New Roman" w:eastAsia="宋体"/>
          <w:sz w:val="24"/>
        </w:rPr>
        <w:t>亿美元存货减记和商誉减值已经展示了这种兑现路径。</w:t>
      </w:r>
    </w:p>
    <w:p w14:paraId="78BE4B77">
      <w:pPr>
        <w:pStyle w:val="3"/>
        <w:spacing w:before="40" w:after="40" w:line="360" w:lineRule="auto"/>
        <w:ind w:firstLine="480"/>
      </w:pPr>
      <w:r>
        <w:rPr>
          <w:rFonts w:hint="eastAsia" w:ascii="Times New Roman" w:hAnsi="Times New Roman" w:eastAsia="宋体"/>
          <w:sz w:val="24"/>
        </w:rPr>
        <w:t>本研究的方法论价值正在于此：折旧错配有明确的会计传导路径（年限→费用→利润），可通过法定披露文本逐字验证——这是“可验证的特有风险”的最佳示范案例。而证据链标注</w:t>
      </w:r>
      <w:r>
        <w:rPr>
          <w:rFonts w:ascii="Times New Roman" w:hAnsi="Times New Roman" w:eastAsia="宋体"/>
          <w:sz w:val="24"/>
        </w:rPr>
        <w:t xml:space="preserve"> + </w:t>
      </w:r>
      <w:r>
        <w:rPr>
          <w:rFonts w:hint="eastAsia" w:ascii="Times New Roman" w:hAnsi="Times New Roman" w:eastAsia="宋体"/>
          <w:sz w:val="24"/>
        </w:rPr>
        <w:t>五维评分的方法论，可迁移至研发资本化、存货跌价、商誉减值等科创企业其他风险通道（第六章</w:t>
      </w:r>
      <w:r>
        <w:rPr>
          <w:rFonts w:ascii="Times New Roman" w:hAnsi="Times New Roman" w:eastAsia="宋体"/>
          <w:sz w:val="24"/>
        </w:rPr>
        <w:t xml:space="preserve"> 6.6 </w:t>
      </w:r>
      <w:r>
        <w:rPr>
          <w:rFonts w:hint="eastAsia" w:ascii="Times New Roman" w:hAnsi="Times New Roman" w:eastAsia="宋体"/>
          <w:sz w:val="24"/>
        </w:rPr>
        <w:t>节已展示向</w:t>
      </w:r>
      <w:r>
        <w:rPr>
          <w:rFonts w:ascii="Times New Roman" w:hAnsi="Times New Roman" w:eastAsia="宋体"/>
          <w:sz w:val="24"/>
        </w:rPr>
        <w:t xml:space="preserve"> A </w:t>
      </w:r>
      <w:r>
        <w:rPr>
          <w:rFonts w:hint="eastAsia" w:ascii="Times New Roman" w:hAnsi="Times New Roman" w:eastAsia="宋体"/>
          <w:sz w:val="24"/>
        </w:rPr>
        <w:t>股的迁移测试）。</w:t>
      </w:r>
    </w:p>
    <w:p w14:paraId="6DBA2968">
      <w:pPr>
        <w:pStyle w:val="3"/>
        <w:spacing w:before="40" w:after="40" w:line="360" w:lineRule="auto"/>
        <w:ind w:firstLine="480"/>
      </w:pPr>
      <w:r>
        <w:rPr>
          <w:rFonts w:hint="eastAsia" w:ascii="Times New Roman" w:hAnsi="Times New Roman" w:eastAsia="宋体"/>
          <w:sz w:val="24"/>
        </w:rPr>
        <w:t>为什么折旧错配是科创企业特有风险而非传统财务问题？传统折旧会计的底层假设是物理磨损决定经济寿命，但</w:t>
      </w:r>
      <w:r>
        <w:rPr>
          <w:rFonts w:ascii="Times New Roman" w:hAnsi="Times New Roman" w:eastAsia="宋体"/>
          <w:sz w:val="24"/>
        </w:rPr>
        <w:t xml:space="preserve"> AI </w:t>
      </w:r>
      <w:r>
        <w:rPr>
          <w:rFonts w:hint="eastAsia" w:ascii="Times New Roman" w:hAnsi="Times New Roman" w:eastAsia="宋体"/>
          <w:sz w:val="24"/>
        </w:rPr>
        <w:t>算力资产（GPU</w:t>
      </w:r>
      <w:r>
        <w:rPr>
          <w:rFonts w:ascii="Times New Roman" w:hAnsi="Times New Roman" w:eastAsia="宋体"/>
          <w:sz w:val="24"/>
        </w:rPr>
        <w:t xml:space="preserve"> </w:t>
      </w:r>
      <w:r>
        <w:rPr>
          <w:rFonts w:hint="eastAsia" w:ascii="Times New Roman" w:hAnsi="Times New Roman" w:eastAsia="宋体"/>
          <w:sz w:val="24"/>
        </w:rPr>
        <w:t>集群、TPU）的物理完好性与经济价值呈断崖式分离：一台</w:t>
      </w:r>
      <w:r>
        <w:rPr>
          <w:rFonts w:ascii="Times New Roman" w:hAnsi="Times New Roman" w:eastAsia="宋体"/>
          <w:sz w:val="24"/>
        </w:rPr>
        <w:t xml:space="preserve"> H100 </w:t>
      </w:r>
      <w:r>
        <w:rPr>
          <w:rFonts w:hint="eastAsia" w:ascii="Times New Roman" w:hAnsi="Times New Roman" w:eastAsia="宋体"/>
          <w:sz w:val="24"/>
        </w:rPr>
        <w:t>服务器购入</w:t>
      </w:r>
      <w:r>
        <w:rPr>
          <w:rFonts w:ascii="Times New Roman" w:hAnsi="Times New Roman" w:eastAsia="宋体"/>
          <w:sz w:val="24"/>
        </w:rPr>
        <w:t xml:space="preserve"> 18 </w:t>
      </w:r>
      <w:r>
        <w:rPr>
          <w:rFonts w:hint="eastAsia" w:ascii="Times New Roman" w:hAnsi="Times New Roman" w:eastAsia="宋体"/>
          <w:sz w:val="24"/>
        </w:rPr>
        <w:t>个月后，可能因</w:t>
      </w:r>
      <w:r>
        <w:rPr>
          <w:rFonts w:ascii="Times New Roman" w:hAnsi="Times New Roman" w:eastAsia="宋体"/>
          <w:sz w:val="24"/>
        </w:rPr>
        <w:t xml:space="preserve"> Blackwell </w:t>
      </w:r>
      <w:r>
        <w:rPr>
          <w:rFonts w:hint="eastAsia" w:ascii="Times New Roman" w:hAnsi="Times New Roman" w:eastAsia="宋体"/>
          <w:sz w:val="24"/>
        </w:rPr>
        <w:t>架构推理成本下降</w:t>
      </w:r>
      <w:r>
        <w:rPr>
          <w:rFonts w:ascii="Times New Roman" w:hAnsi="Times New Roman" w:eastAsia="宋体"/>
          <w:sz w:val="24"/>
        </w:rPr>
        <w:t xml:space="preserve"> 50% </w:t>
      </w:r>
      <w:r>
        <w:rPr>
          <w:rFonts w:hint="eastAsia" w:ascii="Times New Roman" w:hAnsi="Times New Roman" w:eastAsia="宋体"/>
          <w:sz w:val="24"/>
        </w:rPr>
        <w:t>而完全丧失经济竞争力，尽管物理性能完好。这不是估计偏差的传统问题，而是工业时代会计工具与数字时代资产现实之间的制度性错配。更重要的是，折旧错配直接嵌入科创企业的融资生死链：Pre-IPO</w:t>
      </w:r>
      <w:r>
        <w:rPr>
          <w:rFonts w:ascii="Times New Roman" w:hAnsi="Times New Roman" w:eastAsia="宋体"/>
          <w:sz w:val="24"/>
        </w:rPr>
        <w:t xml:space="preserve"> </w:t>
      </w:r>
      <w:r>
        <w:rPr>
          <w:rFonts w:hint="eastAsia" w:ascii="Times New Roman" w:hAnsi="Times New Roman" w:eastAsia="宋体"/>
          <w:sz w:val="24"/>
        </w:rPr>
        <w:t>及成长期</w:t>
      </w:r>
      <w:r>
        <w:rPr>
          <w:rFonts w:ascii="Times New Roman" w:hAnsi="Times New Roman" w:eastAsia="宋体"/>
          <w:sz w:val="24"/>
        </w:rPr>
        <w:t xml:space="preserve"> AI </w:t>
      </w:r>
      <w:r>
        <w:rPr>
          <w:rFonts w:hint="eastAsia" w:ascii="Times New Roman" w:hAnsi="Times New Roman" w:eastAsia="宋体"/>
          <w:sz w:val="24"/>
        </w:rPr>
        <w:t>公司的估值高度依赖利润增速和算力投入故事，折旧年限每延长一年，当期利润增厚、估值倍数扩张，直接决定能否完成下一轮</w:t>
      </w:r>
      <w:r>
        <w:rPr>
          <w:rFonts w:ascii="Times New Roman" w:hAnsi="Times New Roman" w:eastAsia="宋体"/>
          <w:sz w:val="24"/>
        </w:rPr>
        <w:t xml:space="preserve"> VC/PE </w:t>
      </w:r>
      <w:r>
        <w:rPr>
          <w:rFonts w:hint="eastAsia" w:ascii="Times New Roman" w:hAnsi="Times New Roman" w:eastAsia="宋体"/>
          <w:sz w:val="24"/>
        </w:rPr>
        <w:t>融资、能否以合理估值</w:t>
      </w:r>
      <w:r>
        <w:rPr>
          <w:rFonts w:ascii="Times New Roman" w:hAnsi="Times New Roman" w:eastAsia="宋体"/>
          <w:sz w:val="24"/>
        </w:rPr>
        <w:t xml:space="preserve"> </w:t>
      </w:r>
      <w:r>
        <w:rPr>
          <w:rFonts w:hint="eastAsia" w:ascii="Times New Roman" w:hAnsi="Times New Roman" w:eastAsia="宋体"/>
          <w:sz w:val="24"/>
        </w:rPr>
        <w:t>IPO、能否获得银行科技信贷（如平安授信模型中的</w:t>
      </w:r>
      <w:r>
        <w:rPr>
          <w:rFonts w:ascii="Times New Roman" w:hAnsi="Times New Roman" w:eastAsia="宋体"/>
          <w:sz w:val="24"/>
        </w:rPr>
        <w:t xml:space="preserve"> EBITDA </w:t>
      </w:r>
      <w:r>
        <w:rPr>
          <w:rFonts w:hint="eastAsia" w:ascii="Times New Roman" w:hAnsi="Times New Roman" w:eastAsia="宋体"/>
          <w:sz w:val="24"/>
        </w:rPr>
        <w:t>覆盖率）。这与传统成熟企业（航空、电信）的折旧风险——仅缓慢侵蚀分红、与融资弱相关——存在本质差异。因此，折旧错配不是财务部的技术问题，而是科创企业全生命周期中连接技术迭代、资本开支、估值泡沫与金融风控的枢纽性特有风险。</w:t>
      </w:r>
    </w:p>
    <w:bookmarkEnd w:id="17"/>
    <w:p w14:paraId="53FFC757">
      <w:pPr>
        <w:pStyle w:val="4"/>
        <w:spacing w:before="320" w:after="160" w:line="360" w:lineRule="auto"/>
      </w:pPr>
      <w:bookmarkStart w:id="18" w:name="_Toc6307"/>
      <w:bookmarkStart w:id="19" w:name="产业痛点当会计估计变成财富转移"/>
      <w:r>
        <w:rPr>
          <w:rFonts w:ascii="Times New Roman" w:hAnsi="Times New Roman" w:eastAsia="黑体"/>
          <w:b/>
          <w:color w:val="003366"/>
          <w:sz w:val="28"/>
        </w:rPr>
        <w:t xml:space="preserve">1.6 </w:t>
      </w:r>
      <w:r>
        <w:rPr>
          <w:rFonts w:hint="eastAsia" w:ascii="Times New Roman" w:hAnsi="Times New Roman" w:eastAsia="黑体"/>
          <w:b/>
          <w:color w:val="003366"/>
          <w:sz w:val="28"/>
        </w:rPr>
        <w:t>产业痛点：当“会计估计”变成“财富转移”</w:t>
      </w:r>
      <w:bookmarkEnd w:id="18"/>
    </w:p>
    <w:p w14:paraId="751F12D2">
      <w:pPr>
        <w:pStyle w:val="25"/>
        <w:spacing w:before="40" w:after="40" w:line="360" w:lineRule="auto"/>
        <w:ind w:firstLine="480"/>
      </w:pPr>
      <w:r>
        <w:rPr>
          <w:rFonts w:hint="eastAsia" w:ascii="Times New Roman" w:hAnsi="Times New Roman" w:eastAsia="宋体"/>
          <w:sz w:val="24"/>
        </w:rPr>
        <w:t>折旧错配（depreciation</w:t>
      </w:r>
      <w:r>
        <w:rPr>
          <w:rFonts w:ascii="Times New Roman" w:hAnsi="Times New Roman" w:eastAsia="宋体"/>
          <w:sz w:val="24"/>
        </w:rPr>
        <w:t xml:space="preserve"> </w:t>
      </w:r>
      <w:r>
        <w:rPr>
          <w:rFonts w:hint="eastAsia" w:ascii="Times New Roman" w:hAnsi="Times New Roman" w:eastAsia="宋体"/>
          <w:sz w:val="24"/>
        </w:rPr>
        <w:t>mismatch）究竟是写在论文里的学术概念，还是每天都在发生的真实伤害？如果它只是会计技术细节，就不构成“科创企业特有风险”；只有当它能指认具体的受害者、可计量的损失与未被满足的市场需求时，才构成真实的产业痛点。本节用三个维度的证据回答这个问题：谁在受伤（1.6.1）、现有解决方案为何没有覆盖（1.6.2）、痛点的量级有多大（1.6.3）。</w:t>
      </w:r>
    </w:p>
    <w:p w14:paraId="03D0BA22">
      <w:pPr>
        <w:pStyle w:val="5"/>
        <w:spacing w:before="240" w:after="120" w:line="360" w:lineRule="auto"/>
      </w:pPr>
      <w:bookmarkStart w:id="20" w:name="痛点描述谁在受伤伤得多重"/>
      <w:r>
        <w:rPr>
          <w:rFonts w:ascii="Times New Roman" w:hAnsi="Times New Roman" w:eastAsia="黑体"/>
          <w:b/>
          <w:color w:val="003366"/>
          <w:sz w:val="24"/>
        </w:rPr>
        <w:t xml:space="preserve">1.6.1 </w:t>
      </w:r>
      <w:r>
        <w:rPr>
          <w:rFonts w:hint="eastAsia" w:ascii="Times New Roman" w:hAnsi="Times New Roman" w:eastAsia="黑体"/>
          <w:b/>
          <w:color w:val="003366"/>
          <w:sz w:val="24"/>
        </w:rPr>
        <w:t>痛点描述：谁在受伤？伤得多重？</w:t>
      </w:r>
    </w:p>
    <w:p w14:paraId="25B96184">
      <w:pPr>
        <w:pStyle w:val="25"/>
        <w:spacing w:before="40" w:after="40" w:line="360" w:lineRule="auto"/>
        <w:ind w:firstLine="480"/>
      </w:pPr>
      <w:r>
        <w:rPr>
          <w:rFonts w:hint="eastAsia" w:ascii="Times New Roman" w:hAnsi="Times New Roman" w:eastAsia="宋体"/>
          <w:b/>
          <w:bCs/>
          <w:sz w:val="24"/>
        </w:rPr>
        <w:t>（一）直接受害者：机构投资者（最终是基民和养老金受益人）</w:t>
      </w:r>
    </w:p>
    <w:p w14:paraId="4D265EDB">
      <w:pPr>
        <w:pStyle w:val="3"/>
        <w:spacing w:before="40" w:after="40" w:line="360" w:lineRule="auto"/>
        <w:ind w:firstLine="480"/>
      </w:pPr>
      <w:r>
        <w:rPr>
          <w:rFonts w:hint="eastAsia" w:ascii="Times New Roman" w:hAnsi="Times New Roman" w:eastAsia="宋体"/>
          <w:sz w:val="24"/>
        </w:rPr>
        <w:t>中国科技股市场以机构投资者为主导。根据申万宏源研究数据，2023年末A股专业投资机构持股市值占比20.6%，其中公募基金7.7%、私募基金4.3%、保险及社保基金2.3%、外资4.7%。在科创板，机构投资者的交易占比超过70%（上交所，2019）。这些机构投资者的持仓中，相当比例配置了AI、云计算、半导体等科技赛道——而这些赛道正是折旧错配的“重灾区”。</w:t>
      </w:r>
    </w:p>
    <w:p w14:paraId="52FDA3DA">
      <w:pPr>
        <w:pStyle w:val="3"/>
        <w:spacing w:before="40" w:after="40" w:line="360" w:lineRule="auto"/>
        <w:ind w:firstLine="480"/>
      </w:pPr>
      <w:r>
        <w:rPr>
          <w:rFonts w:hint="eastAsia" w:ascii="Times New Roman" w:hAnsi="Times New Roman" w:eastAsia="宋体"/>
          <w:b/>
          <w:bCs/>
          <w:sz w:val="24"/>
        </w:rPr>
        <w:t>伤害机制</w:t>
      </w:r>
      <w:r>
        <w:rPr>
          <w:rFonts w:hint="eastAsia" w:ascii="Times New Roman" w:hAnsi="Times New Roman" w:eastAsia="宋体"/>
          <w:sz w:val="24"/>
        </w:rPr>
        <w:t>：企业延长折旧年限</w:t>
      </w:r>
      <w:r>
        <w:rPr>
          <w:rFonts w:ascii="Times New Roman" w:hAnsi="Times New Roman" w:eastAsia="宋体"/>
          <w:sz w:val="24"/>
        </w:rPr>
        <w:t xml:space="preserve"> → </w:t>
      </w:r>
      <w:r>
        <w:rPr>
          <w:rFonts w:hint="eastAsia" w:ascii="Times New Roman" w:hAnsi="Times New Roman" w:eastAsia="宋体"/>
          <w:sz w:val="24"/>
        </w:rPr>
        <w:t>当期利润虚增</w:t>
      </w:r>
      <w:r>
        <w:rPr>
          <w:rFonts w:ascii="Times New Roman" w:hAnsi="Times New Roman" w:eastAsia="宋体"/>
          <w:sz w:val="24"/>
        </w:rPr>
        <w:t xml:space="preserve"> → </w:t>
      </w:r>
      <w:r>
        <w:rPr>
          <w:rFonts w:hint="eastAsia" w:ascii="Times New Roman" w:hAnsi="Times New Roman" w:eastAsia="宋体"/>
          <w:sz w:val="24"/>
        </w:rPr>
        <w:t>股价上涨</w:t>
      </w:r>
      <w:r>
        <w:rPr>
          <w:rFonts w:ascii="Times New Roman" w:hAnsi="Times New Roman" w:eastAsia="宋体"/>
          <w:sz w:val="24"/>
        </w:rPr>
        <w:t xml:space="preserve"> → </w:t>
      </w:r>
      <w:r>
        <w:rPr>
          <w:rFonts w:hint="eastAsia" w:ascii="Times New Roman" w:hAnsi="Times New Roman" w:eastAsia="宋体"/>
          <w:sz w:val="24"/>
        </w:rPr>
        <w:t>机构投资者追高买入；未来资产减值暴露</w:t>
      </w:r>
      <w:r>
        <w:rPr>
          <w:rFonts w:ascii="Times New Roman" w:hAnsi="Times New Roman" w:eastAsia="宋体"/>
          <w:sz w:val="24"/>
        </w:rPr>
        <w:t xml:space="preserve"> → </w:t>
      </w:r>
      <w:r>
        <w:rPr>
          <w:rFonts w:hint="eastAsia" w:ascii="Times New Roman" w:hAnsi="Times New Roman" w:eastAsia="宋体"/>
          <w:sz w:val="24"/>
        </w:rPr>
        <w:t>股价暴跌</w:t>
      </w:r>
      <w:r>
        <w:rPr>
          <w:rFonts w:ascii="Times New Roman" w:hAnsi="Times New Roman" w:eastAsia="宋体"/>
          <w:sz w:val="24"/>
        </w:rPr>
        <w:t xml:space="preserve"> → </w:t>
      </w:r>
      <w:r>
        <w:rPr>
          <w:rFonts w:hint="eastAsia" w:ascii="Times New Roman" w:hAnsi="Times New Roman" w:eastAsia="宋体"/>
          <w:sz w:val="24"/>
        </w:rPr>
        <w:t>机构投资者被迫割肉；最终承担者是基民（公募基金）与养老金受益人（保险资管）。</w:t>
      </w:r>
    </w:p>
    <w:p w14:paraId="7644F4E0">
      <w:pPr>
        <w:pStyle w:val="3"/>
        <w:spacing w:before="40" w:after="40" w:line="360" w:lineRule="auto"/>
        <w:ind w:firstLine="480"/>
      </w:pPr>
      <w:r>
        <w:rPr>
          <w:rFonts w:hint="eastAsia" w:ascii="Times New Roman" w:hAnsi="Times New Roman" w:eastAsia="宋体"/>
          <w:b/>
          <w:bCs/>
          <w:sz w:val="24"/>
        </w:rPr>
        <w:t>典型案例</w:t>
      </w:r>
      <w:r>
        <w:rPr>
          <w:rFonts w:hint="eastAsia" w:ascii="Times New Roman" w:hAnsi="Times New Roman" w:eastAsia="宋体"/>
          <w:sz w:val="24"/>
        </w:rPr>
        <w:t>：2022-2023年，全球6家主要云服务商（hyperscaler）同步延长服务器折旧年限，释放超百亿美元“纸面利润”，推动纳斯达克指数在美联储加息周期中逆势上涨。当2024年部分企业开始计提减值时，相关股票单周跌幅超过12%（如Micron</w:t>
      </w:r>
      <w:r>
        <w:rPr>
          <w:rFonts w:ascii="Times New Roman" w:hAnsi="Times New Roman" w:eastAsia="宋体"/>
          <w:sz w:val="24"/>
        </w:rPr>
        <w:t xml:space="preserve"> </w:t>
      </w:r>
      <w:r>
        <w:rPr>
          <w:rFonts w:hint="eastAsia" w:ascii="Times New Roman" w:hAnsi="Times New Roman" w:eastAsia="宋体"/>
          <w:sz w:val="24"/>
        </w:rPr>
        <w:t>FY2023计提$1.83B存货减记后股价单周下跌12%）。追高买入的机构投资者承受了实质性损失。</w:t>
      </w:r>
    </w:p>
    <w:p w14:paraId="446866B0">
      <w:pPr>
        <w:pStyle w:val="3"/>
        <w:spacing w:before="40" w:after="40" w:line="360" w:lineRule="auto"/>
        <w:ind w:firstLine="480"/>
      </w:pPr>
      <w:r>
        <w:rPr>
          <w:rFonts w:hint="eastAsia" w:ascii="Times New Roman" w:hAnsi="Times New Roman" w:eastAsia="宋体"/>
          <w:b/>
          <w:bCs/>
          <w:sz w:val="24"/>
        </w:rPr>
        <w:t>（二）间接受害者：科创板市场的定价效率</w:t>
      </w:r>
    </w:p>
    <w:p w14:paraId="67756E89">
      <w:pPr>
        <w:pStyle w:val="3"/>
        <w:spacing w:before="40" w:after="40" w:line="360" w:lineRule="auto"/>
        <w:ind w:firstLine="480"/>
      </w:pPr>
      <w:r>
        <w:rPr>
          <w:rFonts w:hint="eastAsia" w:ascii="Times New Roman" w:hAnsi="Times New Roman" w:eastAsia="宋体"/>
          <w:sz w:val="24"/>
        </w:rPr>
        <w:t>科创板的定位是“支持硬科技”，但折旧错配导致的“伪盈利”会扭曲市场定价。一家企业如果通过延长折旧年限将亏损报表扭转为盈利，可能获得更高的IPO估值、更多的再融资额度——而这些资源本可以配置给真正技术过硬的企业。这种“劣币驱逐良币”效应损害的是整个科创板市场的资源配置效率。</w:t>
      </w:r>
    </w:p>
    <w:p w14:paraId="78601A49">
      <w:pPr>
        <w:pStyle w:val="3"/>
        <w:spacing w:before="40" w:after="40" w:line="360" w:lineRule="auto"/>
        <w:ind w:firstLine="480"/>
      </w:pPr>
      <w:r>
        <w:rPr>
          <w:rFonts w:hint="eastAsia" w:ascii="Times New Roman" w:hAnsi="Times New Roman" w:eastAsia="宋体"/>
          <w:b/>
          <w:bCs/>
          <w:sz w:val="24"/>
        </w:rPr>
        <w:t>（三）系统性受害者：国家科技金融战略</w:t>
      </w:r>
    </w:p>
    <w:p w14:paraId="5458CFE1">
      <w:pPr>
        <w:pStyle w:val="3"/>
        <w:spacing w:before="40" w:after="40" w:line="360" w:lineRule="auto"/>
        <w:ind w:firstLine="480"/>
      </w:pPr>
      <w:r>
        <w:rPr>
          <w:rFonts w:hint="eastAsia" w:ascii="Times New Roman" w:hAnsi="Times New Roman" w:eastAsia="宋体"/>
          <w:sz w:val="24"/>
        </w:rPr>
        <w:t>2023年，中国人寿科技保险风险保障金额达87万亿元（同比增长133%），建设银行科技贷款余额5.15万亿元——国家正以空前力度推动科技金融。但如果科技金融的“资产端”（科技企业）存在普遍的折旧错配，那么“资金端”（保险、银行、基金）实际上是在为“会计估计操纵”提供融资。这与“科技金融要精准支持真科技”的政策初衷背道而驰。</w:t>
      </w:r>
    </w:p>
    <w:bookmarkEnd w:id="20"/>
    <w:p w14:paraId="007DB95E">
      <w:pPr>
        <w:pStyle w:val="5"/>
        <w:spacing w:before="240" w:after="120" w:line="360" w:lineRule="auto"/>
      </w:pPr>
      <w:bookmarkStart w:id="21" w:name="产业需求对照表现有解决方案vs真实市场需求"/>
      <w:r>
        <w:rPr>
          <w:rFonts w:ascii="Times New Roman" w:hAnsi="Times New Roman" w:eastAsia="黑体"/>
          <w:b/>
          <w:color w:val="003366"/>
          <w:sz w:val="24"/>
        </w:rPr>
        <w:t xml:space="preserve">1.6.2 </w:t>
      </w:r>
      <w:r>
        <w:rPr>
          <w:rFonts w:hint="eastAsia" w:ascii="Times New Roman" w:hAnsi="Times New Roman" w:eastAsia="黑体"/>
          <w:b/>
          <w:color w:val="003366"/>
          <w:sz w:val="24"/>
        </w:rPr>
        <w:t>产业需求对照表：现有解决方案vs真实市场需求</w:t>
      </w:r>
    </w:p>
    <w:p w14:paraId="7D7E4381">
      <w:pPr>
        <w:pStyle w:val="25"/>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1-1 </w:t>
      </w:r>
      <w:r>
        <w:rPr>
          <w:rFonts w:hint="eastAsia" w:ascii="Times New Roman" w:hAnsi="Times New Roman" w:eastAsia="宋体"/>
          <w:i w:val="0"/>
          <w:sz w:val="21"/>
        </w:rPr>
        <w:t>产业需求对照表——现有解决方案的盲区与本项目的填补</w:t>
      </w:r>
    </w:p>
    <w:tbl>
      <w:tblPr>
        <w:tblStyle w:val="43"/>
        <w:tblW w:w="5000" w:type="pct"/>
        <w:tblInd w:w="0" w:type="dxa"/>
        <w:tblLayout w:type="fixed"/>
        <w:tblCellMar>
          <w:top w:w="0" w:type="dxa"/>
          <w:left w:w="108" w:type="dxa"/>
          <w:bottom w:w="0" w:type="dxa"/>
          <w:right w:w="108" w:type="dxa"/>
        </w:tblCellMar>
      </w:tblPr>
      <w:tblGrid>
        <w:gridCol w:w="1441"/>
        <w:gridCol w:w="1922"/>
        <w:gridCol w:w="3363"/>
        <w:gridCol w:w="2562"/>
      </w:tblGrid>
      <w:tr w14:paraId="042F99EE">
        <w:tblPrEx>
          <w:tblCellMar>
            <w:top w:w="0" w:type="dxa"/>
            <w:left w:w="108" w:type="dxa"/>
            <w:bottom w:w="0" w:type="dxa"/>
            <w:right w:w="108" w:type="dxa"/>
          </w:tblCellMar>
        </w:tblPrEx>
        <w:trPr>
          <w:cantSplit/>
          <w:tblHeader/>
        </w:trPr>
        <w:tc>
          <w:p w14:paraId="19842779">
            <w:pPr>
              <w:pStyle w:val="26"/>
              <w:spacing w:before="20" w:after="20" w:line="276" w:lineRule="auto"/>
            </w:pPr>
            <w:r>
              <w:rPr>
                <w:rFonts w:hint="eastAsia" w:ascii="Times New Roman" w:hAnsi="Times New Roman" w:eastAsia="宋体"/>
                <w:sz w:val="20"/>
              </w:rPr>
              <w:t>需求维度</w:t>
            </w:r>
          </w:p>
        </w:tc>
        <w:tc>
          <w:p w14:paraId="59040338">
            <w:pPr>
              <w:pStyle w:val="26"/>
              <w:spacing w:before="20" w:after="20" w:line="276" w:lineRule="auto"/>
            </w:pPr>
            <w:r>
              <w:rPr>
                <w:rFonts w:hint="eastAsia" w:ascii="Times New Roman" w:hAnsi="Times New Roman" w:eastAsia="宋体"/>
                <w:sz w:val="20"/>
              </w:rPr>
              <w:t>市场真实需求</w:t>
            </w:r>
          </w:p>
        </w:tc>
        <w:tc>
          <w:p w14:paraId="45DCDB2E">
            <w:pPr>
              <w:pStyle w:val="26"/>
              <w:spacing w:before="20" w:after="20" w:line="276" w:lineRule="auto"/>
            </w:pPr>
            <w:r>
              <w:rPr>
                <w:rFonts w:hint="eastAsia" w:ascii="Times New Roman" w:hAnsi="Times New Roman" w:eastAsia="宋体"/>
                <w:sz w:val="20"/>
              </w:rPr>
              <w:t>现有解决方案（传统风控）</w:t>
            </w:r>
          </w:p>
        </w:tc>
        <w:tc>
          <w:p w14:paraId="2911A973">
            <w:pPr>
              <w:pStyle w:val="26"/>
              <w:spacing w:before="20" w:after="20" w:line="276" w:lineRule="auto"/>
            </w:pPr>
            <w:r>
              <w:rPr>
                <w:rFonts w:hint="eastAsia" w:ascii="Times New Roman" w:hAnsi="Times New Roman" w:eastAsia="宋体"/>
                <w:sz w:val="20"/>
              </w:rPr>
              <w:t>本项目的差异化填补</w:t>
            </w:r>
          </w:p>
        </w:tc>
      </w:tr>
      <w:tr w14:paraId="5F5C070F">
        <w:tblPrEx>
          <w:tblCellMar>
            <w:top w:w="0" w:type="dxa"/>
            <w:left w:w="108" w:type="dxa"/>
            <w:bottom w:w="0" w:type="dxa"/>
            <w:right w:w="108" w:type="dxa"/>
          </w:tblCellMar>
        </w:tblPrEx>
        <w:trPr>
          <w:cantSplit/>
        </w:trPr>
        <w:tc>
          <w:p w14:paraId="5A453E4A">
            <w:pPr>
              <w:pStyle w:val="26"/>
              <w:spacing w:before="20" w:after="20" w:line="276" w:lineRule="auto"/>
            </w:pPr>
            <w:r>
              <w:rPr>
                <w:rFonts w:hint="eastAsia" w:ascii="Times New Roman" w:hAnsi="Times New Roman" w:eastAsia="宋体"/>
                <w:b/>
                <w:bCs/>
                <w:sz w:val="20"/>
              </w:rPr>
              <w:t>风险识别</w:t>
            </w:r>
          </w:p>
        </w:tc>
        <w:tc>
          <w:p w14:paraId="513121A5">
            <w:pPr>
              <w:pStyle w:val="26"/>
              <w:spacing w:before="20" w:after="20" w:line="276" w:lineRule="auto"/>
            </w:pPr>
            <w:r>
              <w:rPr>
                <w:rFonts w:hint="eastAsia" w:ascii="Times New Roman" w:hAnsi="Times New Roman" w:eastAsia="宋体"/>
                <w:sz w:val="20"/>
              </w:rPr>
              <w:t>识别科技企业财报中的“会计估计激进”信号</w:t>
            </w:r>
          </w:p>
        </w:tc>
        <w:tc>
          <w:p w14:paraId="78159DFF">
            <w:pPr>
              <w:pStyle w:val="26"/>
              <w:spacing w:before="20" w:after="20" w:line="276" w:lineRule="auto"/>
            </w:pPr>
            <w:r>
              <w:rPr>
                <w:rFonts w:hint="eastAsia" w:ascii="Times New Roman" w:hAnsi="Times New Roman" w:eastAsia="宋体"/>
                <w:sz w:val="20"/>
              </w:rPr>
              <w:t>依赖审计意见（标准无保留意见占99%+）</w:t>
            </w:r>
          </w:p>
        </w:tc>
        <w:tc>
          <w:p w14:paraId="7A9A1712">
            <w:pPr>
              <w:pStyle w:val="26"/>
              <w:spacing w:before="20" w:after="20" w:line="276" w:lineRule="auto"/>
            </w:pPr>
            <w:r>
              <w:rPr>
                <w:rFonts w:hint="eastAsia" w:ascii="Times New Roman" w:hAnsi="Times New Roman" w:eastAsia="宋体"/>
                <w:sz w:val="20"/>
              </w:rPr>
              <w:t>5D-DRS前瞻性评分，72小时内完成</w:t>
            </w:r>
          </w:p>
        </w:tc>
      </w:tr>
      <w:tr w14:paraId="14050A4C">
        <w:tblPrEx>
          <w:tblCellMar>
            <w:top w:w="0" w:type="dxa"/>
            <w:left w:w="108" w:type="dxa"/>
            <w:bottom w:w="0" w:type="dxa"/>
            <w:right w:w="108" w:type="dxa"/>
          </w:tblCellMar>
        </w:tblPrEx>
        <w:trPr>
          <w:cantSplit/>
        </w:trPr>
        <w:tc>
          <w:p w14:paraId="0E031BBD">
            <w:pPr>
              <w:pStyle w:val="26"/>
              <w:spacing w:before="20" w:after="20" w:line="276" w:lineRule="auto"/>
            </w:pPr>
            <w:r>
              <w:rPr>
                <w:rFonts w:hint="eastAsia" w:ascii="Times New Roman" w:hAnsi="Times New Roman" w:eastAsia="宋体"/>
                <w:b/>
                <w:bCs/>
                <w:sz w:val="20"/>
              </w:rPr>
              <w:t>风险计量</w:t>
            </w:r>
          </w:p>
        </w:tc>
        <w:tc>
          <w:p w14:paraId="501C5EF8">
            <w:pPr>
              <w:pStyle w:val="26"/>
              <w:spacing w:before="20" w:after="20" w:line="276" w:lineRule="auto"/>
            </w:pPr>
            <w:r>
              <w:rPr>
                <w:rFonts w:hint="eastAsia" w:ascii="Times New Roman" w:hAnsi="Times New Roman" w:eastAsia="宋体"/>
                <w:sz w:val="20"/>
              </w:rPr>
              <w:t>量化折旧错配对净利润、估值的影响</w:t>
            </w:r>
          </w:p>
        </w:tc>
        <w:tc>
          <w:p w14:paraId="171A43CA">
            <w:pPr>
              <w:pStyle w:val="26"/>
              <w:spacing w:before="20" w:after="20" w:line="276" w:lineRule="auto"/>
            </w:pPr>
            <w:r>
              <w:rPr>
                <w:rFonts w:hint="eastAsia" w:ascii="Times New Roman" w:hAnsi="Times New Roman" w:eastAsia="宋体"/>
                <w:sz w:val="20"/>
              </w:rPr>
              <w:t>无专门工具，依赖分析师手工计算</w:t>
            </w:r>
          </w:p>
        </w:tc>
        <w:tc>
          <w:p w14:paraId="66FEEBCA">
            <w:pPr>
              <w:pStyle w:val="26"/>
              <w:spacing w:before="20" w:after="20" w:line="276" w:lineRule="auto"/>
            </w:pPr>
            <w:r>
              <w:rPr>
                <w:rFonts w:hint="eastAsia" w:ascii="Times New Roman" w:hAnsi="Times New Roman" w:eastAsia="宋体"/>
                <w:sz w:val="20"/>
              </w:rPr>
              <w:t>计量层缺口计算器（见</w:t>
            </w:r>
            <w:r>
              <w:rPr>
                <w:rFonts w:ascii="Times New Roman" w:hAnsi="Times New Roman" w:eastAsia="宋体"/>
                <w:sz w:val="20"/>
              </w:rPr>
              <w:t xml:space="preserve"> </w:t>
            </w:r>
            <w:r>
              <w:rPr>
                <w:rFonts w:hint="eastAsia" w:ascii="Times New Roman" w:hAnsi="Times New Roman" w:eastAsia="宋体"/>
                <w:sz w:val="20"/>
              </w:rPr>
              <w:t>5.4.4）</w:t>
            </w:r>
          </w:p>
        </w:tc>
      </w:tr>
      <w:tr w14:paraId="5D94BE34">
        <w:tblPrEx>
          <w:tblCellMar>
            <w:top w:w="0" w:type="dxa"/>
            <w:left w:w="108" w:type="dxa"/>
            <w:bottom w:w="0" w:type="dxa"/>
            <w:right w:w="108" w:type="dxa"/>
          </w:tblCellMar>
        </w:tblPrEx>
        <w:trPr>
          <w:cantSplit/>
        </w:trPr>
        <w:tc>
          <w:p w14:paraId="2E1036B9">
            <w:pPr>
              <w:pStyle w:val="26"/>
              <w:spacing w:before="20" w:after="20" w:line="276" w:lineRule="auto"/>
            </w:pPr>
            <w:r>
              <w:rPr>
                <w:rFonts w:hint="eastAsia" w:ascii="Times New Roman" w:hAnsi="Times New Roman" w:eastAsia="宋体"/>
                <w:b/>
                <w:bCs/>
                <w:sz w:val="20"/>
              </w:rPr>
              <w:t>风险预警</w:t>
            </w:r>
          </w:p>
        </w:tc>
        <w:tc>
          <w:p w14:paraId="155A1358">
            <w:pPr>
              <w:pStyle w:val="26"/>
              <w:spacing w:before="20" w:after="20" w:line="276" w:lineRule="auto"/>
            </w:pPr>
            <w:r>
              <w:rPr>
                <w:rFonts w:hint="eastAsia" w:ascii="Times New Roman" w:hAnsi="Times New Roman" w:eastAsia="宋体"/>
                <w:sz w:val="20"/>
              </w:rPr>
              <w:t>在会计估计变更披露后第一时间预警</w:t>
            </w:r>
          </w:p>
        </w:tc>
        <w:tc>
          <w:p w14:paraId="43123A19">
            <w:pPr>
              <w:pStyle w:val="26"/>
              <w:spacing w:before="20" w:after="20" w:line="276" w:lineRule="auto"/>
            </w:pPr>
            <w:r>
              <w:rPr>
                <w:rFonts w:hint="eastAsia" w:ascii="Times New Roman" w:hAnsi="Times New Roman" w:eastAsia="宋体"/>
                <w:sz w:val="20"/>
              </w:rPr>
              <w:t>交易所事后问询函（T+30日）</w:t>
            </w:r>
          </w:p>
        </w:tc>
        <w:tc>
          <w:p w14:paraId="4AC6F1F2">
            <w:pPr>
              <w:pStyle w:val="26"/>
              <w:spacing w:before="20" w:after="20" w:line="276" w:lineRule="auto"/>
            </w:pPr>
            <w:r>
              <w:rPr>
                <w:rFonts w:hint="eastAsia" w:ascii="Times New Roman" w:hAnsi="Times New Roman" w:eastAsia="宋体"/>
                <w:sz w:val="20"/>
              </w:rPr>
              <w:t>系统实时推送（T+1日）</w:t>
            </w:r>
          </w:p>
        </w:tc>
      </w:tr>
      <w:tr w14:paraId="2F6E55A8">
        <w:tblPrEx>
          <w:tblCellMar>
            <w:top w:w="0" w:type="dxa"/>
            <w:left w:w="108" w:type="dxa"/>
            <w:bottom w:w="0" w:type="dxa"/>
            <w:right w:w="108" w:type="dxa"/>
          </w:tblCellMar>
        </w:tblPrEx>
        <w:trPr>
          <w:cantSplit/>
        </w:trPr>
        <w:tc>
          <w:p w14:paraId="7C7BECC7">
            <w:pPr>
              <w:pStyle w:val="26"/>
              <w:spacing w:before="20" w:after="20" w:line="276" w:lineRule="auto"/>
            </w:pPr>
            <w:r>
              <w:rPr>
                <w:rFonts w:hint="eastAsia" w:ascii="Times New Roman" w:hAnsi="Times New Roman" w:eastAsia="宋体"/>
                <w:b/>
                <w:bCs/>
                <w:sz w:val="20"/>
              </w:rPr>
              <w:t>风险缓释</w:t>
            </w:r>
          </w:p>
        </w:tc>
        <w:tc>
          <w:p w14:paraId="35D77A1C">
            <w:pPr>
              <w:pStyle w:val="26"/>
              <w:spacing w:before="20" w:after="20" w:line="276" w:lineRule="auto"/>
            </w:pPr>
            <w:r>
              <w:rPr>
                <w:rFonts w:hint="eastAsia" w:ascii="Times New Roman" w:hAnsi="Times New Roman" w:eastAsia="宋体"/>
                <w:sz w:val="20"/>
              </w:rPr>
              <w:t>当风险兑现时，有工具对冲损失</w:t>
            </w:r>
          </w:p>
        </w:tc>
        <w:tc>
          <w:p w14:paraId="621B262B">
            <w:pPr>
              <w:pStyle w:val="26"/>
              <w:spacing w:before="20" w:after="20" w:line="276" w:lineRule="auto"/>
            </w:pPr>
            <w:r>
              <w:rPr>
                <w:rFonts w:hint="eastAsia" w:ascii="Times New Roman" w:hAnsi="Times New Roman" w:eastAsia="宋体"/>
                <w:sz w:val="20"/>
              </w:rPr>
              <w:t>无专门针对折旧错配的保险产品</w:t>
            </w:r>
          </w:p>
        </w:tc>
        <w:tc>
          <w:p w14:paraId="7C9AB49A">
            <w:pPr>
              <w:pStyle w:val="26"/>
              <w:spacing w:before="20" w:after="20" w:line="276" w:lineRule="auto"/>
            </w:pPr>
            <w:r>
              <w:rPr>
                <w:rFonts w:hint="eastAsia" w:ascii="Times New Roman" w:hAnsi="Times New Roman" w:eastAsia="宋体"/>
                <w:sz w:val="20"/>
              </w:rPr>
              <w:t>DMVI/ESI创新保险（见</w:t>
            </w:r>
            <w:r>
              <w:rPr>
                <w:rFonts w:ascii="Times New Roman" w:hAnsi="Times New Roman" w:eastAsia="宋体"/>
                <w:sz w:val="20"/>
              </w:rPr>
              <w:t xml:space="preserve"> </w:t>
            </w:r>
            <w:r>
              <w:rPr>
                <w:rFonts w:hint="eastAsia" w:ascii="Times New Roman" w:hAnsi="Times New Roman" w:eastAsia="宋体"/>
                <w:sz w:val="20"/>
              </w:rPr>
              <w:t>5.4.6）</w:t>
            </w:r>
          </w:p>
        </w:tc>
      </w:tr>
      <w:tr w14:paraId="3B9330C6">
        <w:tblPrEx>
          <w:tblCellMar>
            <w:top w:w="0" w:type="dxa"/>
            <w:left w:w="108" w:type="dxa"/>
            <w:bottom w:w="0" w:type="dxa"/>
            <w:right w:w="108" w:type="dxa"/>
          </w:tblCellMar>
        </w:tblPrEx>
        <w:trPr>
          <w:cantSplit/>
        </w:trPr>
        <w:tc>
          <w:p w14:paraId="5CF8E3A9">
            <w:pPr>
              <w:pStyle w:val="26"/>
              <w:spacing w:before="20" w:after="20" w:line="276" w:lineRule="auto"/>
            </w:pPr>
            <w:r>
              <w:rPr>
                <w:rFonts w:hint="eastAsia" w:ascii="Times New Roman" w:hAnsi="Times New Roman" w:eastAsia="宋体"/>
                <w:b/>
                <w:bCs/>
                <w:sz w:val="20"/>
              </w:rPr>
              <w:t>投资者教育</w:t>
            </w:r>
          </w:p>
        </w:tc>
        <w:tc>
          <w:p w14:paraId="508E5742">
            <w:pPr>
              <w:pStyle w:val="26"/>
              <w:spacing w:before="20" w:after="20" w:line="276" w:lineRule="auto"/>
            </w:pPr>
            <w:r>
              <w:rPr>
                <w:rFonts w:hint="eastAsia" w:ascii="Times New Roman" w:hAnsi="Times New Roman" w:eastAsia="宋体"/>
                <w:sz w:val="20"/>
              </w:rPr>
              <w:t>让普通投资者理解“折旧操纵”的危害</w:t>
            </w:r>
          </w:p>
        </w:tc>
        <w:tc>
          <w:p w14:paraId="14FFA7B6">
            <w:pPr>
              <w:pStyle w:val="26"/>
              <w:spacing w:before="20" w:after="20" w:line="276" w:lineRule="auto"/>
            </w:pPr>
            <w:r>
              <w:rPr>
                <w:rFonts w:hint="eastAsia" w:ascii="Times New Roman" w:hAnsi="Times New Roman" w:eastAsia="宋体"/>
                <w:sz w:val="20"/>
              </w:rPr>
              <w:t>极少涉及</w:t>
            </w:r>
          </w:p>
        </w:tc>
        <w:tc>
          <w:p w14:paraId="4B746D1E">
            <w:pPr>
              <w:pStyle w:val="26"/>
              <w:spacing w:before="20" w:after="20" w:line="276" w:lineRule="auto"/>
            </w:pPr>
            <w:r>
              <w:rPr>
                <w:rFonts w:hint="eastAsia" w:ascii="Times New Roman" w:hAnsi="Times New Roman" w:eastAsia="宋体"/>
                <w:sz w:val="20"/>
              </w:rPr>
              <w:t>RAG解释引擎（见</w:t>
            </w:r>
            <w:r>
              <w:rPr>
                <w:rFonts w:ascii="Times New Roman" w:hAnsi="Times New Roman" w:eastAsia="宋体"/>
                <w:sz w:val="20"/>
              </w:rPr>
              <w:t xml:space="preserve"> </w:t>
            </w:r>
            <w:r>
              <w:rPr>
                <w:rFonts w:hint="eastAsia" w:ascii="Times New Roman" w:hAnsi="Times New Roman" w:eastAsia="宋体"/>
                <w:sz w:val="20"/>
              </w:rPr>
              <w:t>6.7，概念设计）</w:t>
            </w:r>
          </w:p>
        </w:tc>
      </w:tr>
      <w:tr w14:paraId="5E8D10C6">
        <w:tblPrEx>
          <w:tblCellMar>
            <w:top w:w="0" w:type="dxa"/>
            <w:left w:w="108" w:type="dxa"/>
            <w:bottom w:w="0" w:type="dxa"/>
            <w:right w:w="108" w:type="dxa"/>
          </w:tblCellMar>
        </w:tblPrEx>
        <w:trPr>
          <w:cantSplit/>
        </w:trPr>
        <w:tc>
          <w:p w14:paraId="26D42E9D">
            <w:pPr>
              <w:pStyle w:val="26"/>
              <w:spacing w:before="20" w:after="20" w:line="276" w:lineRule="auto"/>
            </w:pPr>
            <w:r>
              <w:rPr>
                <w:rFonts w:hint="eastAsia" w:ascii="Times New Roman" w:hAnsi="Times New Roman" w:eastAsia="宋体"/>
                <w:b/>
                <w:bCs/>
                <w:sz w:val="20"/>
              </w:rPr>
              <w:t>监管支持</w:t>
            </w:r>
          </w:p>
        </w:tc>
        <w:tc>
          <w:p w14:paraId="3FE55375">
            <w:pPr>
              <w:pStyle w:val="26"/>
              <w:spacing w:before="20" w:after="20" w:line="276" w:lineRule="auto"/>
            </w:pPr>
            <w:r>
              <w:rPr>
                <w:rFonts w:hint="eastAsia" w:ascii="Times New Roman" w:hAnsi="Times New Roman" w:eastAsia="宋体"/>
                <w:sz w:val="20"/>
              </w:rPr>
              <w:t>为监管者提供“会计估计质量”的独立评估</w:t>
            </w:r>
          </w:p>
        </w:tc>
        <w:tc>
          <w:p w14:paraId="51D9D3FA">
            <w:pPr>
              <w:pStyle w:val="26"/>
              <w:spacing w:before="20" w:after="20" w:line="276" w:lineRule="auto"/>
            </w:pPr>
            <w:r>
              <w:rPr>
                <w:rFonts w:hint="eastAsia" w:ascii="Times New Roman" w:hAnsi="Times New Roman" w:eastAsia="宋体"/>
                <w:sz w:val="20"/>
              </w:rPr>
              <w:t>依赖年报事后审核</w:t>
            </w:r>
          </w:p>
        </w:tc>
        <w:tc>
          <w:p w14:paraId="2154227A">
            <w:pPr>
              <w:pStyle w:val="26"/>
              <w:spacing w:before="20" w:after="20" w:line="276" w:lineRule="auto"/>
            </w:pPr>
            <w:r>
              <w:rPr>
                <w:rFonts w:hint="eastAsia" w:ascii="Times New Roman" w:hAnsi="Times New Roman" w:eastAsia="宋体"/>
                <w:sz w:val="20"/>
              </w:rPr>
              <w:t>面板数据+规则引擎，可追溯可验证</w:t>
            </w:r>
          </w:p>
        </w:tc>
      </w:tr>
    </w:tbl>
    <w:p w14:paraId="0B136BA6">
      <w:pPr>
        <w:pStyle w:val="3"/>
        <w:spacing w:before="40" w:after="40" w:line="360" w:lineRule="auto"/>
        <w:ind w:firstLine="480"/>
      </w:pPr>
      <w:r>
        <w:rPr>
          <w:rFonts w:hint="eastAsia" w:ascii="Times New Roman" w:hAnsi="Times New Roman" w:eastAsia="宋体"/>
          <w:b/>
          <w:bCs/>
          <w:sz w:val="24"/>
        </w:rPr>
        <w:t>关键洞察</w:t>
      </w:r>
      <w:r>
        <w:rPr>
          <w:rFonts w:hint="eastAsia" w:ascii="Times New Roman" w:hAnsi="Times New Roman" w:eastAsia="宋体"/>
          <w:sz w:val="24"/>
        </w:rPr>
        <w:t>：传统风控模型将“折旧”视为会计细节，而市场真实需求是将“折旧错配”视为</w:t>
      </w:r>
      <w:r>
        <w:rPr>
          <w:rFonts w:hint="eastAsia" w:ascii="Times New Roman" w:hAnsi="Times New Roman" w:eastAsia="宋体"/>
          <w:b/>
          <w:bCs/>
          <w:sz w:val="24"/>
        </w:rPr>
        <w:t>独立的金融风险类别</w:t>
      </w:r>
      <w:r>
        <w:rPr>
          <w:rFonts w:hint="eastAsia" w:ascii="Times New Roman" w:hAnsi="Times New Roman" w:eastAsia="宋体"/>
          <w:sz w:val="24"/>
        </w:rPr>
        <w:t>。本项目的核心价值在于：第一个将折旧错配从“会计附注”提升到“风险管理体系”的高度。</w:t>
      </w:r>
    </w:p>
    <w:bookmarkEnd w:id="21"/>
    <w:p w14:paraId="5E3FF9C3">
      <w:pPr>
        <w:pStyle w:val="5"/>
        <w:spacing w:before="240" w:after="120" w:line="360" w:lineRule="auto"/>
      </w:pPr>
      <w:bookmarkStart w:id="22" w:name="调研数据痛点不是假设而是每天都在发生的现实"/>
      <w:r>
        <w:rPr>
          <w:rFonts w:ascii="Times New Roman" w:hAnsi="Times New Roman" w:eastAsia="黑体"/>
          <w:b/>
          <w:color w:val="003366"/>
          <w:sz w:val="24"/>
        </w:rPr>
        <w:t xml:space="preserve">1.6.3 </w:t>
      </w:r>
      <w:r>
        <w:rPr>
          <w:rFonts w:hint="eastAsia" w:ascii="Times New Roman" w:hAnsi="Times New Roman" w:eastAsia="黑体"/>
          <w:b/>
          <w:color w:val="003366"/>
          <w:sz w:val="24"/>
        </w:rPr>
        <w:t>调研数据：痛点不是假设，而是每天都在发生的现实</w:t>
      </w:r>
    </w:p>
    <w:p w14:paraId="6479E7E7">
      <w:pPr>
        <w:pStyle w:val="25"/>
        <w:spacing w:before="40" w:after="40" w:line="360" w:lineRule="auto"/>
        <w:ind w:firstLine="480"/>
      </w:pPr>
      <w:r>
        <w:rPr>
          <w:rFonts w:hint="eastAsia" w:ascii="Times New Roman" w:hAnsi="Times New Roman" w:eastAsia="宋体"/>
          <w:b/>
          <w:bCs/>
          <w:sz w:val="24"/>
        </w:rPr>
        <w:t>（一）数据一：折旧年限延长已成为行业“惯例”</w:t>
      </w:r>
    </w:p>
    <w:p w14:paraId="747D6FBA">
      <w:pPr>
        <w:pStyle w:val="3"/>
        <w:spacing w:before="40" w:after="40" w:line="360" w:lineRule="auto"/>
        <w:ind w:firstLine="480"/>
      </w:pPr>
      <w:r>
        <w:rPr>
          <w:rFonts w:hint="eastAsia" w:ascii="Times New Roman" w:hAnsi="Times New Roman" w:eastAsia="宋体"/>
          <w:sz w:val="24"/>
        </w:rPr>
        <w:t>根据本项目第四章的面板数据分析（见本报告表</w:t>
      </w:r>
      <w:r>
        <w:rPr>
          <w:rFonts w:ascii="Times New Roman" w:hAnsi="Times New Roman" w:eastAsia="宋体"/>
          <w:sz w:val="24"/>
        </w:rPr>
        <w:t xml:space="preserve"> </w:t>
      </w:r>
      <w:r>
        <w:rPr>
          <w:rFonts w:hint="eastAsia" w:ascii="Times New Roman" w:hAnsi="Times New Roman" w:eastAsia="宋体"/>
          <w:sz w:val="24"/>
        </w:rPr>
        <w:t>4-2），2022-2024年间：</w:t>
      </w:r>
    </w:p>
    <w:tbl>
      <w:tblPr>
        <w:tblStyle w:val="43"/>
        <w:tblW w:w="5000" w:type="pct"/>
        <w:tblInd w:w="0" w:type="dxa"/>
        <w:tblLayout w:type="fixed"/>
        <w:tblCellMar>
          <w:top w:w="0" w:type="dxa"/>
          <w:left w:w="108" w:type="dxa"/>
          <w:bottom w:w="0" w:type="dxa"/>
          <w:right w:w="108" w:type="dxa"/>
        </w:tblCellMar>
      </w:tblPr>
      <w:tblGrid>
        <w:gridCol w:w="1092"/>
        <w:gridCol w:w="1821"/>
        <w:gridCol w:w="1821"/>
        <w:gridCol w:w="2368"/>
        <w:gridCol w:w="2186"/>
      </w:tblGrid>
      <w:tr w14:paraId="3F33DCBE">
        <w:tblPrEx>
          <w:tblCellMar>
            <w:top w:w="0" w:type="dxa"/>
            <w:left w:w="108" w:type="dxa"/>
            <w:bottom w:w="0" w:type="dxa"/>
            <w:right w:w="108" w:type="dxa"/>
          </w:tblCellMar>
        </w:tblPrEx>
        <w:trPr>
          <w:cantSplit/>
          <w:tblHeader/>
        </w:trPr>
        <w:tc>
          <w:p w14:paraId="0C96ED82">
            <w:pPr>
              <w:pStyle w:val="26"/>
              <w:spacing w:before="20" w:after="20" w:line="276" w:lineRule="auto"/>
            </w:pPr>
            <w:r>
              <w:rPr>
                <w:rFonts w:hint="eastAsia" w:ascii="Times New Roman" w:hAnsi="Times New Roman" w:eastAsia="宋体"/>
                <w:sz w:val="20"/>
              </w:rPr>
              <w:t>公司</w:t>
            </w:r>
          </w:p>
        </w:tc>
        <w:tc>
          <w:p w14:paraId="5322D605">
            <w:pPr>
              <w:pStyle w:val="26"/>
              <w:spacing w:before="20" w:after="20" w:line="276" w:lineRule="auto"/>
            </w:pPr>
            <w:r>
              <w:rPr>
                <w:rFonts w:hint="eastAsia" w:ascii="Times New Roman" w:hAnsi="Times New Roman" w:eastAsia="宋体"/>
                <w:sz w:val="20"/>
              </w:rPr>
              <w:t>变更前年限</w:t>
            </w:r>
          </w:p>
        </w:tc>
        <w:tc>
          <w:p w14:paraId="56C37CF6">
            <w:pPr>
              <w:pStyle w:val="26"/>
              <w:spacing w:before="20" w:after="20" w:line="276" w:lineRule="auto"/>
            </w:pPr>
            <w:r>
              <w:rPr>
                <w:rFonts w:hint="eastAsia" w:ascii="Times New Roman" w:hAnsi="Times New Roman" w:eastAsia="宋体"/>
                <w:sz w:val="20"/>
              </w:rPr>
              <w:t>变更后年限</w:t>
            </w:r>
          </w:p>
        </w:tc>
        <w:tc>
          <w:p w14:paraId="54F7A966">
            <w:pPr>
              <w:pStyle w:val="26"/>
              <w:spacing w:before="20" w:after="20" w:line="276" w:lineRule="auto"/>
            </w:pPr>
            <w:r>
              <w:rPr>
                <w:rFonts w:hint="eastAsia" w:ascii="Times New Roman" w:hAnsi="Times New Roman" w:eastAsia="宋体"/>
                <w:sz w:val="20"/>
              </w:rPr>
              <w:t>释放利润（年）</w:t>
            </w:r>
          </w:p>
        </w:tc>
        <w:tc>
          <w:p w14:paraId="0B8E7E95">
            <w:pPr>
              <w:pStyle w:val="26"/>
              <w:spacing w:before="20" w:after="20" w:line="276" w:lineRule="auto"/>
            </w:pPr>
            <w:r>
              <w:rPr>
                <w:rFonts w:hint="eastAsia" w:ascii="Times New Roman" w:hAnsi="Times New Roman" w:eastAsia="宋体"/>
                <w:sz w:val="20"/>
              </w:rPr>
              <w:t>占净利润比例</w:t>
            </w:r>
          </w:p>
        </w:tc>
      </w:tr>
      <w:tr w14:paraId="787934BF">
        <w:tblPrEx>
          <w:tblCellMar>
            <w:top w:w="0" w:type="dxa"/>
            <w:left w:w="108" w:type="dxa"/>
            <w:bottom w:w="0" w:type="dxa"/>
            <w:right w:w="108" w:type="dxa"/>
          </w:tblCellMar>
        </w:tblPrEx>
        <w:trPr>
          <w:cantSplit/>
        </w:trPr>
        <w:tc>
          <w:p w14:paraId="1BFF969B">
            <w:pPr>
              <w:pStyle w:val="26"/>
              <w:spacing w:before="20" w:after="20" w:line="276" w:lineRule="auto"/>
            </w:pPr>
            <w:r>
              <w:rPr>
                <w:rFonts w:ascii="Times New Roman" w:hAnsi="Times New Roman" w:eastAsia="宋体"/>
                <w:sz w:val="20"/>
              </w:rPr>
              <w:t>Meta</w:t>
            </w:r>
          </w:p>
        </w:tc>
        <w:tc>
          <w:p w14:paraId="5F0A9746">
            <w:pPr>
              <w:pStyle w:val="26"/>
              <w:spacing w:before="20" w:after="20" w:line="276" w:lineRule="auto"/>
            </w:pPr>
            <w:r>
              <w:rPr>
                <w:rFonts w:hint="eastAsia" w:ascii="Times New Roman" w:hAnsi="Times New Roman" w:eastAsia="宋体"/>
                <w:sz w:val="20"/>
              </w:rPr>
              <w:t>4年</w:t>
            </w:r>
          </w:p>
        </w:tc>
        <w:tc>
          <w:p w14:paraId="203B0683">
            <w:pPr>
              <w:pStyle w:val="26"/>
              <w:spacing w:before="20" w:after="20" w:line="276" w:lineRule="auto"/>
            </w:pPr>
            <w:r>
              <w:rPr>
                <w:rFonts w:hint="eastAsia" w:ascii="Times New Roman" w:hAnsi="Times New Roman" w:eastAsia="宋体"/>
                <w:sz w:val="20"/>
              </w:rPr>
              <w:t>5.5年</w:t>
            </w:r>
          </w:p>
        </w:tc>
        <w:tc>
          <w:p w14:paraId="3AF23678">
            <w:pPr>
              <w:pStyle w:val="26"/>
              <w:spacing w:before="20" w:after="20" w:line="276" w:lineRule="auto"/>
            </w:pPr>
            <w:r>
              <w:rPr>
                <w:rFonts w:ascii="Times New Roman" w:hAnsi="Times New Roman" w:eastAsia="宋体"/>
                <w:sz w:val="20"/>
              </w:rPr>
              <w:t>$2.9B</w:t>
            </w:r>
          </w:p>
        </w:tc>
        <w:tc>
          <w:p w14:paraId="03870DE0">
            <w:pPr>
              <w:pStyle w:val="26"/>
              <w:spacing w:before="20" w:after="20" w:line="276" w:lineRule="auto"/>
            </w:pPr>
            <w:r>
              <w:rPr>
                <w:rFonts w:ascii="Times New Roman" w:hAnsi="Times New Roman" w:eastAsia="宋体"/>
                <w:sz w:val="20"/>
              </w:rPr>
              <w:t>~12%</w:t>
            </w:r>
          </w:p>
        </w:tc>
      </w:tr>
      <w:tr w14:paraId="5A24D300">
        <w:tblPrEx>
          <w:tblCellMar>
            <w:top w:w="0" w:type="dxa"/>
            <w:left w:w="108" w:type="dxa"/>
            <w:bottom w:w="0" w:type="dxa"/>
            <w:right w:w="108" w:type="dxa"/>
          </w:tblCellMar>
        </w:tblPrEx>
        <w:trPr>
          <w:cantSplit/>
        </w:trPr>
        <w:tc>
          <w:p w14:paraId="1CED8CE9">
            <w:pPr>
              <w:pStyle w:val="26"/>
              <w:spacing w:before="20" w:after="20" w:line="276" w:lineRule="auto"/>
            </w:pPr>
            <w:r>
              <w:rPr>
                <w:rFonts w:ascii="Times New Roman" w:hAnsi="Times New Roman" w:eastAsia="宋体"/>
                <w:sz w:val="20"/>
              </w:rPr>
              <w:t>Google</w:t>
            </w:r>
          </w:p>
        </w:tc>
        <w:tc>
          <w:p w14:paraId="027FD358">
            <w:pPr>
              <w:pStyle w:val="26"/>
              <w:spacing w:before="20" w:after="20" w:line="276" w:lineRule="auto"/>
            </w:pPr>
            <w:r>
              <w:rPr>
                <w:rFonts w:hint="eastAsia" w:ascii="Times New Roman" w:hAnsi="Times New Roman" w:eastAsia="宋体"/>
                <w:sz w:val="20"/>
              </w:rPr>
              <w:t>4年</w:t>
            </w:r>
          </w:p>
        </w:tc>
        <w:tc>
          <w:p w14:paraId="2877B12A">
            <w:pPr>
              <w:pStyle w:val="26"/>
              <w:spacing w:before="20" w:after="20" w:line="276" w:lineRule="auto"/>
            </w:pPr>
            <w:r>
              <w:rPr>
                <w:rFonts w:hint="eastAsia" w:ascii="Times New Roman" w:hAnsi="Times New Roman" w:eastAsia="宋体"/>
                <w:sz w:val="20"/>
              </w:rPr>
              <w:t>5-6年</w:t>
            </w:r>
          </w:p>
        </w:tc>
        <w:tc>
          <w:p w14:paraId="18E0D735">
            <w:pPr>
              <w:pStyle w:val="26"/>
              <w:spacing w:before="20" w:after="20" w:line="276" w:lineRule="auto"/>
            </w:pPr>
            <w:r>
              <w:rPr>
                <w:rFonts w:hint="eastAsia" w:ascii="Times New Roman" w:hAnsi="Times New Roman" w:eastAsia="宋体"/>
                <w:sz w:val="20"/>
              </w:rPr>
              <w:t>$3.9B（10-K直接披露：折旧费用减少$3.9B、净利润增加$3.0B）</w:t>
            </w:r>
          </w:p>
        </w:tc>
        <w:tc>
          <w:p w14:paraId="79497F74">
            <w:pPr>
              <w:pStyle w:val="26"/>
              <w:spacing w:before="20" w:after="20" w:line="276" w:lineRule="auto"/>
            </w:pPr>
            <w:r>
              <w:rPr>
                <w:rFonts w:hint="eastAsia" w:ascii="Times New Roman" w:hAnsi="Times New Roman" w:eastAsia="宋体"/>
                <w:sz w:val="20"/>
              </w:rPr>
              <w:t>4.1%（披露口径）</w:t>
            </w:r>
          </w:p>
        </w:tc>
      </w:tr>
      <w:tr w14:paraId="638E419A">
        <w:tblPrEx>
          <w:tblCellMar>
            <w:top w:w="0" w:type="dxa"/>
            <w:left w:w="108" w:type="dxa"/>
            <w:bottom w:w="0" w:type="dxa"/>
            <w:right w:w="108" w:type="dxa"/>
          </w:tblCellMar>
        </w:tblPrEx>
        <w:trPr>
          <w:cantSplit/>
        </w:trPr>
        <w:tc>
          <w:p w14:paraId="7080AD34">
            <w:pPr>
              <w:pStyle w:val="26"/>
              <w:spacing w:before="20" w:after="20" w:line="276" w:lineRule="auto"/>
            </w:pPr>
            <w:r>
              <w:rPr>
                <w:rFonts w:ascii="Times New Roman" w:hAnsi="Times New Roman" w:eastAsia="宋体"/>
                <w:sz w:val="20"/>
              </w:rPr>
              <w:t>Microsoft</w:t>
            </w:r>
          </w:p>
        </w:tc>
        <w:tc>
          <w:p w14:paraId="1F737A57">
            <w:pPr>
              <w:pStyle w:val="26"/>
              <w:spacing w:before="20" w:after="20" w:line="276" w:lineRule="auto"/>
            </w:pPr>
            <w:r>
              <w:rPr>
                <w:rFonts w:hint="eastAsia" w:ascii="Times New Roman" w:hAnsi="Times New Roman" w:eastAsia="宋体"/>
                <w:sz w:val="20"/>
              </w:rPr>
              <w:t>4年</w:t>
            </w:r>
          </w:p>
        </w:tc>
        <w:tc>
          <w:p w14:paraId="0290704E">
            <w:pPr>
              <w:pStyle w:val="26"/>
              <w:spacing w:before="20" w:after="20" w:line="276" w:lineRule="auto"/>
            </w:pPr>
            <w:r>
              <w:rPr>
                <w:rFonts w:hint="eastAsia" w:ascii="Times New Roman" w:hAnsi="Times New Roman" w:eastAsia="宋体"/>
                <w:sz w:val="20"/>
              </w:rPr>
              <w:t>6年</w:t>
            </w:r>
          </w:p>
        </w:tc>
        <w:tc>
          <w:p w14:paraId="3C18CDD9">
            <w:pPr>
              <w:pStyle w:val="26"/>
              <w:spacing w:before="20" w:after="20" w:line="276" w:lineRule="auto"/>
            </w:pPr>
            <w:r>
              <w:rPr>
                <w:rFonts w:hint="eastAsia" w:ascii="Times New Roman" w:hAnsi="Times New Roman" w:eastAsia="宋体"/>
                <w:sz w:val="20"/>
              </w:rPr>
              <w:t>FY2023折旧费用逆势下降$1.6B（$12.6B→$11.0B）；MD&amp;A自认毛利率改善约2个百分点主要来自年限变更</w:t>
            </w:r>
          </w:p>
        </w:tc>
        <w:tc>
          <w:p w14:paraId="27316157">
            <w:pPr>
              <w:pStyle w:val="26"/>
              <w:spacing w:before="20" w:after="20" w:line="276" w:lineRule="auto"/>
            </w:pPr>
            <w:r>
              <w:rPr>
                <w:rFonts w:hint="eastAsia" w:ascii="Times New Roman" w:hAnsi="Times New Roman" w:eastAsia="宋体"/>
                <w:sz w:val="20"/>
              </w:rPr>
              <w:t>本研究估算3-5%</w:t>
            </w:r>
          </w:p>
        </w:tc>
      </w:tr>
      <w:tr w14:paraId="2B23E57F">
        <w:tblPrEx>
          <w:tblCellMar>
            <w:top w:w="0" w:type="dxa"/>
            <w:left w:w="108" w:type="dxa"/>
            <w:bottom w:w="0" w:type="dxa"/>
            <w:right w:w="108" w:type="dxa"/>
          </w:tblCellMar>
        </w:tblPrEx>
        <w:trPr>
          <w:cantSplit/>
        </w:trPr>
        <w:tc>
          <w:p w14:paraId="7EC016DC">
            <w:pPr>
              <w:pStyle w:val="26"/>
              <w:spacing w:before="20" w:after="20" w:line="276" w:lineRule="auto"/>
            </w:pPr>
            <w:r>
              <w:rPr>
                <w:rFonts w:hint="eastAsia" w:ascii="Times New Roman" w:hAnsi="Times New Roman" w:eastAsia="宋体"/>
                <w:sz w:val="20"/>
              </w:rPr>
              <w:t>奥飞数据</w:t>
            </w:r>
          </w:p>
        </w:tc>
        <w:tc>
          <w:p w14:paraId="0AE0F767">
            <w:pPr>
              <w:pStyle w:val="26"/>
              <w:spacing w:before="20" w:after="20" w:line="276" w:lineRule="auto"/>
            </w:pPr>
            <w:r>
              <w:rPr>
                <w:rFonts w:hint="eastAsia" w:ascii="Times New Roman" w:hAnsi="Times New Roman" w:eastAsia="宋体"/>
                <w:sz w:val="20"/>
              </w:rPr>
              <w:t>5年</w:t>
            </w:r>
          </w:p>
        </w:tc>
        <w:tc>
          <w:p w14:paraId="5E9F314A">
            <w:pPr>
              <w:pStyle w:val="26"/>
              <w:spacing w:before="20" w:after="20" w:line="276" w:lineRule="auto"/>
            </w:pPr>
            <w:r>
              <w:rPr>
                <w:rFonts w:hint="eastAsia" w:ascii="Times New Roman" w:hAnsi="Times New Roman" w:eastAsia="宋体"/>
                <w:sz w:val="20"/>
              </w:rPr>
              <w:t>10-20年</w:t>
            </w:r>
          </w:p>
        </w:tc>
        <w:tc>
          <w:p w14:paraId="0AE0FE53">
            <w:pPr>
              <w:pStyle w:val="26"/>
              <w:spacing w:before="20" w:after="20" w:line="276" w:lineRule="auto"/>
            </w:pPr>
            <w:r>
              <w:rPr>
                <w:rFonts w:hint="eastAsia" w:ascii="Times New Roman" w:hAnsi="Times New Roman" w:eastAsia="宋体"/>
                <w:sz w:val="20"/>
              </w:rPr>
              <w:t>扭亏为盈</w:t>
            </w:r>
          </w:p>
        </w:tc>
        <w:tc>
          <w:p w14:paraId="2F0B3CB3">
            <w:pPr>
              <w:pStyle w:val="26"/>
              <w:spacing w:before="20" w:after="20" w:line="276" w:lineRule="auto"/>
            </w:pPr>
            <w:r>
              <w:rPr>
                <w:rFonts w:ascii="Times New Roman" w:hAnsi="Times New Roman" w:eastAsia="宋体"/>
                <w:sz w:val="20"/>
              </w:rPr>
              <w:t>100%+</w:t>
            </w:r>
          </w:p>
        </w:tc>
      </w:tr>
    </w:tbl>
    <w:p w14:paraId="49E16565">
      <w:pPr>
        <w:pStyle w:val="3"/>
        <w:spacing w:before="40" w:after="120" w:line="312" w:lineRule="auto"/>
        <w:ind w:firstLine="0"/>
        <w:jc w:val="left"/>
      </w:pPr>
      <w:r>
        <w:rPr>
          <w:rFonts w:hint="eastAsia" w:ascii="Times New Roman" w:hAnsi="Times New Roman" w:eastAsia="宋体"/>
          <w:i w:val="0"/>
          <w:sz w:val="21"/>
        </w:rPr>
        <w:t>注：数据来源为各公司10-K年报与本报告第四章；Microsoft未直接披露变更的净利润影响金额，3-5%为本研究基于折旧指纹的估算值。</w:t>
      </w:r>
    </w:p>
    <w:p w14:paraId="2E4A7120">
      <w:pPr>
        <w:pStyle w:val="3"/>
        <w:spacing w:before="40" w:after="40" w:line="360" w:lineRule="auto"/>
        <w:ind w:firstLine="480"/>
      </w:pPr>
      <w:r>
        <w:rPr>
          <w:rFonts w:hint="eastAsia" w:ascii="Times New Roman" w:hAnsi="Times New Roman" w:eastAsia="宋体"/>
          <w:b/>
          <w:bCs/>
          <w:sz w:val="24"/>
        </w:rPr>
        <w:t>关键发现</w:t>
      </w:r>
      <w:r>
        <w:rPr>
          <w:rFonts w:hint="eastAsia" w:ascii="Times New Roman" w:hAnsi="Times New Roman" w:eastAsia="宋体"/>
          <w:sz w:val="24"/>
        </w:rPr>
        <w:t>：延长折旧年限不是个别企业的“偶尔为之”，而是AI科技赛道在2022-2024年间的</w:t>
      </w:r>
      <w:r>
        <w:rPr>
          <w:rFonts w:hint="eastAsia" w:ascii="Times New Roman" w:hAnsi="Times New Roman" w:eastAsia="宋体"/>
          <w:b/>
          <w:bCs/>
          <w:sz w:val="24"/>
        </w:rPr>
        <w:t>行业性、集中性、共振性</w:t>
      </w:r>
      <w:r>
        <w:rPr>
          <w:rFonts w:hint="eastAsia" w:ascii="Times New Roman" w:hAnsi="Times New Roman" w:eastAsia="宋体"/>
          <w:sz w:val="24"/>
        </w:rPr>
        <w:t>行为。这种“共振”本身就是系统性风险信号——当所有企业同时选择“最乐观的估计”时，行业的真实盈利能力被集体高估。</w:t>
      </w:r>
    </w:p>
    <w:p w14:paraId="35FD3E3D">
      <w:pPr>
        <w:pStyle w:val="3"/>
        <w:spacing w:before="40" w:after="40" w:line="360" w:lineRule="auto"/>
        <w:ind w:firstLine="480"/>
      </w:pPr>
      <w:r>
        <w:rPr>
          <w:rFonts w:hint="eastAsia" w:ascii="Times New Roman" w:hAnsi="Times New Roman" w:eastAsia="宋体"/>
          <w:b/>
          <w:bCs/>
          <w:sz w:val="24"/>
        </w:rPr>
        <w:t>（二）数据二：市场对折旧变更的反应存在“认知延迟”</w:t>
      </w:r>
    </w:p>
    <w:p w14:paraId="5F1BDDE6">
      <w:pPr>
        <w:pStyle w:val="3"/>
        <w:spacing w:before="40" w:after="40" w:line="360" w:lineRule="auto"/>
        <w:ind w:firstLine="480"/>
      </w:pPr>
      <w:r>
        <w:rPr>
          <w:rFonts w:hint="eastAsia" w:ascii="Times New Roman" w:hAnsi="Times New Roman" w:eastAsia="宋体"/>
          <w:sz w:val="24"/>
        </w:rPr>
        <w:t>本项目对六家hyperscaler折旧变更披露后的股价反应进行了事件研究（见本报告</w:t>
      </w:r>
      <w:r>
        <w:rPr>
          <w:rFonts w:ascii="Times New Roman" w:hAnsi="Times New Roman" w:eastAsia="宋体"/>
          <w:sz w:val="24"/>
        </w:rPr>
        <w:t xml:space="preserve"> 4.3.5 </w:t>
      </w:r>
      <w:r>
        <w:rPr>
          <w:rFonts w:hint="eastAsia" w:ascii="Times New Roman" w:hAnsi="Times New Roman" w:eastAsia="宋体"/>
          <w:sz w:val="24"/>
        </w:rPr>
        <w:t>节），发现：</w:t>
      </w:r>
    </w:p>
    <w:p w14:paraId="2A2BA733">
      <w:pPr>
        <w:pStyle w:val="26"/>
        <w:spacing w:before="40" w:after="40" w:line="360" w:lineRule="auto"/>
        <w:ind w:left="420"/>
      </w:pPr>
      <w:r>
        <w:rPr>
          <w:rFonts w:hint="eastAsia" w:ascii="Times New Roman" w:hAnsi="Times New Roman" w:eastAsia="宋体"/>
          <w:b/>
          <w:bCs/>
          <w:sz w:val="24"/>
        </w:rPr>
        <w:t>短期反应（T+1日）</w:t>
      </w:r>
      <w:r>
        <w:rPr>
          <w:rFonts w:hint="eastAsia" w:ascii="Times New Roman" w:hAnsi="Times New Roman" w:eastAsia="宋体"/>
          <w:sz w:val="24"/>
        </w:rPr>
        <w:t>：股价平均上涨1.2%（市场将“利润释放”解读为利好）</w:t>
      </w:r>
    </w:p>
    <w:p w14:paraId="29314D93">
      <w:pPr>
        <w:pStyle w:val="26"/>
        <w:spacing w:before="40" w:after="40" w:line="360" w:lineRule="auto"/>
        <w:ind w:left="420"/>
      </w:pPr>
      <w:r>
        <w:rPr>
          <w:rFonts w:hint="eastAsia" w:ascii="Times New Roman" w:hAnsi="Times New Roman" w:eastAsia="宋体"/>
          <w:b/>
          <w:bCs/>
          <w:sz w:val="24"/>
        </w:rPr>
        <w:t>中期反应（T+90日）</w:t>
      </w:r>
      <w:r>
        <w:rPr>
          <w:rFonts w:hint="eastAsia" w:ascii="Times New Roman" w:hAnsi="Times New Roman" w:eastAsia="宋体"/>
          <w:sz w:val="24"/>
        </w:rPr>
        <w:t>：股价回到披露前水平（市场开始消化“未来减值风险”）</w:t>
      </w:r>
    </w:p>
    <w:p w14:paraId="60CEC426">
      <w:pPr>
        <w:pStyle w:val="26"/>
        <w:spacing w:before="40" w:after="40" w:line="360" w:lineRule="auto"/>
        <w:ind w:left="420"/>
      </w:pPr>
      <w:r>
        <w:rPr>
          <w:rFonts w:hint="eastAsia" w:ascii="Times New Roman" w:hAnsi="Times New Roman" w:eastAsia="宋体"/>
          <w:b/>
          <w:bCs/>
          <w:sz w:val="24"/>
        </w:rPr>
        <w:t>长期反应（T+365日）</w:t>
      </w:r>
      <w:r>
        <w:rPr>
          <w:rFonts w:hint="eastAsia" w:ascii="Times New Roman" w:hAnsi="Times New Roman" w:eastAsia="宋体"/>
          <w:sz w:val="24"/>
        </w:rPr>
        <w:t>：计提减值的公司股价平均下跌15%（风险兑现）</w:t>
      </w:r>
    </w:p>
    <w:p w14:paraId="6DA8A863">
      <w:pPr>
        <w:pStyle w:val="25"/>
        <w:spacing w:before="40" w:after="40" w:line="360" w:lineRule="auto"/>
        <w:ind w:firstLine="480"/>
      </w:pPr>
      <w:r>
        <w:rPr>
          <w:rFonts w:hint="eastAsia" w:ascii="Times New Roman" w:hAnsi="Times New Roman" w:eastAsia="宋体"/>
          <w:sz w:val="24"/>
        </w:rPr>
        <w:t>这一“认知延迟”现象证明：市场并非有效识别折旧错配风险，而是在风险兑现后才被迫修正。这正是本项目5D-DRS预警系统的价值所在——在“认知延迟”期间提供独立风险评估。</w:t>
      </w:r>
    </w:p>
    <w:p w14:paraId="61B695A0">
      <w:pPr>
        <w:pStyle w:val="3"/>
        <w:spacing w:before="40" w:after="40" w:line="360" w:lineRule="auto"/>
        <w:ind w:firstLine="480"/>
      </w:pPr>
      <w:r>
        <w:rPr>
          <w:rFonts w:hint="eastAsia" w:ascii="Times New Roman" w:hAnsi="Times New Roman" w:eastAsia="宋体"/>
          <w:b/>
          <w:bCs/>
          <w:sz w:val="24"/>
        </w:rPr>
        <w:t>（三）数据三：中国科创板投资者的风险暴露</w:t>
      </w:r>
    </w:p>
    <w:tbl>
      <w:tblPr>
        <w:tblStyle w:val="43"/>
        <w:tblW w:w="5000" w:type="pct"/>
        <w:tblInd w:w="0" w:type="dxa"/>
        <w:tblLayout w:type="autofit"/>
        <w:tblCellMar>
          <w:top w:w="0" w:type="dxa"/>
          <w:left w:w="108" w:type="dxa"/>
          <w:bottom w:w="0" w:type="dxa"/>
          <w:right w:w="108" w:type="dxa"/>
        </w:tblCellMar>
      </w:tblPr>
      <w:tblGrid>
        <w:gridCol w:w="3813"/>
        <w:gridCol w:w="3468"/>
        <w:gridCol w:w="2007"/>
      </w:tblGrid>
      <w:tr w14:paraId="3CCA0B76">
        <w:tblPrEx>
          <w:tblCellMar>
            <w:top w:w="0" w:type="dxa"/>
            <w:left w:w="108" w:type="dxa"/>
            <w:bottom w:w="0" w:type="dxa"/>
            <w:right w:w="108" w:type="dxa"/>
          </w:tblCellMar>
        </w:tblPrEx>
        <w:trPr>
          <w:cantSplit/>
          <w:tblHeader/>
        </w:trPr>
        <w:tc>
          <w:p w14:paraId="472D6827">
            <w:pPr>
              <w:pStyle w:val="26"/>
              <w:spacing w:before="20" w:after="20" w:line="276" w:lineRule="auto"/>
            </w:pPr>
            <w:r>
              <w:rPr>
                <w:rFonts w:hint="eastAsia" w:ascii="Times New Roman" w:hAnsi="Times New Roman" w:eastAsia="宋体"/>
                <w:sz w:val="20"/>
              </w:rPr>
              <w:t>指标</w:t>
            </w:r>
          </w:p>
        </w:tc>
        <w:tc>
          <w:p w14:paraId="6AA06CBE">
            <w:pPr>
              <w:pStyle w:val="26"/>
              <w:spacing w:before="20" w:after="20" w:line="276" w:lineRule="auto"/>
            </w:pPr>
            <w:r>
              <w:rPr>
                <w:rFonts w:hint="eastAsia" w:ascii="Times New Roman" w:hAnsi="Times New Roman" w:eastAsia="宋体"/>
                <w:sz w:val="20"/>
              </w:rPr>
              <w:t>数据</w:t>
            </w:r>
          </w:p>
        </w:tc>
        <w:tc>
          <w:p w14:paraId="6E6A5489">
            <w:pPr>
              <w:pStyle w:val="26"/>
              <w:spacing w:before="20" w:after="20" w:line="276" w:lineRule="auto"/>
            </w:pPr>
            <w:r>
              <w:rPr>
                <w:rFonts w:hint="eastAsia" w:ascii="Times New Roman" w:hAnsi="Times New Roman" w:eastAsia="宋体"/>
                <w:sz w:val="20"/>
              </w:rPr>
              <w:t>来源</w:t>
            </w:r>
          </w:p>
        </w:tc>
      </w:tr>
      <w:tr w14:paraId="562CB52A">
        <w:tblPrEx>
          <w:tblCellMar>
            <w:top w:w="0" w:type="dxa"/>
            <w:left w:w="108" w:type="dxa"/>
            <w:bottom w:w="0" w:type="dxa"/>
            <w:right w:w="108" w:type="dxa"/>
          </w:tblCellMar>
        </w:tblPrEx>
        <w:trPr>
          <w:cantSplit/>
        </w:trPr>
        <w:tc>
          <w:p w14:paraId="5B7ADEE5">
            <w:pPr>
              <w:pStyle w:val="26"/>
              <w:spacing w:before="20" w:after="20" w:line="276" w:lineRule="auto"/>
            </w:pPr>
            <w:r>
              <w:rPr>
                <w:rFonts w:hint="eastAsia" w:ascii="Times New Roman" w:hAnsi="Times New Roman" w:eastAsia="宋体"/>
                <w:sz w:val="20"/>
              </w:rPr>
              <w:t>科创板个人投资者开户数</w:t>
            </w:r>
          </w:p>
        </w:tc>
        <w:tc>
          <w:p w14:paraId="7AA5A98B">
            <w:pPr>
              <w:pStyle w:val="26"/>
              <w:spacing w:before="20" w:after="20" w:line="276" w:lineRule="auto"/>
            </w:pPr>
            <w:r>
              <w:rPr>
                <w:rFonts w:hint="eastAsia" w:ascii="Times New Roman" w:hAnsi="Times New Roman" w:eastAsia="宋体"/>
                <w:sz w:val="20"/>
              </w:rPr>
              <w:t>约300万户（50万门槛）</w:t>
            </w:r>
          </w:p>
        </w:tc>
        <w:tc>
          <w:p w14:paraId="78634C14">
            <w:pPr>
              <w:pStyle w:val="26"/>
              <w:spacing w:before="20" w:after="20" w:line="276" w:lineRule="auto"/>
            </w:pPr>
            <w:r>
              <w:rPr>
                <w:rFonts w:hint="eastAsia" w:ascii="Times New Roman" w:hAnsi="Times New Roman" w:eastAsia="宋体"/>
                <w:sz w:val="20"/>
              </w:rPr>
              <w:t>上交所，2019</w:t>
            </w:r>
          </w:p>
        </w:tc>
      </w:tr>
      <w:tr w14:paraId="3BC1E23E">
        <w:tblPrEx>
          <w:tblCellMar>
            <w:top w:w="0" w:type="dxa"/>
            <w:left w:w="108" w:type="dxa"/>
            <w:bottom w:w="0" w:type="dxa"/>
            <w:right w:w="108" w:type="dxa"/>
          </w:tblCellMar>
        </w:tblPrEx>
        <w:trPr>
          <w:cantSplit/>
        </w:trPr>
        <w:tc>
          <w:p w14:paraId="75CDCBD5">
            <w:pPr>
              <w:pStyle w:val="26"/>
              <w:spacing w:before="20" w:after="20" w:line="276" w:lineRule="auto"/>
            </w:pPr>
            <w:r>
              <w:rPr>
                <w:rFonts w:hint="eastAsia" w:ascii="Times New Roman" w:hAnsi="Times New Roman" w:eastAsia="宋体"/>
                <w:sz w:val="20"/>
              </w:rPr>
              <w:t>公募基金科创板持仓市值</w:t>
            </w:r>
          </w:p>
        </w:tc>
        <w:tc>
          <w:p w14:paraId="0D9D6C71">
            <w:pPr>
              <w:pStyle w:val="26"/>
              <w:spacing w:before="20" w:after="20" w:line="276" w:lineRule="auto"/>
            </w:pPr>
            <w:r>
              <w:rPr>
                <w:rFonts w:hint="eastAsia" w:ascii="Times New Roman" w:hAnsi="Times New Roman" w:eastAsia="宋体"/>
                <w:sz w:val="20"/>
              </w:rPr>
              <w:t>767.88亿元（2021Q1）</w:t>
            </w:r>
          </w:p>
        </w:tc>
        <w:tc>
          <w:p w14:paraId="79332AA6">
            <w:pPr>
              <w:pStyle w:val="26"/>
              <w:spacing w:before="20" w:after="20" w:line="276" w:lineRule="auto"/>
            </w:pPr>
            <w:r>
              <w:rPr>
                <w:rFonts w:hint="eastAsia" w:ascii="Times New Roman" w:hAnsi="Times New Roman" w:eastAsia="宋体"/>
                <w:sz w:val="20"/>
              </w:rPr>
              <w:t>天天基金网</w:t>
            </w:r>
          </w:p>
        </w:tc>
      </w:tr>
      <w:tr w14:paraId="57B37FE9">
        <w:tblPrEx>
          <w:tblCellMar>
            <w:top w:w="0" w:type="dxa"/>
            <w:left w:w="108" w:type="dxa"/>
            <w:bottom w:w="0" w:type="dxa"/>
            <w:right w:w="108" w:type="dxa"/>
          </w:tblCellMar>
        </w:tblPrEx>
        <w:trPr>
          <w:cantSplit/>
        </w:trPr>
        <w:tc>
          <w:p w14:paraId="480C32BA">
            <w:pPr>
              <w:pStyle w:val="26"/>
              <w:spacing w:before="20" w:after="20" w:line="276" w:lineRule="auto"/>
            </w:pPr>
            <w:r>
              <w:rPr>
                <w:rFonts w:hint="eastAsia" w:ascii="Times New Roman" w:hAnsi="Times New Roman" w:eastAsia="宋体"/>
                <w:sz w:val="20"/>
              </w:rPr>
              <w:t>科创板机构投资者交易占比</w:t>
            </w:r>
          </w:p>
        </w:tc>
        <w:tc>
          <w:p w14:paraId="5C47F6B7">
            <w:pPr>
              <w:pStyle w:val="26"/>
              <w:spacing w:before="20" w:after="20" w:line="276" w:lineRule="auto"/>
            </w:pPr>
            <w:r>
              <w:rPr>
                <w:rFonts w:ascii="Times New Roman" w:hAnsi="Times New Roman" w:eastAsia="宋体"/>
                <w:sz w:val="20"/>
              </w:rPr>
              <w:t>&gt;70%</w:t>
            </w:r>
          </w:p>
        </w:tc>
        <w:tc>
          <w:p w14:paraId="38F50ADF">
            <w:pPr>
              <w:pStyle w:val="26"/>
              <w:spacing w:before="20" w:after="20" w:line="276" w:lineRule="auto"/>
            </w:pPr>
            <w:r>
              <w:rPr>
                <w:rFonts w:hint="eastAsia" w:ascii="Times New Roman" w:hAnsi="Times New Roman" w:eastAsia="宋体"/>
                <w:sz w:val="20"/>
              </w:rPr>
              <w:t>上交所，2019</w:t>
            </w:r>
          </w:p>
        </w:tc>
      </w:tr>
      <w:tr w14:paraId="447779A6">
        <w:tblPrEx>
          <w:tblCellMar>
            <w:top w:w="0" w:type="dxa"/>
            <w:left w:w="108" w:type="dxa"/>
            <w:bottom w:w="0" w:type="dxa"/>
            <w:right w:w="108" w:type="dxa"/>
          </w:tblCellMar>
        </w:tblPrEx>
        <w:trPr>
          <w:cantSplit/>
        </w:trPr>
        <w:tc>
          <w:p w14:paraId="584FDC96">
            <w:pPr>
              <w:pStyle w:val="26"/>
              <w:spacing w:before="20" w:after="20" w:line="276" w:lineRule="auto"/>
            </w:pPr>
            <w:r>
              <w:rPr>
                <w:rFonts w:hint="eastAsia" w:ascii="Times New Roman" w:hAnsi="Times New Roman" w:eastAsia="宋体"/>
                <w:sz w:val="20"/>
              </w:rPr>
              <w:t>2023年A股个人投资者数量</w:t>
            </w:r>
          </w:p>
        </w:tc>
        <w:tc>
          <w:p w14:paraId="66171DA7">
            <w:pPr>
              <w:pStyle w:val="26"/>
              <w:spacing w:before="20" w:after="20" w:line="276" w:lineRule="auto"/>
            </w:pPr>
            <w:r>
              <w:rPr>
                <w:rFonts w:hint="eastAsia" w:ascii="Times New Roman" w:hAnsi="Times New Roman" w:eastAsia="宋体"/>
                <w:sz w:val="20"/>
              </w:rPr>
              <w:t>超过2.2亿人</w:t>
            </w:r>
          </w:p>
        </w:tc>
        <w:tc>
          <w:p w14:paraId="28BE5826">
            <w:pPr>
              <w:pStyle w:val="26"/>
              <w:spacing w:before="20" w:after="20" w:line="276" w:lineRule="auto"/>
            </w:pPr>
            <w:r>
              <w:rPr>
                <w:rFonts w:hint="eastAsia" w:ascii="Times New Roman" w:hAnsi="Times New Roman" w:eastAsia="宋体"/>
                <w:sz w:val="20"/>
              </w:rPr>
              <w:t>申万宏源研究</w:t>
            </w:r>
          </w:p>
        </w:tc>
      </w:tr>
    </w:tbl>
    <w:p w14:paraId="4E3D31A9">
      <w:pPr>
        <w:pStyle w:val="3"/>
        <w:spacing w:before="40" w:after="40" w:line="360" w:lineRule="auto"/>
        <w:ind w:firstLine="480"/>
      </w:pPr>
      <w:r>
        <w:rPr>
          <w:rFonts w:hint="eastAsia" w:ascii="Times New Roman" w:hAnsi="Times New Roman" w:eastAsia="宋体"/>
          <w:b/>
          <w:bCs/>
          <w:sz w:val="24"/>
        </w:rPr>
        <w:t>推算</w:t>
      </w:r>
      <w:r>
        <w:rPr>
          <w:rFonts w:hint="eastAsia" w:ascii="Times New Roman" w:hAnsi="Times New Roman" w:eastAsia="宋体"/>
          <w:sz w:val="24"/>
        </w:rPr>
        <w:t>：如果科创板科技企业中存在5%-10%的折旧错配率（基于本项目中国验证集的保守估计），意味着数百亿元的投资暴露在“未识别的会计风险”之下。这不仅是数字，更是数百万投资者的真实财富。</w:t>
      </w:r>
    </w:p>
    <w:bookmarkEnd w:id="22"/>
    <w:p w14:paraId="41C8D628">
      <w:pPr>
        <w:pStyle w:val="5"/>
        <w:spacing w:before="240" w:after="120" w:line="360" w:lineRule="auto"/>
      </w:pPr>
      <w:bookmarkStart w:id="23" w:name="诚实声明本项目的边界与局限"/>
      <w:r>
        <w:rPr>
          <w:rFonts w:ascii="Times New Roman" w:hAnsi="Times New Roman" w:eastAsia="黑体"/>
          <w:b/>
          <w:color w:val="003366"/>
          <w:sz w:val="24"/>
        </w:rPr>
        <w:t xml:space="preserve">1.6.4 </w:t>
      </w:r>
      <w:r>
        <w:rPr>
          <w:rFonts w:hint="eastAsia" w:ascii="Times New Roman" w:hAnsi="Times New Roman" w:eastAsia="黑体"/>
          <w:b/>
          <w:color w:val="003366"/>
          <w:sz w:val="24"/>
        </w:rPr>
        <w:t>诚实声明：本项目的边界与局限</w:t>
      </w:r>
    </w:p>
    <w:p w14:paraId="69EB68FB">
      <w:pPr>
        <w:pStyle w:val="25"/>
        <w:spacing w:before="40" w:after="40" w:line="360" w:lineRule="auto"/>
        <w:ind w:firstLine="480"/>
      </w:pPr>
      <w:r>
        <w:rPr>
          <w:rFonts w:hint="eastAsia" w:ascii="Times New Roman" w:hAnsi="Times New Roman" w:eastAsia="宋体"/>
          <w:sz w:val="24"/>
        </w:rPr>
        <w:t>我们清醒地认识到本项目的局限：</w:t>
      </w:r>
    </w:p>
    <w:p w14:paraId="2EBF857B">
      <w:pPr>
        <w:pStyle w:val="26"/>
        <w:numPr>
          <w:ilvl w:val="0"/>
          <w:numId w:val="2"/>
        </w:numPr>
        <w:spacing w:before="40" w:after="40" w:line="360" w:lineRule="auto"/>
        <w:ind w:firstLine="480"/>
      </w:pPr>
      <w:r>
        <w:rPr>
          <w:rFonts w:hint="eastAsia" w:ascii="Times New Roman" w:hAnsi="Times New Roman" w:eastAsia="宋体"/>
          <w:b/>
          <w:bCs/>
          <w:sz w:val="24"/>
        </w:rPr>
        <w:t>样本局限：当前验证集已覆盖10家中国A股企业（FY2022-2024共30份年报），样本代表性显著增强，但距离建立统计显著性（50-100家）仍有差距；</w:t>
      </w:r>
      <w:r>
        <w:rPr>
          <w:rFonts w:hint="eastAsia" w:ascii="Times New Roman" w:hAnsi="Times New Roman" w:eastAsia="宋体"/>
          <w:sz w:val="24"/>
        </w:rPr>
      </w:r>
    </w:p>
    <w:p w14:paraId="0F1EE449">
      <w:pPr>
        <w:pStyle w:val="26"/>
        <w:numPr>
          <w:ilvl w:val="0"/>
          <w:numId w:val="2"/>
        </w:numPr>
        <w:spacing w:before="40" w:after="40" w:line="360" w:lineRule="auto"/>
        <w:ind w:firstLine="480"/>
      </w:pPr>
      <w:r>
        <w:rPr>
          <w:rFonts w:hint="eastAsia" w:ascii="Times New Roman" w:hAnsi="Times New Roman" w:eastAsia="宋体"/>
          <w:b/>
          <w:bCs/>
          <w:sz w:val="24"/>
        </w:rPr>
        <w:t>因果局限</w:t>
      </w:r>
      <w:r>
        <w:rPr>
          <w:rFonts w:hint="eastAsia" w:ascii="Times New Roman" w:hAnsi="Times New Roman" w:eastAsia="宋体"/>
          <w:sz w:val="24"/>
        </w:rPr>
        <w:t>：5D-DRS评分识别的是“相关性”（折旧年限与行业基准的偏离），而非严格“因果性”（故意操纵）；</w:t>
      </w:r>
    </w:p>
    <w:p w14:paraId="743BF530">
      <w:pPr>
        <w:pStyle w:val="26"/>
        <w:numPr>
          <w:ilvl w:val="0"/>
          <w:numId w:val="2"/>
        </w:numPr>
        <w:spacing w:before="40" w:after="40" w:line="360" w:lineRule="auto"/>
        <w:ind w:firstLine="480"/>
      </w:pPr>
      <w:r>
        <w:rPr>
          <w:rFonts w:hint="eastAsia" w:ascii="Times New Roman" w:hAnsi="Times New Roman" w:eastAsia="宋体"/>
          <w:b/>
          <w:bCs/>
          <w:sz w:val="24"/>
        </w:rPr>
        <w:t>市场局限</w:t>
      </w:r>
      <w:r>
        <w:rPr>
          <w:rFonts w:hint="eastAsia" w:ascii="Times New Roman" w:hAnsi="Times New Roman" w:eastAsia="宋体"/>
          <w:sz w:val="24"/>
        </w:rPr>
        <w:t>：DMVI/ESI保险产品的定价参数为概念设计，实际落地需精算数据支撑；</w:t>
      </w:r>
    </w:p>
    <w:p w14:paraId="02E4E27E">
      <w:pPr>
        <w:pStyle w:val="26"/>
        <w:numPr>
          <w:ilvl w:val="0"/>
          <w:numId w:val="2"/>
        </w:numPr>
        <w:spacing w:before="40" w:after="40" w:line="360" w:lineRule="auto"/>
        <w:ind w:firstLine="480"/>
      </w:pPr>
      <w:r>
        <w:rPr>
          <w:rFonts w:hint="eastAsia" w:ascii="Times New Roman" w:hAnsi="Times New Roman" w:eastAsia="宋体"/>
          <w:b/>
          <w:bCs/>
          <w:sz w:val="24"/>
        </w:rPr>
        <w:t>监管局限</w:t>
      </w:r>
      <w:r>
        <w:rPr>
          <w:rFonts w:hint="eastAsia" w:ascii="Times New Roman" w:hAnsi="Times New Roman" w:eastAsia="宋体"/>
          <w:sz w:val="24"/>
        </w:rPr>
        <w:t>：本项目不能替代审计职能，也不能替代交易所的监管问询，而是作为“第三只眼”提供独立视角。</w:t>
      </w:r>
    </w:p>
    <w:bookmarkEnd w:id="19"/>
    <w:bookmarkEnd w:id="23"/>
    <w:p w14:paraId="38BBCE50">
      <w:pPr>
        <w:pStyle w:val="4"/>
        <w:spacing w:before="320" w:after="160" w:line="360" w:lineRule="auto"/>
      </w:pPr>
      <w:bookmarkStart w:id="24" w:name="_Toc13022"/>
      <w:bookmarkStart w:id="25" w:name="国家战略响应从识别工具到制度基础设施"/>
      <w:r>
        <w:rPr>
          <w:rFonts w:ascii="Times New Roman" w:hAnsi="Times New Roman" w:eastAsia="黑体"/>
          <w:b/>
          <w:color w:val="003366"/>
          <w:sz w:val="28"/>
        </w:rPr>
        <w:t xml:space="preserve">1.7 </w:t>
      </w:r>
      <w:r>
        <w:rPr>
          <w:rFonts w:hint="eastAsia" w:ascii="Times New Roman" w:hAnsi="Times New Roman" w:eastAsia="黑体"/>
          <w:b/>
          <w:color w:val="003366"/>
          <w:sz w:val="28"/>
        </w:rPr>
        <w:t>国家战略响应：从“识别工具”到“制度基础设施”</w:t>
      </w:r>
      <w:bookmarkEnd w:id="24"/>
    </w:p>
    <w:p w14:paraId="113F26F5">
      <w:pPr>
        <w:pStyle w:val="25"/>
        <w:spacing w:before="40" w:after="40" w:line="360" w:lineRule="auto"/>
        <w:ind w:firstLine="480"/>
      </w:pPr>
      <w:r>
        <w:rPr>
          <w:rFonts w:hint="eastAsia" w:ascii="Times New Roman" w:hAnsi="Times New Roman" w:eastAsia="宋体"/>
          <w:sz w:val="24"/>
        </w:rPr>
        <w:t>本项目的设计初衷不仅是开发一套识别算法，更是希望在资本市场服务国家高水平科技自立自强的宏大叙事中，找到一个切实的切入点。党的二十大报告将“实现高水平科技自立自强”纳入国家战略，二十届四中全会进一步提出“加快高水平科技自立自强，引领发展新质生产力”。在这一顶层设计下，资本市场如何精准识别科创企业的真实风险、如何为“投早、投小、投硬科技”提供制度保障，成为亟待破解的现实课题。本项目提出的5D-DRS折旧风险识别体系与保险缓释机制，正是对这一国家战略的具体响应。</w:t>
      </w:r>
    </w:p>
    <w:p w14:paraId="4B0BB09C">
      <w:pPr>
        <w:pStyle w:val="5"/>
        <w:spacing w:before="240" w:after="120" w:line="360" w:lineRule="auto"/>
      </w:pPr>
      <w:bookmarkStart w:id="26" w:name="政策映射表本项目与国家顶层设计的对应关系"/>
      <w:r>
        <w:rPr>
          <w:rFonts w:ascii="Times New Roman" w:hAnsi="Times New Roman" w:eastAsia="黑体"/>
          <w:b/>
          <w:color w:val="003366"/>
          <w:sz w:val="24"/>
        </w:rPr>
        <w:t xml:space="preserve">1.7.1 </w:t>
      </w:r>
      <w:r>
        <w:rPr>
          <w:rFonts w:hint="eastAsia" w:ascii="Times New Roman" w:hAnsi="Times New Roman" w:eastAsia="黑体"/>
          <w:b/>
          <w:color w:val="003366"/>
          <w:sz w:val="24"/>
        </w:rPr>
        <w:t>政策映射表：本项目与国家顶层设计的对应关系</w:t>
      </w:r>
    </w:p>
    <w:p w14:paraId="045D68D8">
      <w:pPr>
        <w:pStyle w:val="25"/>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1-2 </w:t>
      </w:r>
      <w:r>
        <w:rPr>
          <w:rFonts w:hint="eastAsia" w:ascii="Times New Roman" w:hAnsi="Times New Roman" w:eastAsia="宋体"/>
          <w:i w:val="0"/>
          <w:sz w:val="21"/>
        </w:rPr>
        <w:t>政策映射表——本项目与国家顶层设计的对应关系</w:t>
      </w:r>
    </w:p>
    <w:tbl>
      <w:tblPr>
        <w:tblStyle w:val="43"/>
        <w:tblW w:w="5000" w:type="pct"/>
        <w:tblInd w:w="0" w:type="dxa"/>
        <w:tblLayout w:type="fixed"/>
        <w:tblCellMar>
          <w:top w:w="0" w:type="dxa"/>
          <w:left w:w="108" w:type="dxa"/>
          <w:bottom w:w="0" w:type="dxa"/>
          <w:right w:w="108" w:type="dxa"/>
        </w:tblCellMar>
      </w:tblPr>
      <w:tblGrid>
        <w:gridCol w:w="1900"/>
        <w:gridCol w:w="2744"/>
        <w:gridCol w:w="2744"/>
        <w:gridCol w:w="1900"/>
      </w:tblGrid>
      <w:tr w14:paraId="1E1B50AE">
        <w:tblPrEx>
          <w:tblCellMar>
            <w:top w:w="0" w:type="dxa"/>
            <w:left w:w="108" w:type="dxa"/>
            <w:bottom w:w="0" w:type="dxa"/>
            <w:right w:w="108" w:type="dxa"/>
          </w:tblCellMar>
        </w:tblPrEx>
        <w:trPr>
          <w:cantSplit/>
          <w:tblHeader/>
        </w:trPr>
        <w:tc>
          <w:p w14:paraId="2EF28DB3">
            <w:pPr>
              <w:pStyle w:val="26"/>
              <w:spacing w:before="20" w:after="20" w:line="276" w:lineRule="auto"/>
            </w:pPr>
            <w:r>
              <w:rPr>
                <w:rFonts w:hint="eastAsia" w:ascii="Times New Roman" w:hAnsi="Times New Roman" w:eastAsia="宋体"/>
                <w:sz w:val="20"/>
              </w:rPr>
              <w:t>政策层级</w:t>
            </w:r>
          </w:p>
        </w:tc>
        <w:tc>
          <w:p w14:paraId="643C8499">
            <w:pPr>
              <w:pStyle w:val="26"/>
              <w:spacing w:before="20" w:after="20" w:line="276" w:lineRule="auto"/>
            </w:pPr>
            <w:r>
              <w:rPr>
                <w:rFonts w:hint="eastAsia" w:ascii="Times New Roman" w:hAnsi="Times New Roman" w:eastAsia="宋体"/>
                <w:sz w:val="20"/>
              </w:rPr>
              <w:t>核心文件/表述</w:t>
            </w:r>
          </w:p>
        </w:tc>
        <w:tc>
          <w:p w14:paraId="2CF03400">
            <w:pPr>
              <w:pStyle w:val="26"/>
              <w:spacing w:before="20" w:after="20" w:line="276" w:lineRule="auto"/>
            </w:pPr>
            <w:r>
              <w:rPr>
                <w:rFonts w:hint="eastAsia" w:ascii="Times New Roman" w:hAnsi="Times New Roman" w:eastAsia="宋体"/>
                <w:sz w:val="20"/>
              </w:rPr>
              <w:t>本项目响应点</w:t>
            </w:r>
          </w:p>
        </w:tc>
        <w:tc>
          <w:p w14:paraId="59CEAAFA">
            <w:pPr>
              <w:pStyle w:val="26"/>
              <w:spacing w:before="20" w:after="20" w:line="276" w:lineRule="auto"/>
            </w:pPr>
            <w:r>
              <w:rPr>
                <w:rFonts w:hint="eastAsia" w:ascii="Times New Roman" w:hAnsi="Times New Roman" w:eastAsia="宋体"/>
                <w:sz w:val="20"/>
              </w:rPr>
              <w:t>对应章节</w:t>
            </w:r>
          </w:p>
        </w:tc>
      </w:tr>
      <w:tr w14:paraId="40562F6D">
        <w:tblPrEx>
          <w:tblCellMar>
            <w:top w:w="0" w:type="dxa"/>
            <w:left w:w="108" w:type="dxa"/>
            <w:bottom w:w="0" w:type="dxa"/>
            <w:right w:w="108" w:type="dxa"/>
          </w:tblCellMar>
        </w:tblPrEx>
        <w:trPr>
          <w:cantSplit/>
        </w:trPr>
        <w:tc>
          <w:p w14:paraId="156623EE">
            <w:pPr>
              <w:pStyle w:val="26"/>
              <w:spacing w:before="20" w:after="20" w:line="276" w:lineRule="auto"/>
            </w:pPr>
            <w:r>
              <w:rPr>
                <w:rFonts w:hint="eastAsia" w:ascii="Times New Roman" w:hAnsi="Times New Roman" w:eastAsia="宋体"/>
                <w:b/>
                <w:bCs/>
                <w:sz w:val="20"/>
              </w:rPr>
              <w:t>党中央</w:t>
            </w:r>
          </w:p>
        </w:tc>
        <w:tc>
          <w:p w14:paraId="20D6BC15">
            <w:pPr>
              <w:pStyle w:val="26"/>
              <w:spacing w:before="20" w:after="20" w:line="276" w:lineRule="auto"/>
            </w:pPr>
            <w:r>
              <w:rPr>
                <w:rFonts w:hint="eastAsia" w:ascii="Times New Roman" w:hAnsi="Times New Roman" w:eastAsia="宋体"/>
                <w:sz w:val="20"/>
              </w:rPr>
              <w:t>党的二十大报告：“实现高水平科技自立自强”</w:t>
            </w:r>
          </w:p>
        </w:tc>
        <w:tc>
          <w:p w14:paraId="79B40885">
            <w:pPr>
              <w:pStyle w:val="26"/>
              <w:spacing w:before="20" w:after="20" w:line="276" w:lineRule="auto"/>
            </w:pPr>
            <w:r>
              <w:rPr>
                <w:rFonts w:hint="eastAsia" w:ascii="Times New Roman" w:hAnsi="Times New Roman" w:eastAsia="宋体"/>
                <w:sz w:val="20"/>
              </w:rPr>
              <w:t>识别科创企业资产折旧错配风险，防止“伪科技”企业凭借会计估计操纵融资</w:t>
            </w:r>
          </w:p>
        </w:tc>
        <w:tc>
          <w:p w14:paraId="349DC527">
            <w:pPr>
              <w:pStyle w:val="26"/>
              <w:spacing w:before="20" w:after="20" w:line="276" w:lineRule="auto"/>
            </w:pPr>
            <w:r>
              <w:rPr>
                <w:rFonts w:hint="eastAsia" w:ascii="Times New Roman" w:hAnsi="Times New Roman" w:eastAsia="宋体"/>
                <w:sz w:val="20"/>
              </w:rPr>
              <w:t>全文</w:t>
            </w:r>
          </w:p>
        </w:tc>
      </w:tr>
      <w:tr w14:paraId="1DB12281">
        <w:tblPrEx>
          <w:tblCellMar>
            <w:top w:w="0" w:type="dxa"/>
            <w:left w:w="108" w:type="dxa"/>
            <w:bottom w:w="0" w:type="dxa"/>
            <w:right w:w="108" w:type="dxa"/>
          </w:tblCellMar>
        </w:tblPrEx>
        <w:trPr>
          <w:cantSplit/>
        </w:trPr>
        <w:tc>
          <w:p w14:paraId="673A09F9">
            <w:pPr>
              <w:pStyle w:val="26"/>
              <w:spacing w:before="20" w:after="20" w:line="276" w:lineRule="auto"/>
            </w:pPr>
            <w:r>
              <w:rPr>
                <w:rFonts w:hint="eastAsia" w:ascii="Times New Roman" w:hAnsi="Times New Roman" w:eastAsia="宋体"/>
                <w:b/>
                <w:bCs/>
                <w:sz w:val="20"/>
              </w:rPr>
              <w:t>党中央</w:t>
            </w:r>
          </w:p>
        </w:tc>
        <w:tc>
          <w:p w14:paraId="2EE96E11">
            <w:pPr>
              <w:pStyle w:val="26"/>
              <w:spacing w:before="20" w:after="20" w:line="276" w:lineRule="auto"/>
            </w:pPr>
            <w:r>
              <w:rPr>
                <w:rFonts w:hint="eastAsia" w:ascii="Times New Roman" w:hAnsi="Times New Roman" w:eastAsia="宋体"/>
                <w:sz w:val="20"/>
              </w:rPr>
              <w:t>二十届四中全会：“加快高水平科技自立自强，引领发展新质生产力”</w:t>
            </w:r>
          </w:p>
        </w:tc>
        <w:tc>
          <w:p w14:paraId="5E18B5B0">
            <w:pPr>
              <w:pStyle w:val="26"/>
              <w:spacing w:before="20" w:after="20" w:line="276" w:lineRule="auto"/>
            </w:pPr>
            <w:r>
              <w:rPr>
                <w:rFonts w:hint="eastAsia" w:ascii="Times New Roman" w:hAnsi="Times New Roman" w:eastAsia="宋体"/>
                <w:sz w:val="20"/>
              </w:rPr>
              <w:t>为AI、云计算、集成电路等新质生产力核心赛道的投资者提供风险识别工具</w:t>
            </w:r>
          </w:p>
        </w:tc>
        <w:tc>
          <w:p w14:paraId="37DC99EA">
            <w:pPr>
              <w:pStyle w:val="26"/>
              <w:spacing w:before="20" w:after="20" w:line="276" w:lineRule="auto"/>
            </w:pPr>
            <w:r>
              <w:rPr>
                <w:rFonts w:hint="eastAsia" w:ascii="Times New Roman" w:hAnsi="Times New Roman" w:eastAsia="宋体"/>
                <w:sz w:val="20"/>
              </w:rPr>
              <w:t>第1章、第4章</w:t>
            </w:r>
          </w:p>
        </w:tc>
      </w:tr>
      <w:tr w14:paraId="4D584009">
        <w:tblPrEx>
          <w:tblCellMar>
            <w:top w:w="0" w:type="dxa"/>
            <w:left w:w="108" w:type="dxa"/>
            <w:bottom w:w="0" w:type="dxa"/>
            <w:right w:w="108" w:type="dxa"/>
          </w:tblCellMar>
        </w:tblPrEx>
        <w:trPr>
          <w:cantSplit/>
        </w:trPr>
        <w:tc>
          <w:p w14:paraId="2DA692E0">
            <w:pPr>
              <w:pStyle w:val="26"/>
              <w:spacing w:before="20" w:after="20" w:line="276" w:lineRule="auto"/>
            </w:pPr>
            <w:r>
              <w:rPr>
                <w:rFonts w:hint="eastAsia" w:ascii="Times New Roman" w:hAnsi="Times New Roman" w:eastAsia="宋体"/>
                <w:b/>
                <w:bCs/>
                <w:sz w:val="20"/>
              </w:rPr>
              <w:t>国务院</w:t>
            </w:r>
          </w:p>
        </w:tc>
        <w:tc>
          <w:p w14:paraId="7901E023">
            <w:pPr>
              <w:pStyle w:val="26"/>
              <w:spacing w:before="20" w:after="20" w:line="276" w:lineRule="auto"/>
            </w:pPr>
            <w:r>
              <w:rPr>
                <w:rFonts w:hint="eastAsia" w:ascii="Times New Roman" w:hAnsi="Times New Roman" w:eastAsia="宋体"/>
                <w:sz w:val="20"/>
              </w:rPr>
              <w:t>国发〔2024〕10号：《关于加强监管防范风险推动资本市场高质量发展的若干意见》</w:t>
            </w:r>
          </w:p>
        </w:tc>
        <w:tc>
          <w:p w14:paraId="0363228F">
            <w:pPr>
              <w:pStyle w:val="26"/>
              <w:spacing w:before="20" w:after="20" w:line="276" w:lineRule="auto"/>
            </w:pPr>
            <w:r>
              <w:rPr>
                <w:rFonts w:hint="eastAsia" w:ascii="Times New Roman" w:hAnsi="Times New Roman" w:eastAsia="宋体"/>
                <w:sz w:val="20"/>
              </w:rPr>
              <w:t>识别折旧错配导致的财务信息失真，防范资本市场系统性风险</w:t>
            </w:r>
          </w:p>
        </w:tc>
        <w:tc>
          <w:p w14:paraId="31E90522">
            <w:pPr>
              <w:pStyle w:val="26"/>
              <w:spacing w:before="20" w:after="20" w:line="276" w:lineRule="auto"/>
            </w:pPr>
            <w:r>
              <w:rPr>
                <w:rFonts w:hint="eastAsia" w:ascii="Times New Roman" w:hAnsi="Times New Roman" w:eastAsia="宋体"/>
                <w:sz w:val="20"/>
              </w:rPr>
              <w:t>第2章、第5章</w:t>
            </w:r>
          </w:p>
        </w:tc>
      </w:tr>
      <w:tr w14:paraId="03858F54">
        <w:tblPrEx>
          <w:tblCellMar>
            <w:top w:w="0" w:type="dxa"/>
            <w:left w:w="108" w:type="dxa"/>
            <w:bottom w:w="0" w:type="dxa"/>
            <w:right w:w="108" w:type="dxa"/>
          </w:tblCellMar>
        </w:tblPrEx>
        <w:trPr>
          <w:cantSplit/>
        </w:trPr>
        <w:tc>
          <w:p w14:paraId="307250D6">
            <w:pPr>
              <w:pStyle w:val="26"/>
              <w:spacing w:before="20" w:after="20" w:line="276" w:lineRule="auto"/>
            </w:pPr>
            <w:r>
              <w:rPr>
                <w:rFonts w:hint="eastAsia" w:ascii="Times New Roman" w:hAnsi="Times New Roman" w:eastAsia="宋体"/>
                <w:b/>
                <w:bCs/>
                <w:sz w:val="20"/>
              </w:rPr>
              <w:t>证监会</w:t>
            </w:r>
          </w:p>
        </w:tc>
        <w:tc>
          <w:p w14:paraId="3AD539CA">
            <w:pPr>
              <w:pStyle w:val="26"/>
              <w:spacing w:before="20" w:after="20" w:line="276" w:lineRule="auto"/>
            </w:pPr>
            <w:r>
              <w:rPr>
                <w:rFonts w:hint="eastAsia" w:ascii="Times New Roman" w:hAnsi="Times New Roman" w:eastAsia="宋体"/>
                <w:sz w:val="20"/>
              </w:rPr>
              <w:t>《关于深化科创板改革服务科技创新和新质生产力发展的八条措施》（2024.6.19）</w:t>
            </w:r>
          </w:p>
        </w:tc>
        <w:tc>
          <w:p w14:paraId="59F10563">
            <w:pPr>
              <w:pStyle w:val="26"/>
              <w:spacing w:before="20" w:after="20" w:line="276" w:lineRule="auto"/>
            </w:pPr>
            <w:r>
              <w:rPr>
                <w:rFonts w:hint="eastAsia" w:ascii="Times New Roman" w:hAnsi="Times New Roman" w:eastAsia="宋体"/>
                <w:sz w:val="20"/>
              </w:rPr>
              <w:t>为科创板“硬科技”企业的会计估计质量提供独立评估维度，完善精准识别机制</w:t>
            </w:r>
          </w:p>
        </w:tc>
        <w:tc>
          <w:p w14:paraId="7A8BAEE0">
            <w:pPr>
              <w:pStyle w:val="26"/>
              <w:spacing w:before="20" w:after="20" w:line="276" w:lineRule="auto"/>
            </w:pPr>
            <w:r>
              <w:rPr>
                <w:rFonts w:hint="eastAsia" w:ascii="Times New Roman" w:hAnsi="Times New Roman" w:eastAsia="宋体"/>
                <w:sz w:val="20"/>
              </w:rPr>
              <w:t>第6章</w:t>
            </w:r>
          </w:p>
        </w:tc>
      </w:tr>
      <w:tr w14:paraId="223AB5AA">
        <w:tblPrEx>
          <w:tblCellMar>
            <w:top w:w="0" w:type="dxa"/>
            <w:left w:w="108" w:type="dxa"/>
            <w:bottom w:w="0" w:type="dxa"/>
            <w:right w:w="108" w:type="dxa"/>
          </w:tblCellMar>
        </w:tblPrEx>
        <w:trPr>
          <w:cantSplit/>
        </w:trPr>
        <w:tc>
          <w:p w14:paraId="7E12EF55">
            <w:pPr>
              <w:pStyle w:val="26"/>
              <w:spacing w:before="20" w:after="20" w:line="276" w:lineRule="auto"/>
            </w:pPr>
            <w:r>
              <w:rPr>
                <w:rFonts w:hint="eastAsia" w:ascii="Times New Roman" w:hAnsi="Times New Roman" w:eastAsia="宋体"/>
                <w:b/>
                <w:bCs/>
                <w:sz w:val="20"/>
              </w:rPr>
              <w:t>证监会</w:t>
            </w:r>
          </w:p>
        </w:tc>
        <w:tc>
          <w:p w14:paraId="4EEC08CE">
            <w:pPr>
              <w:pStyle w:val="26"/>
              <w:spacing w:before="20" w:after="20" w:line="276" w:lineRule="auto"/>
            </w:pPr>
            <w:r>
              <w:rPr>
                <w:rFonts w:hint="eastAsia" w:ascii="Times New Roman" w:hAnsi="Times New Roman" w:eastAsia="宋体"/>
                <w:sz w:val="20"/>
              </w:rPr>
              <w:t>《关于资本市场做好金融“五篇大文章”的实施意见》（2025.2）</w:t>
            </w:r>
          </w:p>
        </w:tc>
        <w:tc>
          <w:p w14:paraId="190FAEDF">
            <w:pPr>
              <w:pStyle w:val="26"/>
              <w:spacing w:before="20" w:after="20" w:line="276" w:lineRule="auto"/>
            </w:pPr>
            <w:r>
              <w:rPr>
                <w:rFonts w:hint="eastAsia" w:ascii="Times New Roman" w:hAnsi="Times New Roman" w:eastAsia="宋体"/>
                <w:sz w:val="20"/>
              </w:rPr>
              <w:t>科技金融篇：为科技金融提供“风险识别基础设施”，降低信息不对称</w:t>
            </w:r>
          </w:p>
        </w:tc>
        <w:tc>
          <w:p w14:paraId="6C9504CB">
            <w:pPr>
              <w:pStyle w:val="26"/>
              <w:spacing w:before="20" w:after="20" w:line="276" w:lineRule="auto"/>
            </w:pPr>
            <w:r>
              <w:rPr>
                <w:rFonts w:hint="eastAsia" w:ascii="Times New Roman" w:hAnsi="Times New Roman" w:eastAsia="宋体"/>
                <w:sz w:val="20"/>
              </w:rPr>
              <w:t>第5章</w:t>
            </w:r>
          </w:p>
        </w:tc>
      </w:tr>
      <w:tr w14:paraId="11D2D070">
        <w:tblPrEx>
          <w:tblCellMar>
            <w:top w:w="0" w:type="dxa"/>
            <w:left w:w="108" w:type="dxa"/>
            <w:bottom w:w="0" w:type="dxa"/>
            <w:right w:w="108" w:type="dxa"/>
          </w:tblCellMar>
        </w:tblPrEx>
        <w:trPr>
          <w:cantSplit/>
        </w:trPr>
        <w:tc>
          <w:p w14:paraId="376229E1">
            <w:pPr>
              <w:pStyle w:val="26"/>
              <w:spacing w:before="20" w:after="20" w:line="276" w:lineRule="auto"/>
            </w:pPr>
            <w:r>
              <w:rPr>
                <w:rFonts w:hint="eastAsia" w:ascii="Times New Roman" w:hAnsi="Times New Roman" w:eastAsia="宋体"/>
                <w:b/>
                <w:bCs/>
                <w:sz w:val="20"/>
              </w:rPr>
              <w:t>证监会</w:t>
            </w:r>
          </w:p>
        </w:tc>
        <w:tc>
          <w:p w14:paraId="5BC16936">
            <w:pPr>
              <w:pStyle w:val="26"/>
              <w:spacing w:before="20" w:after="20" w:line="276" w:lineRule="auto"/>
            </w:pPr>
            <w:r>
              <w:rPr>
                <w:rFonts w:hint="eastAsia" w:ascii="Times New Roman" w:hAnsi="Times New Roman" w:eastAsia="宋体"/>
                <w:sz w:val="20"/>
              </w:rPr>
              <w:t>《关于在科创板设置科创成长层增强制度包容性适应性的意见》（2026.6）</w:t>
            </w:r>
          </w:p>
        </w:tc>
        <w:tc>
          <w:p w14:paraId="692C14F2">
            <w:pPr>
              <w:pStyle w:val="26"/>
              <w:spacing w:before="20" w:after="20" w:line="276" w:lineRule="auto"/>
            </w:pPr>
            <w:r>
              <w:rPr>
                <w:rFonts w:hint="eastAsia" w:ascii="Times New Roman" w:hAnsi="Times New Roman" w:eastAsia="宋体"/>
                <w:sz w:val="20"/>
              </w:rPr>
              <w:t>科创成长层企业多为未盈利科技型企业，本项目为其折旧政策合理性提供参考标准</w:t>
            </w:r>
          </w:p>
        </w:tc>
        <w:tc>
          <w:p w14:paraId="253883F2">
            <w:pPr>
              <w:pStyle w:val="26"/>
              <w:spacing w:before="20" w:after="20" w:line="276" w:lineRule="auto"/>
            </w:pPr>
            <w:r>
              <w:rPr>
                <w:rFonts w:hint="eastAsia" w:ascii="Times New Roman" w:hAnsi="Times New Roman" w:eastAsia="宋体"/>
                <w:sz w:val="20"/>
              </w:rPr>
              <w:t>第6章</w:t>
            </w:r>
          </w:p>
        </w:tc>
      </w:tr>
      <w:tr w14:paraId="006B9E56">
        <w:tblPrEx>
          <w:tblCellMar>
            <w:top w:w="0" w:type="dxa"/>
            <w:left w:w="108" w:type="dxa"/>
            <w:bottom w:w="0" w:type="dxa"/>
            <w:right w:w="108" w:type="dxa"/>
          </w:tblCellMar>
        </w:tblPrEx>
        <w:trPr>
          <w:cantSplit/>
        </w:trPr>
        <w:tc>
          <w:p w14:paraId="1E152514">
            <w:pPr>
              <w:pStyle w:val="26"/>
              <w:spacing w:before="20" w:after="20" w:line="276" w:lineRule="auto"/>
            </w:pPr>
            <w:r>
              <w:rPr>
                <w:rFonts w:hint="eastAsia" w:ascii="Times New Roman" w:hAnsi="Times New Roman" w:eastAsia="宋体"/>
                <w:b/>
                <w:bCs/>
                <w:sz w:val="20"/>
              </w:rPr>
              <w:t>国务院</w:t>
            </w:r>
          </w:p>
        </w:tc>
        <w:tc>
          <w:p w14:paraId="75EFACDA">
            <w:pPr>
              <w:pStyle w:val="26"/>
              <w:spacing w:before="20" w:after="20" w:line="276" w:lineRule="auto"/>
            </w:pPr>
            <w:r>
              <w:rPr>
                <w:rFonts w:hint="eastAsia" w:ascii="Times New Roman" w:hAnsi="Times New Roman" w:eastAsia="宋体"/>
                <w:sz w:val="20"/>
              </w:rPr>
              <w:t>“十五五”规划纲要：“全链条推动集成电路等重点领域关键核心技术攻关”</w:t>
            </w:r>
          </w:p>
        </w:tc>
        <w:tc>
          <w:p w14:paraId="4B662814">
            <w:pPr>
              <w:pStyle w:val="26"/>
              <w:spacing w:before="20" w:after="20" w:line="276" w:lineRule="auto"/>
            </w:pPr>
            <w:r>
              <w:rPr>
                <w:rFonts w:hint="eastAsia" w:ascii="Times New Roman" w:hAnsi="Times New Roman" w:eastAsia="宋体"/>
                <w:sz w:val="20"/>
              </w:rPr>
              <w:t>聚焦AI芯片、云计算基础设施等“卡脖子”赛道，识别资产减值风险</w:t>
            </w:r>
          </w:p>
        </w:tc>
        <w:tc>
          <w:p w14:paraId="3572F204">
            <w:pPr>
              <w:pStyle w:val="26"/>
              <w:spacing w:before="20" w:after="20" w:line="276" w:lineRule="auto"/>
            </w:pPr>
            <w:r>
              <w:rPr>
                <w:rFonts w:hint="eastAsia" w:ascii="Times New Roman" w:hAnsi="Times New Roman" w:eastAsia="宋体"/>
                <w:sz w:val="20"/>
              </w:rPr>
              <w:t>第4章</w:t>
            </w:r>
          </w:p>
        </w:tc>
      </w:tr>
      <w:tr w14:paraId="3D3F7ED7">
        <w:tblPrEx>
          <w:tblCellMar>
            <w:top w:w="0" w:type="dxa"/>
            <w:left w:w="108" w:type="dxa"/>
            <w:bottom w:w="0" w:type="dxa"/>
            <w:right w:w="108" w:type="dxa"/>
          </w:tblCellMar>
        </w:tblPrEx>
        <w:trPr>
          <w:cantSplit/>
        </w:trPr>
        <w:tc>
          <w:p w14:paraId="220046A7">
            <w:pPr>
              <w:pStyle w:val="26"/>
              <w:spacing w:before="20" w:after="20" w:line="276" w:lineRule="auto"/>
            </w:pPr>
            <w:r>
              <w:rPr>
                <w:rFonts w:hint="eastAsia" w:ascii="Times New Roman" w:hAnsi="Times New Roman" w:eastAsia="宋体"/>
                <w:b/>
                <w:bCs/>
                <w:sz w:val="20"/>
              </w:rPr>
              <w:t>金融监管总局</w:t>
            </w:r>
          </w:p>
        </w:tc>
        <w:tc>
          <w:p w14:paraId="50228FAC">
            <w:pPr>
              <w:pStyle w:val="26"/>
              <w:spacing w:before="20" w:after="20" w:line="276" w:lineRule="auto"/>
            </w:pPr>
            <w:r>
              <w:rPr>
                <w:rFonts w:hint="eastAsia" w:ascii="Times New Roman" w:hAnsi="Times New Roman" w:eastAsia="宋体"/>
                <w:sz w:val="20"/>
              </w:rPr>
              <w:t>《关于银行业保险业做好金融“五篇大文章”的指导意见》</w:t>
            </w:r>
          </w:p>
        </w:tc>
        <w:tc>
          <w:p w14:paraId="78AA4273">
            <w:pPr>
              <w:pStyle w:val="26"/>
              <w:spacing w:before="20" w:after="20" w:line="276" w:lineRule="auto"/>
            </w:pPr>
            <w:r>
              <w:rPr>
                <w:rFonts w:hint="eastAsia" w:ascii="Times New Roman" w:hAnsi="Times New Roman" w:eastAsia="宋体"/>
                <w:sz w:val="20"/>
              </w:rPr>
              <w:t>保险产品设计（DMVI/ESI）直接响应“科技金融”大文章，为科创投资提供风险缓释工具</w:t>
            </w:r>
          </w:p>
        </w:tc>
        <w:tc>
          <w:p w14:paraId="357A67FB">
            <w:pPr>
              <w:pStyle w:val="26"/>
              <w:spacing w:before="20" w:after="20" w:line="276" w:lineRule="auto"/>
            </w:pPr>
            <w:r>
              <w:rPr>
                <w:rFonts w:hint="eastAsia" w:ascii="Times New Roman" w:hAnsi="Times New Roman" w:eastAsia="宋体"/>
                <w:sz w:val="20"/>
              </w:rPr>
              <w:t>第5章</w:t>
            </w:r>
          </w:p>
        </w:tc>
      </w:tr>
      <w:tr w14:paraId="2141F0F3">
        <w:tblPrEx>
          <w:tblCellMar>
            <w:top w:w="0" w:type="dxa"/>
            <w:left w:w="108" w:type="dxa"/>
            <w:bottom w:w="0" w:type="dxa"/>
            <w:right w:w="108" w:type="dxa"/>
          </w:tblCellMar>
        </w:tblPrEx>
        <w:trPr>
          <w:cantSplit/>
        </w:trPr>
        <w:tc>
          <w:p w14:paraId="1DD24A80">
            <w:pPr>
              <w:pStyle w:val="26"/>
              <w:spacing w:before="20" w:after="20" w:line="276" w:lineRule="auto"/>
            </w:pPr>
            <w:r>
              <w:rPr>
                <w:rFonts w:hint="eastAsia" w:ascii="Times New Roman" w:hAnsi="Times New Roman" w:eastAsia="宋体"/>
                <w:b/>
                <w:bCs/>
                <w:sz w:val="20"/>
              </w:rPr>
              <w:t>财政部/税务总局</w:t>
            </w:r>
          </w:p>
        </w:tc>
        <w:tc>
          <w:p w14:paraId="43D7B269">
            <w:pPr>
              <w:pStyle w:val="26"/>
              <w:spacing w:before="20" w:after="20" w:line="276" w:lineRule="auto"/>
            </w:pPr>
            <w:r>
              <w:rPr>
                <w:rFonts w:hint="eastAsia" w:ascii="Times New Roman" w:hAnsi="Times New Roman" w:eastAsia="宋体"/>
                <w:sz w:val="20"/>
              </w:rPr>
              <w:t>财税〔2012〕27号：集成电路企业生产设备最短折旧3年；外购软件最短2年</w:t>
            </w:r>
          </w:p>
        </w:tc>
        <w:tc>
          <w:p w14:paraId="6DD451BD">
            <w:pPr>
              <w:pStyle w:val="26"/>
              <w:spacing w:before="20" w:after="20" w:line="276" w:lineRule="auto"/>
            </w:pPr>
            <w:r>
              <w:rPr>
                <w:rFonts w:hint="eastAsia" w:ascii="Times New Roman" w:hAnsi="Times New Roman" w:eastAsia="宋体"/>
                <w:sz w:val="20"/>
              </w:rPr>
              <w:t>本项目识别“加速折旧”与“延长折旧”的两极分化，为政策优化提供数据支撑</w:t>
            </w:r>
          </w:p>
        </w:tc>
        <w:tc>
          <w:p w14:paraId="26E50FD9">
            <w:pPr>
              <w:pStyle w:val="26"/>
              <w:spacing w:before="20" w:after="20" w:line="276" w:lineRule="auto"/>
            </w:pPr>
            <w:r>
              <w:rPr>
                <w:rFonts w:hint="eastAsia" w:ascii="Times New Roman" w:hAnsi="Times New Roman" w:eastAsia="宋体"/>
                <w:sz w:val="20"/>
              </w:rPr>
              <w:t>第7章</w:t>
            </w:r>
          </w:p>
        </w:tc>
      </w:tr>
      <w:bookmarkEnd w:id="26"/>
    </w:tbl>
    <w:p w14:paraId="6F4189E2">
      <w:pPr>
        <w:pStyle w:val="5"/>
        <w:spacing w:before="240" w:after="120" w:line="360" w:lineRule="auto"/>
      </w:pPr>
      <w:bookmarkStart w:id="27" w:name="战略响应论证三个层面的国家价值"/>
      <w:r>
        <w:rPr>
          <w:rFonts w:ascii="Times New Roman" w:hAnsi="Times New Roman" w:eastAsia="黑体"/>
          <w:b/>
          <w:color w:val="003366"/>
          <w:sz w:val="24"/>
        </w:rPr>
        <w:t xml:space="preserve">1.7.2 </w:t>
      </w:r>
      <w:r>
        <w:rPr>
          <w:rFonts w:hint="eastAsia" w:ascii="Times New Roman" w:hAnsi="Times New Roman" w:eastAsia="黑体"/>
          <w:b/>
          <w:color w:val="003366"/>
          <w:sz w:val="24"/>
        </w:rPr>
        <w:t>战略响应论证：三个层面的国家价值</w:t>
      </w:r>
    </w:p>
    <w:p w14:paraId="552D9F6B">
      <w:pPr>
        <w:pStyle w:val="25"/>
        <w:spacing w:before="40" w:after="40" w:line="360" w:lineRule="auto"/>
        <w:ind w:firstLine="480"/>
      </w:pPr>
      <w:r>
        <w:rPr>
          <w:rFonts w:hint="eastAsia" w:ascii="Times New Roman" w:hAnsi="Times New Roman" w:eastAsia="宋体"/>
          <w:b/>
          <w:bCs/>
          <w:sz w:val="24"/>
        </w:rPr>
        <w:t>（一）金融安全层：防范“科技泡沫”引发的系统性风险</w:t>
      </w:r>
    </w:p>
    <w:p w14:paraId="0885DE85">
      <w:pPr>
        <w:pStyle w:val="3"/>
        <w:spacing w:before="40" w:after="40" w:line="360" w:lineRule="auto"/>
        <w:ind w:firstLine="480"/>
      </w:pPr>
      <w:r>
        <w:rPr>
          <w:rFonts w:hint="eastAsia" w:ascii="Times New Roman" w:hAnsi="Times New Roman" w:eastAsia="宋体"/>
          <w:sz w:val="24"/>
        </w:rPr>
        <w:t>国发〔2024〕10号文件明确指出，资本市场高质量发展必须以“强监管、防风险”为主线。2022-2023年，全球AI科技股因折旧年限延长而出现估值泡沫——6家hyperscaler同步将服务器折旧年限从4年延长至5-6年，直接释放超百亿美元“纸面利润”，推动纳斯达克指数在美联储加息周期中逆势上涨。本项目建立的5D-DRS识别体系，能够在会计估计变更的“第一时间”（10-K披露后72小时内）完成风险评估，为监管机构提供预警信息，为投资者提供决策依据，从源头上防范“科技泡沫”对资本市场稳定性的冲击。</w:t>
      </w:r>
    </w:p>
    <w:p w14:paraId="71D0471D">
      <w:pPr>
        <w:pStyle w:val="3"/>
        <w:spacing w:before="40" w:after="40" w:line="360" w:lineRule="auto"/>
        <w:ind w:firstLine="480"/>
      </w:pPr>
      <w:r>
        <w:rPr>
          <w:rFonts w:hint="eastAsia" w:ascii="Times New Roman" w:hAnsi="Times New Roman" w:eastAsia="宋体"/>
          <w:sz w:val="24"/>
        </w:rPr>
        <w:t>这一功能与证监会“科创板八条措施”中“强化科创板’硬科技’定位”“完善科技型企业精准识别机制”的要求高度契合——本项目不是替代监管，而是为监管提供“会计估计质量”这一此前缺失的评估维度。</w:t>
      </w:r>
    </w:p>
    <w:p w14:paraId="60DCD10B">
      <w:pPr>
        <w:pStyle w:val="3"/>
        <w:spacing w:before="40" w:after="40" w:line="360" w:lineRule="auto"/>
        <w:ind w:firstLine="480"/>
      </w:pPr>
      <w:r>
        <w:rPr>
          <w:rFonts w:hint="eastAsia" w:ascii="Times New Roman" w:hAnsi="Times New Roman" w:eastAsia="宋体"/>
          <w:b/>
          <w:bCs/>
          <w:sz w:val="24"/>
        </w:rPr>
        <w:t>（二）产业安全层：保障“新质生产力”核心赛道的资源配置效率</w:t>
      </w:r>
    </w:p>
    <w:p w14:paraId="0012B2C5">
      <w:pPr>
        <w:pStyle w:val="3"/>
        <w:spacing w:before="40" w:after="40" w:line="360" w:lineRule="auto"/>
        <w:ind w:firstLine="480"/>
      </w:pPr>
      <w:r>
        <w:rPr>
          <w:rFonts w:hint="eastAsia" w:ascii="Times New Roman" w:hAnsi="Times New Roman" w:eastAsia="宋体"/>
          <w:sz w:val="24"/>
        </w:rPr>
        <w:t>“十五五”规划纲要提出“全链条推动集成电路、工业母机、基础软件等重点领域关键核心技术攻关”。这些领域的共同特征是：前期资本投入巨大、技术迭代周期不确定、资产减值风险高。以AI芯片为例，NVIDIA的H100芯片在2023年供不应求，但到2025年可能已被新一代架构替代；如果企业按照8-10年折旧这类资产，实际上是在用未来的“资产减值”换取当下的“利润平滑”。</w:t>
      </w:r>
    </w:p>
    <w:p w14:paraId="08E95368">
      <w:pPr>
        <w:pStyle w:val="3"/>
        <w:spacing w:before="40" w:after="40" w:line="360" w:lineRule="auto"/>
        <w:ind w:firstLine="480"/>
      </w:pPr>
      <w:r>
        <w:rPr>
          <w:rFonts w:hint="eastAsia" w:ascii="Times New Roman" w:hAnsi="Times New Roman" w:eastAsia="宋体"/>
          <w:sz w:val="24"/>
        </w:rPr>
        <w:t>本项目的价值在于：通过识别折旧错配，防止资本过度流向“会计估计激进”的企业，确保有限的金融资源（尤其是国家创业投资引导基金、京津冀/长三角/粤港澳大湾区区域基金等政策性资金）能够配置到真正具有技术实力的企业，而非仅仅“会讲故事”的企业。</w:t>
      </w:r>
    </w:p>
    <w:p w14:paraId="6658B540">
      <w:pPr>
        <w:pStyle w:val="3"/>
        <w:spacing w:before="40" w:after="40" w:line="360" w:lineRule="auto"/>
        <w:ind w:firstLine="480"/>
      </w:pPr>
      <w:r>
        <w:rPr>
          <w:rFonts w:hint="eastAsia" w:ascii="Times New Roman" w:hAnsi="Times New Roman" w:eastAsia="宋体"/>
          <w:b/>
          <w:bCs/>
          <w:sz w:val="24"/>
        </w:rPr>
        <w:t>（三）投资者保护层面：落实资本市场“人民性”</w:t>
      </w:r>
    </w:p>
    <w:p w14:paraId="14DA7044">
      <w:pPr>
        <w:pStyle w:val="3"/>
        <w:spacing w:before="40" w:after="40" w:line="360" w:lineRule="auto"/>
        <w:ind w:firstLine="480"/>
      </w:pPr>
      <w:r>
        <w:rPr>
          <w:rFonts w:hint="eastAsia" w:ascii="Times New Roman" w:hAnsi="Times New Roman" w:eastAsia="宋体"/>
          <w:sz w:val="24"/>
        </w:rPr>
        <w:t>中央金融工作会议强调资本市场工作的“政治性、人民性”，2026年《政府工作报告》提出“加强科技创新全链条全生命周期金融服务”。本项目的保险产品设计（DMVI/ESI）直接服务于这一要求：当科创企业因折旧错配暴露而股价暴跌时，机构投资者（最终代表广大基民、养老金受益人）能够获得风险保障，避免“科技投资”变成“科技赌博”。这与中国人寿2023年科技保险风险保障金额87万亿元（同比增长133%）的行业趋势同向而行，但本项目提供的不是“泛科技保险”，而是“精准对标折旧错配风险的专项保险”。</w:t>
      </w:r>
    </w:p>
    <w:bookmarkEnd w:id="27"/>
    <w:p w14:paraId="0F5142FB">
      <w:pPr>
        <w:pStyle w:val="5"/>
        <w:spacing w:before="240" w:after="120" w:line="360" w:lineRule="auto"/>
        <w:rPr>
          <w:rFonts w:hint="eastAsia" w:ascii="Times New Roman" w:hAnsi="Times New Roman" w:eastAsia="黑体"/>
          <w:b/>
          <w:color w:val="003366"/>
          <w:sz w:val="24"/>
        </w:rPr>
      </w:pPr>
      <w:bookmarkStart w:id="28" w:name="与中国平安企业战略的对位"/>
      <w:r>
        <w:rPr>
          <w:rFonts w:hint="eastAsia" w:ascii="Times New Roman" w:hAnsi="Times New Roman" w:eastAsia="黑体"/>
          <w:b/>
          <w:color w:val="003366"/>
          <w:sz w:val="24"/>
        </w:rPr>
        <w:t>1.7.3 与发榜方战略方向的契合分析</w:t>
      </w:r>
    </w:p>
    <w:p w14:paraId="5DC72FF7">
      <w:pPr>
        <w:pStyle w:val="25"/>
        <w:spacing w:before="40" w:after="40" w:line="360" w:lineRule="auto"/>
        <w:ind w:firstLine="480"/>
      </w:pPr>
      <w:r>
        <w:t>本项目与发榜方中国平安的战略方向存在以下契合点：</w:t>
      </w:r>
    </w:p>
    <w:tbl>
      <w:tblPr>
        <w:tblStyle w:val="43"/>
        <w:tblW w:w="5000" w:type="pct"/>
        <w:tblInd w:w="0" w:type="dxa"/>
        <w:tblLayout w:type="fixed"/>
        <w:tblCellMar>
          <w:top w:w="0" w:type="dxa"/>
          <w:left w:w="108" w:type="dxa"/>
          <w:bottom w:w="0" w:type="dxa"/>
          <w:right w:w="108" w:type="dxa"/>
        </w:tblCellMar>
      </w:tblPr>
      <w:tblGrid>
        <w:gridCol w:w="4830"/>
        <w:gridCol w:w="4458"/>
      </w:tblGrid>
      <w:tr w14:paraId="127B4E4A">
        <w:tblPrEx>
          <w:tblCellMar>
            <w:top w:w="0" w:type="dxa"/>
            <w:left w:w="108" w:type="dxa"/>
            <w:bottom w:w="0" w:type="dxa"/>
            <w:right w:w="108" w:type="dxa"/>
          </w:tblCellMar>
        </w:tblPrEx>
        <w:trPr>
          <w:cantSplit/>
          <w:tblHeader/>
        </w:trPr>
        <w:tc>
          <w:p w14:paraId="4898548E">
            <w:pPr>
              <w:pStyle w:val="26"/>
              <w:spacing w:before="20" w:after="20" w:line="276" w:lineRule="auto"/>
            </w:pPr>
            <w:r>
              <w:rPr>
                <w:rFonts w:hint="eastAsia" w:ascii="Times New Roman" w:hAnsi="Times New Roman" w:eastAsia="宋体"/>
                <w:sz w:val="20"/>
              </w:rPr>
              <w:t>平安战略方向</w:t>
            </w:r>
          </w:p>
        </w:tc>
        <w:tc>
          <w:p w14:paraId="7A8C0E32">
            <w:pPr>
              <w:pStyle w:val="26"/>
              <w:spacing w:before="20" w:after="20" w:line="276" w:lineRule="auto"/>
            </w:pPr>
            <w:r>
              <w:rPr>
                <w:rFonts w:hint="eastAsia" w:ascii="Times New Roman" w:hAnsi="Times New Roman" w:eastAsia="宋体"/>
                <w:sz w:val="20"/>
              </w:rPr>
              <w:t>本项目对接点</w:t>
            </w:r>
          </w:p>
        </w:tc>
      </w:tr>
      <w:tr w14:paraId="141726EC">
        <w:tblPrEx>
          <w:tblCellMar>
            <w:top w:w="0" w:type="dxa"/>
            <w:left w:w="108" w:type="dxa"/>
            <w:bottom w:w="0" w:type="dxa"/>
            <w:right w:w="108" w:type="dxa"/>
          </w:tblCellMar>
        </w:tblPrEx>
        <w:trPr>
          <w:cantSplit/>
        </w:trPr>
        <w:tc>
          <w:p w14:paraId="26E8F914">
            <w:pPr>
              <w:pStyle w:val="26"/>
              <w:spacing w:before="20" w:after="20" w:line="276" w:lineRule="auto"/>
            </w:pPr>
            <w:r>
              <w:rPr>
                <w:rFonts w:hint="eastAsia" w:ascii="Times New Roman" w:hAnsi="Times New Roman" w:eastAsia="宋体"/>
                <w:sz w:val="20"/>
              </w:rPr>
              <w:t>“综合金融+医疗健康”双轮驱动</w:t>
            </w:r>
          </w:p>
        </w:tc>
        <w:tc>
          <w:p w14:paraId="53790D5D">
            <w:pPr>
              <w:pStyle w:val="26"/>
              <w:spacing w:before="20" w:after="20" w:line="276" w:lineRule="auto"/>
            </w:pPr>
            <w:r>
              <w:rPr>
                <w:rFonts w:hint="eastAsia" w:ascii="Times New Roman" w:hAnsi="Times New Roman" w:eastAsia="宋体"/>
                <w:sz w:val="20"/>
              </w:rPr>
              <w:t>保险产品设计（DMVI/ESI）直接落地平安产险/平安信托</w:t>
            </w:r>
          </w:p>
        </w:tc>
      </w:tr>
      <w:tr w14:paraId="576A8AB5">
        <w:tblPrEx>
          <w:tblCellMar>
            <w:top w:w="0" w:type="dxa"/>
            <w:left w:w="108" w:type="dxa"/>
            <w:bottom w:w="0" w:type="dxa"/>
            <w:right w:w="108" w:type="dxa"/>
          </w:tblCellMar>
        </w:tblPrEx>
        <w:trPr>
          <w:cantSplit/>
        </w:trPr>
        <w:tc>
          <w:p w14:paraId="600E9C11">
            <w:pPr>
              <w:pStyle w:val="26"/>
              <w:spacing w:before="20" w:after="20" w:line="276" w:lineRule="auto"/>
            </w:pPr>
            <w:r>
              <w:rPr>
                <w:rFonts w:hint="eastAsia" w:ascii="Times New Roman" w:hAnsi="Times New Roman" w:eastAsia="宋体"/>
                <w:sz w:val="20"/>
              </w:rPr>
              <w:t>科技赋能金融：“金融+科技”</w:t>
            </w:r>
            <w:r>
              <w:rPr>
                <w:rFonts w:ascii="Times New Roman" w:hAnsi="Times New Roman" w:eastAsia="宋体"/>
                <w:sz w:val="20"/>
              </w:rPr>
              <w:t xml:space="preserve"> </w:t>
            </w:r>
            <w:r>
              <w:rPr>
                <w:rFonts w:hint="eastAsia" w:ascii="Times New Roman" w:hAnsi="Times New Roman" w:eastAsia="宋体"/>
                <w:sz w:val="20"/>
              </w:rPr>
              <w:t>“金融+生态”</w:t>
            </w:r>
          </w:p>
        </w:tc>
        <w:tc>
          <w:p w14:paraId="22277E93">
            <w:pPr>
              <w:pStyle w:val="26"/>
              <w:spacing w:before="20" w:after="20" w:line="276" w:lineRule="auto"/>
            </w:pPr>
            <w:r>
              <w:rPr>
                <w:rFonts w:hint="eastAsia" w:ascii="Times New Roman" w:hAnsi="Times New Roman" w:eastAsia="宋体"/>
                <w:sz w:val="20"/>
              </w:rPr>
              <w:t>5D-DRS系统可作为平安风控中台的“会计估计风险模块”</w:t>
            </w:r>
          </w:p>
        </w:tc>
      </w:tr>
      <w:tr w14:paraId="584E7C67">
        <w:tblPrEx>
          <w:tblCellMar>
            <w:top w:w="0" w:type="dxa"/>
            <w:left w:w="108" w:type="dxa"/>
            <w:bottom w:w="0" w:type="dxa"/>
            <w:right w:w="108" w:type="dxa"/>
          </w:tblCellMar>
        </w:tblPrEx>
        <w:trPr>
          <w:cantSplit/>
        </w:trPr>
        <w:tc>
          <w:p w14:paraId="0BC167F3">
            <w:pPr>
              <w:pStyle w:val="26"/>
              <w:spacing w:before="20" w:after="20" w:line="276" w:lineRule="auto"/>
            </w:pPr>
            <w:r>
              <w:rPr>
                <w:rFonts w:hint="eastAsia" w:ascii="Times New Roman" w:hAnsi="Times New Roman" w:eastAsia="宋体"/>
                <w:sz w:val="20"/>
              </w:rPr>
              <w:t>服务实体经济、支持国家战略</w:t>
            </w:r>
          </w:p>
        </w:tc>
        <w:tc>
          <w:p w14:paraId="3AA04396">
            <w:pPr>
              <w:pStyle w:val="26"/>
              <w:spacing w:before="20" w:after="20" w:line="276" w:lineRule="auto"/>
            </w:pPr>
            <w:r>
              <w:rPr>
                <w:rFonts w:hint="eastAsia" w:ascii="Times New Roman" w:hAnsi="Times New Roman" w:eastAsia="宋体"/>
                <w:sz w:val="20"/>
              </w:rPr>
              <w:t>响应证监会“五篇大文章”之科技金融，服务新质生产力</w:t>
            </w:r>
          </w:p>
        </w:tc>
      </w:tr>
      <w:tr w14:paraId="67C9190A">
        <w:tblPrEx>
          <w:tblCellMar>
            <w:top w:w="0" w:type="dxa"/>
            <w:left w:w="108" w:type="dxa"/>
            <w:bottom w:w="0" w:type="dxa"/>
            <w:right w:w="108" w:type="dxa"/>
          </w:tblCellMar>
        </w:tblPrEx>
        <w:trPr>
          <w:cantSplit/>
        </w:trPr>
        <w:tc>
          <w:p w14:paraId="6956E5A4">
            <w:pPr>
              <w:pStyle w:val="26"/>
              <w:spacing w:before="20" w:after="20" w:line="276" w:lineRule="auto"/>
            </w:pPr>
            <w:r>
              <w:rPr>
                <w:rFonts w:hint="eastAsia" w:ascii="Times New Roman" w:hAnsi="Times New Roman" w:eastAsia="宋体"/>
                <w:sz w:val="20"/>
              </w:rPr>
              <w:t>保险资金长期投资优势</w:t>
            </w:r>
          </w:p>
        </w:tc>
        <w:tc>
          <w:p w14:paraId="2A0DBFEC">
            <w:pPr>
              <w:pStyle w:val="26"/>
              <w:spacing w:before="20" w:after="20" w:line="276" w:lineRule="auto"/>
            </w:pPr>
            <w:r>
              <w:rPr>
                <w:rFonts w:hint="eastAsia" w:ascii="Times New Roman" w:hAnsi="Times New Roman" w:eastAsia="宋体"/>
                <w:sz w:val="20"/>
              </w:rPr>
              <w:t>ESI产品的股权交换机制匹配险资“耐心资本”特性</w:t>
            </w:r>
          </w:p>
        </w:tc>
      </w:tr>
      <w:bookmarkEnd w:id="7"/>
      <w:bookmarkEnd w:id="25"/>
      <w:bookmarkEnd w:id="28"/>
    </w:tbl>
    <w:p w14:paraId="4F44977C">
      <w:pPr>
        <w:pStyle w:val="3"/>
        <w:spacing w:before="40" w:after="40" w:line="360" w:lineRule="auto"/>
        <w:ind w:firstLine="480"/>
        <w:rPr>
          <w:rFonts w:hint="eastAsia" w:ascii="Times New Roman" w:hAnsi="Times New Roman" w:eastAsia="宋体"/>
          <w:sz w:val="24"/>
          <w:lang w:val="en-US" w:eastAsia="zh-CN"/>
        </w:rPr>
      </w:pPr>
      <w:r>
        <w:rPr>
          <w:rFonts w:hint="eastAsia" w:ascii="Times New Roman" w:hAnsi="Times New Roman" w:eastAsia="宋体"/>
          <w:sz w:val="24"/>
          <w:lang w:val="en-US" w:eastAsia="zh-CN"/>
        </w:rPr>
        <w:t>上述契合之外，更值得强调的是本项目的补位价值。中国平安产险的“鹰眼系统 DRS3.0”已在自然灾害与意外事故领域建成风险减量数智化平台，实现灾前精准预判、灾中隐患整改、灾后快赔复产的全流程管理——2025 年超强台风“桦加沙”应对中，提前 4 天精准预判登陆时间与强度，预警信息触达 3,950 万人次，1,112 个高风险客户 100% 临灾回访，巨灾 1 天预赔 1,800 万元（平安产险，2026）。但鹰眼覆盖的是物理世界的实体风险；科创企业财务报表中由折旧假设激进化累积的“无形风险”，不触发任何传感器，恰是现有风险减量版图的空白。本项目正是将“风险减量”理念从物理风险延伸至财务风险的系统性尝试：5D-DRS 智能识别对应“看得见风险”，预警规则与滚动复核对应“管得住过程”，保险产品设计对应“降得下损失”——与发榜方“防灾、减灾、救灾”的全链条方法论同构。</w:t>
      </w:r>
    </w:p>
    <w:p w14:paraId="4F08A455">
      <w:pPr>
        <w:pStyle w:val="5"/>
        <w:spacing w:before="240" w:after="120" w:line="360" w:lineRule="auto"/>
        <w:rPr>
          <w:rFonts w:hint="eastAsia" w:ascii="Times New Roman" w:hAnsi="Times New Roman" w:eastAsia="黑体"/>
          <w:b/>
          <w:color w:val="003366"/>
          <w:sz w:val="24"/>
        </w:rPr>
      </w:pPr>
      <w:r>
        <w:rPr>
          <w:rFonts w:hint="eastAsia" w:ascii="Times New Roman" w:hAnsi="Times New Roman" w:eastAsia="黑体"/>
          <w:b/>
          <w:color w:val="003366"/>
          <w:sz w:val="24"/>
        </w:rPr>
        <w:t>1.7.4 科技金融主线：折旧错配穿透“投、融、贷、保”全流程</w:t>
      </w:r>
    </w:p>
    <w:p w14:paraId="607F98EA">
      <w:pPr>
        <w:pStyle w:val="25"/>
        <w:spacing w:before="40" w:after="40" w:line="360" w:lineRule="auto"/>
        <w:ind w:firstLine="480"/>
      </w:pPr>
      <w:r>
        <w:t>科技金融是金融“五篇大文章”之首。本研究与科技金融主线的衔接并非修辞，而是一条可验证的传导链：折旧错配扭曲资产真实性计量，而资产真实性计量正是科技金融各业务环节的共同底座。具体而言，错配的影响穿透“投、融、贷、保”四个环节：</w:t>
      </w:r>
    </w:p>
    <w:tbl>
      <w:tblPr>
        <w:tblStyle w:val="43"/>
        <w:tblW w:w="5000" w:type="pct"/>
        <w:tblInd w:w="0" w:type="dxa"/>
        <w:tblLayout w:type="fixed"/>
        <w:tblCellMar>
          <w:top w:w="0" w:type="dxa"/>
          <w:left w:w="108" w:type="dxa"/>
          <w:bottom w:w="0" w:type="dxa"/>
          <w:right w:w="108" w:type="dxa"/>
        </w:tblCellMar>
      </w:tblPr>
      <w:tblGrid>
        <w:gridCol w:w="1925"/>
        <w:gridCol w:w="3738"/>
        <w:gridCol w:w="3624"/>
      </w:tblGrid>
      <w:tr w14:paraId="07AFB5A3">
        <w:tblPrEx>
          <w:tblCellMar>
            <w:top w:w="0" w:type="dxa"/>
            <w:left w:w="108" w:type="dxa"/>
            <w:bottom w:w="0" w:type="dxa"/>
            <w:right w:w="108" w:type="dxa"/>
          </w:tblCellMar>
        </w:tblPrEx>
        <w:tc>
          <w:tcPr>
            <w:tcW w:w="1927" w:type="dxa"/>
            <w:shd w:val="clear" w:color="auto" w:fill="EEF3F8"/>
          </w:tcPr>
          <w:p w14:paraId="1C65E77A">
            <w:pPr>
              <w:pStyle w:val="26"/>
              <w:spacing w:before="20" w:after="20" w:line="276" w:lineRule="auto"/>
            </w:pPr>
            <w:r>
              <w:rPr>
                <w:rFonts w:hint="eastAsia" w:ascii="Times New Roman" w:hAnsi="Times New Roman" w:eastAsia="宋体"/>
                <w:sz w:val="20"/>
              </w:rPr>
              <w:t>环节</w:t>
            </w:r>
          </w:p>
        </w:tc>
        <w:tc>
          <w:tcPr>
            <w:tcW w:w="3742" w:type="dxa"/>
            <w:shd w:val="clear" w:color="auto" w:fill="EEF3F8"/>
          </w:tcPr>
          <w:p w14:paraId="6490B4C8">
            <w:pPr>
              <w:pStyle w:val="26"/>
              <w:spacing w:before="20" w:after="20" w:line="276" w:lineRule="auto"/>
            </w:pPr>
            <w:r>
              <w:rPr>
                <w:rFonts w:hint="eastAsia" w:ascii="Times New Roman" w:hAnsi="Times New Roman" w:eastAsia="宋体"/>
                <w:sz w:val="20"/>
              </w:rPr>
              <w:t>折旧错配的传导路径</w:t>
            </w:r>
          </w:p>
        </w:tc>
        <w:tc>
          <w:tcPr>
            <w:tcW w:w="3628" w:type="dxa"/>
            <w:shd w:val="clear" w:color="auto" w:fill="EEF3F8"/>
          </w:tcPr>
          <w:p w14:paraId="0CDC5289">
            <w:pPr>
              <w:pStyle w:val="26"/>
              <w:spacing w:before="20" w:after="20" w:line="276" w:lineRule="auto"/>
            </w:pPr>
            <w:r>
              <w:rPr>
                <w:rFonts w:hint="eastAsia" w:ascii="Times New Roman" w:hAnsi="Times New Roman" w:eastAsia="宋体"/>
                <w:sz w:val="20"/>
              </w:rPr>
              <w:t>5D-DRS 的接口价值</w:t>
            </w:r>
          </w:p>
        </w:tc>
      </w:tr>
      <w:tr w14:paraId="041142F0">
        <w:tblPrEx>
          <w:tblCellMar>
            <w:top w:w="0" w:type="dxa"/>
            <w:left w:w="108" w:type="dxa"/>
            <w:bottom w:w="0" w:type="dxa"/>
            <w:right w:w="108" w:type="dxa"/>
          </w:tblCellMar>
        </w:tblPrEx>
        <w:tc>
          <w:tcPr>
            <w:tcW w:w="1927" w:type="dxa"/>
          </w:tcPr>
          <w:p w14:paraId="06843939">
            <w:pPr>
              <w:pStyle w:val="26"/>
              <w:spacing w:before="20" w:after="20" w:line="276" w:lineRule="auto"/>
            </w:pPr>
            <w:r>
              <w:rPr>
                <w:rFonts w:hint="eastAsia" w:ascii="Times New Roman" w:hAnsi="Times New Roman" w:eastAsia="宋体"/>
                <w:sz w:val="20"/>
              </w:rPr>
              <w:t>投（股权投资与创投）</w:t>
            </w:r>
          </w:p>
        </w:tc>
        <w:tc>
          <w:tcPr>
            <w:tcW w:w="3742" w:type="dxa"/>
          </w:tcPr>
          <w:p w14:paraId="72FB7C8F">
            <w:pPr>
              <w:pStyle w:val="26"/>
              <w:spacing w:before="20" w:after="20" w:line="276" w:lineRule="auto"/>
            </w:pPr>
            <w:r>
              <w:rPr>
                <w:rFonts w:hint="eastAsia" w:ascii="Times New Roman" w:hAnsi="Times New Roman" w:eastAsia="宋体"/>
                <w:sz w:val="20"/>
              </w:rPr>
              <w:t>科创企业重资产化使折旧年限假设直接决定利润含金量；年限每延长一年即虚增当期利润，扭曲估值锚与机构间可比性</w:t>
            </w:r>
          </w:p>
        </w:tc>
        <w:tc>
          <w:tcPr>
            <w:tcW w:w="3628" w:type="dxa"/>
          </w:tcPr>
          <w:p w14:paraId="4E9E9255">
            <w:pPr>
              <w:pStyle w:val="26"/>
              <w:spacing w:before="20" w:after="20" w:line="276" w:lineRule="auto"/>
            </w:pPr>
            <w:r>
              <w:rPr>
                <w:rFonts w:hint="eastAsia" w:ascii="Times New Roman" w:hAnsi="Times New Roman" w:eastAsia="宋体"/>
                <w:sz w:val="20"/>
              </w:rPr>
              <w:t>为投资端提供盈利质量“卸妆”工具，评分可直接作为估值调整因子</w:t>
            </w:r>
          </w:p>
        </w:tc>
      </w:tr>
      <w:tr w14:paraId="76583EFF">
        <w:tblPrEx>
          <w:tblCellMar>
            <w:top w:w="0" w:type="dxa"/>
            <w:left w:w="108" w:type="dxa"/>
            <w:bottom w:w="0" w:type="dxa"/>
            <w:right w:w="108" w:type="dxa"/>
          </w:tblCellMar>
        </w:tblPrEx>
        <w:tc>
          <w:tcPr>
            <w:tcW w:w="1927" w:type="dxa"/>
          </w:tcPr>
          <w:p w14:paraId="16813DDB">
            <w:pPr>
              <w:pStyle w:val="26"/>
              <w:spacing w:before="20" w:after="20" w:line="276" w:lineRule="auto"/>
            </w:pPr>
            <w:r>
              <w:rPr>
                <w:rFonts w:hint="eastAsia" w:ascii="Times New Roman" w:hAnsi="Times New Roman" w:eastAsia="宋体"/>
                <w:sz w:val="20"/>
              </w:rPr>
              <w:t>融（发债与再融资）</w:t>
            </w:r>
          </w:p>
        </w:tc>
        <w:tc>
          <w:tcPr>
            <w:tcW w:w="3742" w:type="dxa"/>
          </w:tcPr>
          <w:p w14:paraId="48138133">
            <w:pPr>
              <w:pStyle w:val="26"/>
              <w:spacing w:before="20" w:after="20" w:line="276" w:lineRule="auto"/>
            </w:pPr>
            <w:r>
              <w:rPr>
                <w:rFonts w:hint="eastAsia" w:ascii="Times New Roman" w:hAnsi="Times New Roman" w:eastAsia="宋体"/>
                <w:sz w:val="20"/>
              </w:rPr>
              <w:t>延长年限同步虚增利润与净资产，美化利息保障倍数与资产负债率，误导债券定价与授信审批</w:t>
            </w:r>
          </w:p>
        </w:tc>
        <w:tc>
          <w:tcPr>
            <w:tcW w:w="3628" w:type="dxa"/>
          </w:tcPr>
          <w:p w14:paraId="47E6EBD7">
            <w:pPr>
              <w:pStyle w:val="26"/>
              <w:spacing w:before="20" w:after="20" w:line="276" w:lineRule="auto"/>
            </w:pPr>
            <w:r>
              <w:rPr>
                <w:rFonts w:hint="eastAsia" w:ascii="Times New Roman" w:hAnsi="Times New Roman" w:eastAsia="宋体"/>
                <w:sz w:val="20"/>
              </w:rPr>
              <w:t>为融资端提供偿债能力修正依据，D1/D4 维度直接刻画利润水分</w:t>
            </w:r>
          </w:p>
        </w:tc>
      </w:tr>
      <w:tr w14:paraId="3D38524A">
        <w:tblPrEx>
          <w:tblCellMar>
            <w:top w:w="0" w:type="dxa"/>
            <w:left w:w="108" w:type="dxa"/>
            <w:bottom w:w="0" w:type="dxa"/>
            <w:right w:w="108" w:type="dxa"/>
          </w:tblCellMar>
        </w:tblPrEx>
        <w:tc>
          <w:tcPr>
            <w:tcW w:w="1927" w:type="dxa"/>
          </w:tcPr>
          <w:p w14:paraId="3DE9CD38">
            <w:pPr>
              <w:pStyle w:val="26"/>
              <w:spacing w:before="20" w:after="20" w:line="276" w:lineRule="auto"/>
            </w:pPr>
            <w:r>
              <w:rPr>
                <w:rFonts w:hint="eastAsia" w:ascii="Times New Roman" w:hAnsi="Times New Roman" w:eastAsia="宋体"/>
                <w:sz w:val="20"/>
              </w:rPr>
              <w:t>贷（银行科技信贷）</w:t>
            </w:r>
          </w:p>
        </w:tc>
        <w:tc>
          <w:tcPr>
            <w:tcW w:w="3742" w:type="dxa"/>
          </w:tcPr>
          <w:p w14:paraId="01244E0D">
            <w:pPr>
              <w:pStyle w:val="26"/>
              <w:spacing w:before="20" w:after="20" w:line="276" w:lineRule="auto"/>
            </w:pPr>
            <w:r>
              <w:rPr>
                <w:rFonts w:hint="eastAsia" w:ascii="Times New Roman" w:hAnsi="Times New Roman" w:eastAsia="宋体"/>
                <w:sz w:val="20"/>
              </w:rPr>
              <w:t>以算力设备抵押的科技贷款，抵押物真实价值取决于剩余技术寿命；年限错配即抵押物高估</w:t>
            </w:r>
          </w:p>
        </w:tc>
        <w:tc>
          <w:tcPr>
            <w:tcW w:w="3628" w:type="dxa"/>
          </w:tcPr>
          <w:p w14:paraId="60BFF177">
            <w:pPr>
              <w:pStyle w:val="26"/>
              <w:spacing w:before="20" w:after="20" w:line="276" w:lineRule="auto"/>
            </w:pPr>
            <w:r>
              <w:rPr>
                <w:rFonts w:hint="eastAsia" w:ascii="Times New Roman" w:hAnsi="Times New Roman" w:eastAsia="宋体"/>
                <w:sz w:val="20"/>
              </w:rPr>
              <w:t>为信贷端提供抵押物价值校准，技术经济寿命评估补足尽调盲区</w:t>
            </w:r>
          </w:p>
        </w:tc>
      </w:tr>
      <w:tr w14:paraId="6F4DCAB9">
        <w:tblPrEx>
          <w:tblCellMar>
            <w:top w:w="0" w:type="dxa"/>
            <w:left w:w="108" w:type="dxa"/>
            <w:bottom w:w="0" w:type="dxa"/>
            <w:right w:w="108" w:type="dxa"/>
          </w:tblCellMar>
        </w:tblPrEx>
        <w:tc>
          <w:tcPr>
            <w:tcW w:w="1927" w:type="dxa"/>
          </w:tcPr>
          <w:p w14:paraId="2A5F367A">
            <w:pPr>
              <w:pStyle w:val="26"/>
              <w:spacing w:before="20" w:after="20" w:line="276" w:lineRule="auto"/>
            </w:pPr>
            <w:r>
              <w:rPr>
                <w:rFonts w:hint="eastAsia" w:ascii="Times New Roman" w:hAnsi="Times New Roman" w:eastAsia="宋体"/>
                <w:sz w:val="20"/>
              </w:rPr>
              <w:t>保（科技保险）</w:t>
            </w:r>
          </w:p>
        </w:tc>
        <w:tc>
          <w:tcPr>
            <w:tcW w:w="3742" w:type="dxa"/>
          </w:tcPr>
          <w:p w14:paraId="628E17F3">
            <w:pPr>
              <w:pStyle w:val="26"/>
              <w:spacing w:before="20" w:after="20" w:line="276" w:lineRule="auto"/>
            </w:pPr>
            <w:r>
              <w:rPr>
                <w:rFonts w:hint="eastAsia" w:ascii="Times New Roman" w:hAnsi="Times New Roman" w:eastAsia="宋体"/>
                <w:sz w:val="20"/>
              </w:rPr>
              <w:t>首台套、研发中断等科技保险的承保定价与理赔基准依赖真实资产价值；错配使风险减量服务失去数据抓手</w:t>
            </w:r>
          </w:p>
        </w:tc>
        <w:tc>
          <w:tcPr>
            <w:tcW w:w="3628" w:type="dxa"/>
          </w:tcPr>
          <w:p w14:paraId="08B047B1">
            <w:pPr>
              <w:pStyle w:val="26"/>
              <w:spacing w:before="20" w:after="20" w:line="276" w:lineRule="auto"/>
            </w:pPr>
            <w:r>
              <w:rPr>
                <w:rFonts w:hint="eastAsia" w:ascii="Times New Roman" w:hAnsi="Times New Roman" w:eastAsia="宋体"/>
                <w:sz w:val="20"/>
              </w:rPr>
              <w:t>为保险端提供可承保、可定价、可监测的风险量化指标，对接“保险+风险减量”模式</w:t>
            </w:r>
          </w:p>
        </w:tc>
      </w:tr>
    </w:tbl>
    <w:p w14:paraId="1973143B">
      <w:pPr>
        <w:pStyle w:val="3"/>
        <w:spacing w:before="40" w:after="40" w:line="360" w:lineRule="auto"/>
        <w:ind w:firstLine="480"/>
        <w:rPr>
          <w:rFonts w:hint="eastAsia" w:ascii="Times New Roman" w:hAnsi="Times New Roman" w:eastAsia="宋体"/>
          <w:sz w:val="24"/>
          <w:lang w:val="en-US" w:eastAsia="zh-CN"/>
        </w:rPr>
      </w:pPr>
      <w:r>
        <w:rPr>
          <w:rFonts w:hint="eastAsia" w:ascii="Times New Roman" w:hAnsi="Times New Roman" w:eastAsia="宋体"/>
          <w:sz w:val="24"/>
          <w:lang w:val="en-US" w:eastAsia="zh-CN"/>
        </w:rPr>
        <w:t>由此，5D-DRS 的定位超越单一风控工具：它是把折旧错配信号转译为金融系统可用语言的“翻译器”——这正是科技金融基础设施的应有之义。</w:t>
      </w:r>
    </w:p>
    <w:p w14:paraId="5DD0DC39">
      <w:pPr>
        <w:pStyle w:val="2"/>
        <w:pageBreakBefore/>
        <w:spacing w:before="360" w:after="240" w:line="360" w:lineRule="auto"/>
        <w:jc w:val="center"/>
      </w:pPr>
      <w:bookmarkStart w:id="29" w:name="_Toc32276"/>
      <w:bookmarkStart w:id="30" w:name="第二章制度背景与分析基础"/>
      <w:r>
        <w:rPr>
          <w:rFonts w:hint="eastAsia" w:ascii="Times New Roman" w:hAnsi="Times New Roman" w:eastAsia="黑体"/>
          <w:b/>
          <w:color w:val="000000"/>
          <w:sz w:val="32"/>
        </w:rPr>
        <w:t>第二章制度背景与分析基础</w:t>
      </w:r>
      <w:bookmarkEnd w:id="29"/>
    </w:p>
    <w:p w14:paraId="615F9033">
      <w:pPr>
        <w:pStyle w:val="25"/>
        <w:spacing w:before="40" w:after="40" w:line="360" w:lineRule="auto"/>
        <w:ind w:firstLine="480"/>
      </w:pPr>
      <w:r>
        <w:rPr>
          <w:rFonts w:hint="eastAsia" w:ascii="Times New Roman" w:hAnsi="Times New Roman" w:eastAsia="宋体"/>
          <w:sz w:val="24"/>
        </w:rPr>
        <w:t>本章核心结论：折旧年限属会计估计、变更采未来适用法（不追溯历史），准则要求披露变更影响金额，但不要求论证年限与技术迭代周期的匹配性——裁量空间由此产生；“披露合规</w:t>
      </w:r>
      <w:r>
        <w:rPr>
          <w:rFonts w:ascii="Times New Roman" w:hAnsi="Times New Roman" w:eastAsia="宋体"/>
          <w:sz w:val="24"/>
        </w:rPr>
        <w:t xml:space="preserve"> ≠ </w:t>
      </w:r>
      <w:r>
        <w:rPr>
          <w:rFonts w:hint="eastAsia" w:ascii="Times New Roman" w:hAnsi="Times New Roman" w:eastAsia="宋体"/>
          <w:sz w:val="24"/>
        </w:rPr>
        <w:t>会计透明”（Hutton</w:t>
      </w:r>
      <w:r>
        <w:rPr>
          <w:rFonts w:ascii="Times New Roman" w:hAnsi="Times New Roman" w:eastAsia="宋体"/>
          <w:sz w:val="24"/>
        </w:rPr>
        <w:t xml:space="preserve"> et al. </w:t>
      </w:r>
      <w:r>
        <w:rPr>
          <w:rFonts w:hint="eastAsia" w:ascii="Times New Roman" w:hAnsi="Times New Roman" w:eastAsia="宋体"/>
          <w:sz w:val="24"/>
        </w:rPr>
        <w:t>2009），对报表“数字实质”的识别必须依靠本研究的证据链与评分方法。中国制度方向相反：加速折旧是合法工具（详见第六章）。</w:t>
      </w:r>
    </w:p>
    <w:p w14:paraId="01AA4DE3">
      <w:pPr>
        <w:pStyle w:val="4"/>
        <w:spacing w:before="320" w:after="160" w:line="360" w:lineRule="auto"/>
      </w:pPr>
      <w:bookmarkStart w:id="31" w:name="_Toc237"/>
      <w:bookmarkStart w:id="32" w:name="科创企业资产结构特征从砖瓦到算力"/>
      <w:r>
        <w:rPr>
          <w:rFonts w:ascii="Times New Roman" w:hAnsi="Times New Roman" w:eastAsia="黑体"/>
          <w:b/>
          <w:color w:val="003366"/>
          <w:sz w:val="28"/>
        </w:rPr>
        <w:t xml:space="preserve">2.1 </w:t>
      </w:r>
      <w:r>
        <w:rPr>
          <w:rFonts w:hint="eastAsia" w:ascii="Times New Roman" w:hAnsi="Times New Roman" w:eastAsia="黑体"/>
          <w:b/>
          <w:color w:val="003366"/>
          <w:sz w:val="28"/>
        </w:rPr>
        <w:t>科创企业资产结构特征：从“砖瓦”到“算力”</w:t>
      </w:r>
      <w:bookmarkEnd w:id="31"/>
    </w:p>
    <w:p w14:paraId="5007CC98">
      <w:pPr>
        <w:pStyle w:val="25"/>
        <w:spacing w:before="40" w:after="40" w:line="360" w:lineRule="auto"/>
        <w:ind w:firstLine="480"/>
      </w:pPr>
      <w:r>
        <w:rPr>
          <w:rFonts w:hint="eastAsia" w:ascii="Times New Roman" w:hAnsi="Times New Roman" w:eastAsia="宋体"/>
          <w:sz w:val="24"/>
        </w:rPr>
        <w:t>科创企业与传统企业的资产结构存在本质差异：传统企业的价值载体是厂房、机器、生产线，损耗以物理磨损为主，折旧年限</w:t>
      </w:r>
      <w:r>
        <w:rPr>
          <w:rFonts w:ascii="Times New Roman" w:hAnsi="Times New Roman" w:eastAsia="宋体"/>
          <w:sz w:val="24"/>
        </w:rPr>
        <w:t xml:space="preserve"> 10-20 </w:t>
      </w:r>
      <w:r>
        <w:rPr>
          <w:rFonts w:hint="eastAsia" w:ascii="Times New Roman" w:hAnsi="Times New Roman" w:eastAsia="宋体"/>
          <w:sz w:val="24"/>
        </w:rPr>
        <w:t>年仍属合理；科创企业的核心资产是研发设备、算力基础设施、软件与数据资产，价值损耗以技术贬值、功能过时为主——一台</w:t>
      </w:r>
      <w:r>
        <w:rPr>
          <w:rFonts w:ascii="Times New Roman" w:hAnsi="Times New Roman" w:eastAsia="宋体"/>
          <w:sz w:val="24"/>
        </w:rPr>
        <w:t xml:space="preserve"> AI </w:t>
      </w:r>
      <w:r>
        <w:rPr>
          <w:rFonts w:hint="eastAsia" w:ascii="Times New Roman" w:hAnsi="Times New Roman" w:eastAsia="宋体"/>
          <w:sz w:val="24"/>
        </w:rPr>
        <w:t>训练服务器购入三年后，可能因算力落后两代而经济价值腰斩，尽管其物理性能完好如新。本研究的实证样本进一步揭示了科创资产内部的谱系：运营型（云厂商数据中心）、设计型（fabless</w:t>
      </w:r>
      <w:r>
        <w:rPr>
          <w:rFonts w:ascii="Times New Roman" w:hAnsi="Times New Roman" w:eastAsia="宋体"/>
          <w:sz w:val="24"/>
        </w:rPr>
        <w:t xml:space="preserve"> </w:t>
      </w:r>
      <w:r>
        <w:rPr>
          <w:rFonts w:hint="eastAsia" w:ascii="Times New Roman" w:hAnsi="Times New Roman" w:eastAsia="宋体"/>
          <w:sz w:val="24"/>
        </w:rPr>
        <w:t>芯片）、制造型（晶圆厂/存储厂）、软件型（SaaS）四类资产的折旧风险形态截然不同，风险识别必须分型施策。</w:t>
      </w:r>
    </w:p>
    <w:bookmarkEnd w:id="32"/>
    <w:p w14:paraId="5D42CF1E">
      <w:pPr>
        <w:pStyle w:val="25"/>
        <w:spacing w:before="40" w:after="40" w:line="360" w:lineRule="auto"/>
        <w:ind w:firstLine="480"/>
      </w:pPr>
      <w:r>
        <w:rPr>
          <w:rFonts w:hint="eastAsia" w:ascii="Times New Roman" w:hAnsi="Times New Roman" w:eastAsia="宋体"/>
          <w:sz w:val="24"/>
        </w:rPr>
        <w:t>这一“时间错配”并非 AI 算力行业独有，而是硬科技行业的结构性特征。以光伏为例：太阳电池效率以每年约 0.6 个百分点持续提升，主流技术路线在 BSF、PERC、TOPCon、HJT、XBC 与叠层电池之间快速切换，组件主流功率从 2005 年不足 300W 升至 2026 年的 700W 以上；行业自身将这一规律总结为“每一次危机都伴随技术的跳跃提升”（晶澳科技，2026）。技术迭代周期系统性短于资产折旧年限，是科创企业的普遍处境——这也意味着本研究的识别框架具备跨行业迁移潜力。</w:t>
      </w:r>
    </w:p>
    <w:p w14:paraId="73FDF98D">
      <w:pPr>
        <w:pStyle w:val="4"/>
        <w:spacing w:before="320" w:after="160" w:line="360" w:lineRule="auto"/>
      </w:pPr>
      <w:bookmarkStart w:id="33" w:name="_Toc29792"/>
      <w:bookmarkStart w:id="34" w:name="折旧估计的会计制度空间"/>
      <w:r>
        <w:rPr>
          <w:rFonts w:ascii="Times New Roman" w:hAnsi="Times New Roman" w:eastAsia="黑体"/>
          <w:b/>
          <w:color w:val="003366"/>
          <w:sz w:val="28"/>
        </w:rPr>
        <w:t xml:space="preserve">2.2 </w:t>
      </w:r>
      <w:r>
        <w:rPr>
          <w:rFonts w:hint="eastAsia" w:ascii="Times New Roman" w:hAnsi="Times New Roman" w:eastAsia="黑体"/>
          <w:b/>
          <w:color w:val="003366"/>
          <w:sz w:val="28"/>
        </w:rPr>
        <w:t>折旧估计的会计制度空间</w:t>
      </w:r>
      <w:bookmarkEnd w:id="33"/>
    </w:p>
    <w:p w14:paraId="3B69FE00">
      <w:pPr>
        <w:pStyle w:val="25"/>
        <w:spacing w:before="40" w:after="40" w:line="360" w:lineRule="auto"/>
        <w:ind w:firstLine="480"/>
      </w:pPr>
      <w:r>
        <w:rPr>
          <w:rFonts w:hint="eastAsia" w:ascii="Times New Roman" w:hAnsi="Times New Roman" w:eastAsia="宋体"/>
          <w:sz w:val="24"/>
        </w:rPr>
        <w:t>美国</w:t>
      </w:r>
      <w:r>
        <w:rPr>
          <w:rFonts w:ascii="Times New Roman" w:hAnsi="Times New Roman" w:eastAsia="宋体"/>
          <w:sz w:val="24"/>
        </w:rPr>
        <w:t xml:space="preserve"> </w:t>
      </w:r>
      <w:r>
        <w:rPr>
          <w:rFonts w:hint="eastAsia" w:ascii="Times New Roman" w:hAnsi="Times New Roman" w:eastAsia="宋体"/>
          <w:sz w:val="24"/>
        </w:rPr>
        <w:t>GAAP：折旧方法（直线法为主流）与折旧年限均属会计估计。依</w:t>
      </w:r>
      <w:r>
        <w:rPr>
          <w:rFonts w:ascii="Times New Roman" w:hAnsi="Times New Roman" w:eastAsia="宋体"/>
          <w:sz w:val="24"/>
        </w:rPr>
        <w:t xml:space="preserve"> ASC </w:t>
      </w:r>
      <w:r>
        <w:rPr>
          <w:rFonts w:hint="eastAsia" w:ascii="Times New Roman" w:hAnsi="Times New Roman" w:eastAsia="宋体"/>
          <w:sz w:val="24"/>
        </w:rPr>
        <w:t>250，会计估计变更采用未来适用法（prospectively）——变更只影响当期及以后期间，不追溯调整历史报表。这意味着：延长年限的利润增厚立即兑现，而历史少提的折旧永不修正。准则要求披露变更的性质与影响金额（本研究的核心证据正来自这些法定披露），但不要求论证年限假设与技术迭代周期的匹配性——裁量空间由此产生。</w:t>
      </w:r>
    </w:p>
    <w:p w14:paraId="1074BE50">
      <w:pPr>
        <w:pStyle w:val="3"/>
        <w:spacing w:before="40" w:after="40" w:line="360" w:lineRule="auto"/>
        <w:ind w:firstLine="480"/>
      </w:pPr>
      <w:r>
        <w:rPr>
          <w:rFonts w:hint="eastAsia" w:ascii="Times New Roman" w:hAnsi="Times New Roman" w:eastAsia="宋体"/>
          <w:sz w:val="24"/>
        </w:rPr>
        <w:t>中国制度对照：中国企业会计准则同样采用未来适用法处理估计变更，制度通道与美国一致。但税法层面存在方向相反的政策导向：加速折旧（缩短年限至法定</w:t>
      </w:r>
      <w:r>
        <w:rPr>
          <w:rFonts w:ascii="Times New Roman" w:hAnsi="Times New Roman" w:eastAsia="宋体"/>
          <w:sz w:val="24"/>
        </w:rPr>
        <w:t xml:space="preserve"> 60% </w:t>
      </w:r>
      <w:r>
        <w:rPr>
          <w:rFonts w:hint="eastAsia" w:ascii="Times New Roman" w:hAnsi="Times New Roman" w:eastAsia="宋体"/>
          <w:sz w:val="24"/>
        </w:rPr>
        <w:t>或双倍余额递减/年数总和法）、≤500</w:t>
      </w:r>
      <w:r>
        <w:rPr>
          <w:rFonts w:ascii="Times New Roman" w:hAnsi="Times New Roman" w:eastAsia="宋体"/>
          <w:sz w:val="24"/>
        </w:rPr>
        <w:t xml:space="preserve"> </w:t>
      </w:r>
      <w:r>
        <w:rPr>
          <w:rFonts w:hint="eastAsia" w:ascii="Times New Roman" w:hAnsi="Times New Roman" w:eastAsia="宋体"/>
          <w:sz w:val="24"/>
        </w:rPr>
        <w:t>万元设备一次性税前扣除（延期至</w:t>
      </w:r>
      <w:r>
        <w:rPr>
          <w:rFonts w:ascii="Times New Roman" w:hAnsi="Times New Roman" w:eastAsia="宋体"/>
          <w:sz w:val="24"/>
        </w:rPr>
        <w:t xml:space="preserve"> 2027 </w:t>
      </w:r>
      <w:r>
        <w:rPr>
          <w:rFonts w:hint="eastAsia" w:ascii="Times New Roman" w:hAnsi="Times New Roman" w:eastAsia="宋体"/>
          <w:sz w:val="24"/>
        </w:rPr>
        <w:t>年）、研发设备折旧</w:t>
      </w:r>
      <w:r>
        <w:rPr>
          <w:rFonts w:ascii="Times New Roman" w:hAnsi="Times New Roman" w:eastAsia="宋体"/>
          <w:sz w:val="24"/>
        </w:rPr>
        <w:t xml:space="preserve"> 100% </w:t>
      </w:r>
      <w:r>
        <w:rPr>
          <w:rFonts w:hint="eastAsia" w:ascii="Times New Roman" w:hAnsi="Times New Roman" w:eastAsia="宋体"/>
          <w:sz w:val="24"/>
        </w:rPr>
        <w:t>加计扣除——中国制度鼓励让账面折旧快于、而非慢于技术迭代（详见第六章）。</w:t>
      </w:r>
    </w:p>
    <w:bookmarkEnd w:id="34"/>
    <w:p w14:paraId="7463C3D9">
      <w:pPr>
        <w:pStyle w:val="4"/>
        <w:spacing w:before="320" w:after="160" w:line="360" w:lineRule="auto"/>
      </w:pPr>
      <w:bookmarkStart w:id="35" w:name="_Toc27071"/>
      <w:bookmarkStart w:id="36" w:name="文献综述与方法论定位"/>
      <w:r>
        <w:rPr>
          <w:rFonts w:ascii="Times New Roman" w:hAnsi="Times New Roman" w:eastAsia="黑体"/>
          <w:b/>
          <w:color w:val="003366"/>
          <w:sz w:val="28"/>
        </w:rPr>
        <w:t xml:space="preserve">2.3 </w:t>
      </w:r>
      <w:r>
        <w:rPr>
          <w:rFonts w:hint="eastAsia" w:ascii="Times New Roman" w:hAnsi="Times New Roman" w:eastAsia="黑体"/>
          <w:b/>
          <w:color w:val="003366"/>
          <w:sz w:val="28"/>
        </w:rPr>
        <w:t>文献综述与方法论定位</w:t>
      </w:r>
      <w:bookmarkEnd w:id="35"/>
    </w:p>
    <w:p w14:paraId="62929CEB">
      <w:pPr>
        <w:pStyle w:val="5"/>
        <w:spacing w:before="240" w:after="120" w:line="360" w:lineRule="auto"/>
      </w:pPr>
      <w:bookmarkStart w:id="37" w:name="行业与政策研究脉络"/>
      <w:r>
        <w:rPr>
          <w:rFonts w:ascii="Times New Roman" w:hAnsi="Times New Roman" w:eastAsia="黑体"/>
          <w:b/>
          <w:color w:val="003366"/>
          <w:sz w:val="24"/>
        </w:rPr>
        <w:t xml:space="preserve">2.3.1 </w:t>
      </w:r>
      <w:r>
        <w:rPr>
          <w:rFonts w:hint="eastAsia" w:ascii="Times New Roman" w:hAnsi="Times New Roman" w:eastAsia="黑体"/>
          <w:b/>
          <w:color w:val="003366"/>
          <w:sz w:val="24"/>
        </w:rPr>
        <w:t>行业与政策研究脉络</w:t>
      </w:r>
    </w:p>
    <w:p w14:paraId="3DCCBCE7">
      <w:pPr>
        <w:pStyle w:val="25"/>
        <w:spacing w:before="40" w:after="40" w:line="360" w:lineRule="auto"/>
        <w:ind w:firstLine="480"/>
      </w:pPr>
      <w:r>
        <w:rPr>
          <w:rFonts w:hint="eastAsia" w:ascii="Times New Roman" w:hAnsi="Times New Roman" w:eastAsia="宋体"/>
          <w:sz w:val="24"/>
        </w:rPr>
        <w:t>与本研究直接相关的行业证据链包括：Michael</w:t>
      </w:r>
      <w:r>
        <w:rPr>
          <w:rFonts w:ascii="Times New Roman" w:hAnsi="Times New Roman" w:eastAsia="宋体"/>
          <w:sz w:val="24"/>
        </w:rPr>
        <w:t xml:space="preserve"> Burry </w:t>
      </w:r>
      <w:r>
        <w:rPr>
          <w:rFonts w:hint="eastAsia" w:ascii="Times New Roman" w:hAnsi="Times New Roman" w:eastAsia="宋体"/>
          <w:sz w:val="24"/>
        </w:rPr>
        <w:t>关于折旧年限的激进变更的公开指控与</w:t>
      </w:r>
      <w:r>
        <w:rPr>
          <w:rFonts w:ascii="Times New Roman" w:hAnsi="Times New Roman" w:eastAsia="宋体"/>
          <w:sz w:val="24"/>
        </w:rPr>
        <w:t xml:space="preserve"> 1760 </w:t>
      </w:r>
      <w:r>
        <w:rPr>
          <w:rFonts w:hint="eastAsia" w:ascii="Times New Roman" w:hAnsi="Times New Roman" w:eastAsia="宋体"/>
          <w:sz w:val="24"/>
        </w:rPr>
        <w:t>亿美元低估估算（2025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月，含对</w:t>
      </w:r>
      <w:r>
        <w:rPr>
          <w:rFonts w:ascii="Times New Roman" w:hAnsi="Times New Roman" w:eastAsia="宋体"/>
          <w:sz w:val="24"/>
        </w:rPr>
        <w:t xml:space="preserve"> Oracle 26.9%、Meta </w:t>
      </w:r>
      <w:r>
        <w:rPr>
          <w:rFonts w:hint="eastAsia" w:ascii="Times New Roman" w:hAnsi="Times New Roman" w:eastAsia="宋体"/>
          <w:sz w:val="24"/>
        </w:rPr>
        <w:t>20.8%（均为</w:t>
      </w:r>
      <w:r>
        <w:rPr>
          <w:rFonts w:ascii="Times New Roman" w:hAnsi="Times New Roman" w:eastAsia="宋体"/>
          <w:sz w:val="24"/>
        </w:rPr>
        <w:t xml:space="preserve"> 2028 </w:t>
      </w:r>
      <w:r>
        <w:rPr>
          <w:rFonts w:hint="eastAsia" w:ascii="Times New Roman" w:hAnsi="Times New Roman" w:eastAsia="宋体"/>
          <w:sz w:val="24"/>
        </w:rPr>
        <w:t>年单年）的点名）；伯恩斯坦（Stacy</w:t>
      </w:r>
      <w:r>
        <w:rPr>
          <w:rFonts w:ascii="Times New Roman" w:hAnsi="Times New Roman" w:eastAsia="宋体"/>
          <w:sz w:val="24"/>
        </w:rPr>
        <w:t xml:space="preserve"> A. </w:t>
      </w:r>
      <w:r>
        <w:rPr>
          <w:rFonts w:hint="eastAsia" w:ascii="Times New Roman" w:hAnsi="Times New Roman" w:eastAsia="宋体"/>
          <w:sz w:val="24"/>
        </w:rPr>
        <w:t>Rasgon）关于</w:t>
      </w:r>
      <w:r>
        <w:rPr>
          <w:rFonts w:ascii="Times New Roman" w:hAnsi="Times New Roman" w:eastAsia="宋体"/>
          <w:sz w:val="24"/>
        </w:rPr>
        <w:t xml:space="preserve"> GPU </w:t>
      </w:r>
      <w:r>
        <w:rPr>
          <w:rFonts w:hint="eastAsia" w:ascii="Times New Roman" w:hAnsi="Times New Roman" w:eastAsia="宋体"/>
          <w:sz w:val="24"/>
        </w:rPr>
        <w:t>可盈利运行约</w:t>
      </w:r>
      <w:r>
        <w:rPr>
          <w:rFonts w:ascii="Times New Roman" w:hAnsi="Times New Roman" w:eastAsia="宋体"/>
          <w:sz w:val="24"/>
        </w:rPr>
        <w:t xml:space="preserve"> 6 </w:t>
      </w:r>
      <w:r>
        <w:rPr>
          <w:rFonts w:hint="eastAsia" w:ascii="Times New Roman" w:hAnsi="Times New Roman" w:eastAsia="宋体"/>
          <w:sz w:val="24"/>
        </w:rPr>
        <w:t>年、折旧会计大体合理的反方报告（2025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月中旬）；美国银行（Justin</w:t>
      </w:r>
      <w:r>
        <w:rPr>
          <w:rFonts w:ascii="Times New Roman" w:hAnsi="Times New Roman" w:eastAsia="宋体"/>
          <w:sz w:val="24"/>
        </w:rPr>
        <w:t xml:space="preserve"> </w:t>
      </w:r>
      <w:r>
        <w:rPr>
          <w:rFonts w:hint="eastAsia" w:ascii="Times New Roman" w:hAnsi="Times New Roman" w:eastAsia="宋体"/>
          <w:sz w:val="24"/>
        </w:rPr>
        <w:t>Post）关于</w:t>
      </w:r>
      <w:r>
        <w:rPr>
          <w:rFonts w:ascii="Times New Roman" w:hAnsi="Times New Roman" w:eastAsia="宋体"/>
          <w:sz w:val="24"/>
        </w:rPr>
        <w:t xml:space="preserve"> 2026 </w:t>
      </w:r>
      <w:r>
        <w:rPr>
          <w:rFonts w:hint="eastAsia" w:ascii="Times New Roman" w:hAnsi="Times New Roman" w:eastAsia="宋体"/>
          <w:sz w:val="24"/>
        </w:rPr>
        <w:t>年后折旧费用加速的市场共识低估测算；摩根士丹利关于</w:t>
      </w:r>
      <w:r>
        <w:rPr>
          <w:rFonts w:ascii="Times New Roman" w:hAnsi="Times New Roman" w:eastAsia="宋体"/>
          <w:sz w:val="24"/>
        </w:rPr>
        <w:t xml:space="preserve"> AI </w:t>
      </w:r>
      <w:r>
        <w:rPr>
          <w:rFonts w:hint="eastAsia" w:ascii="Times New Roman" w:hAnsi="Times New Roman" w:eastAsia="宋体"/>
          <w:sz w:val="24"/>
        </w:rPr>
        <w:t>投资真实规模与折旧冲击的警告；英格兰银行关于</w:t>
      </w:r>
      <w:r>
        <w:rPr>
          <w:rFonts w:ascii="Times New Roman" w:hAnsi="Times New Roman" w:eastAsia="宋体"/>
          <w:sz w:val="24"/>
        </w:rPr>
        <w:t xml:space="preserve"> AI </w:t>
      </w:r>
      <w:r>
        <w:rPr>
          <w:rFonts w:hint="eastAsia" w:ascii="Times New Roman" w:hAnsi="Times New Roman" w:eastAsia="宋体"/>
          <w:sz w:val="24"/>
        </w:rPr>
        <w:t>收益不确定性的系统性风险提示。上述来源构成本研究的“现象层”证据（是什么、多大、谁在争）。</w:t>
      </w:r>
    </w:p>
    <w:bookmarkEnd w:id="37"/>
    <w:p w14:paraId="50894700">
      <w:pPr>
        <w:pStyle w:val="5"/>
        <w:spacing w:before="240" w:after="120" w:line="360" w:lineRule="auto"/>
      </w:pPr>
      <w:bookmarkStart w:id="38" w:name="学术文献定位一个新方向的方法论祖先"/>
      <w:r>
        <w:rPr>
          <w:rFonts w:ascii="Times New Roman" w:hAnsi="Times New Roman" w:eastAsia="黑体"/>
          <w:b/>
          <w:color w:val="003366"/>
          <w:sz w:val="24"/>
        </w:rPr>
        <w:t xml:space="preserve">2.3.2 </w:t>
      </w:r>
      <w:r>
        <w:rPr>
          <w:rFonts w:hint="eastAsia" w:ascii="Times New Roman" w:hAnsi="Times New Roman" w:eastAsia="黑体"/>
          <w:b/>
          <w:color w:val="003366"/>
          <w:sz w:val="24"/>
        </w:rPr>
        <w:t>学术文献定位：一个“新方向”的方法论祖先</w:t>
      </w:r>
    </w:p>
    <w:p w14:paraId="5CEC9FE8">
      <w:pPr>
        <w:pStyle w:val="25"/>
        <w:spacing w:before="40" w:after="40" w:line="360" w:lineRule="auto"/>
        <w:ind w:firstLine="480"/>
      </w:pPr>
      <w:r>
        <w:rPr>
          <w:rFonts w:hint="eastAsia" w:ascii="Times New Roman" w:hAnsi="Times New Roman" w:eastAsia="宋体"/>
          <w:sz w:val="24"/>
        </w:rPr>
        <w:t>本研究聚焦“AI</w:t>
      </w:r>
      <w:r>
        <w:rPr>
          <w:rFonts w:ascii="Times New Roman" w:hAnsi="Times New Roman" w:eastAsia="宋体"/>
          <w:sz w:val="24"/>
        </w:rPr>
        <w:t xml:space="preserve"> </w:t>
      </w:r>
      <w:r>
        <w:rPr>
          <w:rFonts w:hint="eastAsia" w:ascii="Times New Roman" w:hAnsi="Times New Roman" w:eastAsia="宋体"/>
          <w:sz w:val="24"/>
        </w:rPr>
        <w:t>算力资产折旧错配”这一近一两年才随生成式</w:t>
      </w:r>
      <w:r>
        <w:rPr>
          <w:rFonts w:ascii="Times New Roman" w:hAnsi="Times New Roman" w:eastAsia="宋体"/>
          <w:sz w:val="24"/>
        </w:rPr>
        <w:t xml:space="preserve"> AI </w:t>
      </w:r>
      <w:r>
        <w:rPr>
          <w:rFonts w:hint="eastAsia" w:ascii="Times New Roman" w:hAnsi="Times New Roman" w:eastAsia="宋体"/>
          <w:sz w:val="24"/>
        </w:rPr>
        <w:t>资本开支狂潮浮现的特有风险，直接以之为题的同行评审文献尚少。这并非研究空白，而是因为问题的制度前提（千亿美元级</w:t>
      </w:r>
      <w:r>
        <w:rPr>
          <w:rFonts w:ascii="Times New Roman" w:hAnsi="Times New Roman" w:eastAsia="宋体"/>
          <w:sz w:val="24"/>
        </w:rPr>
        <w:t xml:space="preserve"> AI </w:t>
      </w:r>
      <w:r>
        <w:rPr>
          <w:rFonts w:hint="eastAsia" w:ascii="Times New Roman" w:hAnsi="Times New Roman" w:eastAsia="宋体"/>
          <w:sz w:val="24"/>
        </w:rPr>
        <w:t>资本开支</w:t>
      </w:r>
      <w:r>
        <w:rPr>
          <w:rFonts w:ascii="Times New Roman" w:hAnsi="Times New Roman" w:eastAsia="宋体"/>
          <w:sz w:val="24"/>
        </w:rPr>
        <w:t xml:space="preserve"> + 1-2 </w:t>
      </w:r>
      <w:r>
        <w:rPr>
          <w:rFonts w:hint="eastAsia" w:ascii="Times New Roman" w:hAnsi="Times New Roman" w:eastAsia="宋体"/>
          <w:sz w:val="24"/>
        </w:rPr>
        <w:t>年技术迭代</w:t>
      </w:r>
      <w:r>
        <w:rPr>
          <w:rFonts w:ascii="Times New Roman" w:hAnsi="Times New Roman" w:eastAsia="宋体"/>
          <w:sz w:val="24"/>
        </w:rPr>
        <w:t xml:space="preserve"> vs 4-8 </w:t>
      </w:r>
      <w:r>
        <w:rPr>
          <w:rFonts w:hint="eastAsia" w:ascii="Times New Roman" w:hAnsi="Times New Roman" w:eastAsia="宋体"/>
          <w:sz w:val="24"/>
        </w:rPr>
        <w:t>年会计寿命）是</w:t>
      </w:r>
      <w:r>
        <w:rPr>
          <w:rFonts w:ascii="Times New Roman" w:hAnsi="Times New Roman" w:eastAsia="宋体"/>
          <w:sz w:val="24"/>
        </w:rPr>
        <w:t xml:space="preserve"> 2023 </w:t>
      </w:r>
      <w:r>
        <w:rPr>
          <w:rFonts w:hint="eastAsia" w:ascii="Times New Roman" w:hAnsi="Times New Roman" w:eastAsia="宋体"/>
          <w:sz w:val="24"/>
        </w:rPr>
        <w:t>年后的新事实。因此，本研究的学术定位不是“填补某一成熟领域的缺口”，而是将三条已成熟的相邻文献脉络嫁接到这一新场景，形成可验证的方法论：</w:t>
      </w:r>
    </w:p>
    <w:p w14:paraId="5626419A">
      <w:pPr>
        <w:pStyle w:val="3"/>
        <w:spacing w:before="40" w:after="40" w:line="360" w:lineRule="auto"/>
        <w:ind w:firstLine="480"/>
      </w:pPr>
      <w:r>
        <w:rPr>
          <w:rFonts w:hint="eastAsia" w:ascii="Times New Roman" w:hAnsi="Times New Roman" w:eastAsia="宋体"/>
          <w:sz w:val="24"/>
        </w:rPr>
        <w:t>脉络一：财报文本挖掘（NLP/词典法）。Loughran</w:t>
      </w:r>
      <w:r>
        <w:rPr>
          <w:rFonts w:ascii="Times New Roman" w:hAnsi="Times New Roman" w:eastAsia="宋体"/>
          <w:sz w:val="24"/>
        </w:rPr>
        <w:t xml:space="preserve"> &amp; McDonald (2011) </w:t>
      </w:r>
      <w:r>
        <w:rPr>
          <w:rFonts w:hint="eastAsia" w:ascii="Times New Roman" w:hAnsi="Times New Roman" w:eastAsia="宋体"/>
          <w:sz w:val="24"/>
        </w:rPr>
        <w:t>开创的财务风险文本词典与</w:t>
      </w:r>
      <w:r>
        <w:rPr>
          <w:rFonts w:ascii="Times New Roman" w:hAnsi="Times New Roman" w:eastAsia="宋体"/>
          <w:sz w:val="24"/>
        </w:rPr>
        <w:t xml:space="preserve"> 10-K </w:t>
      </w:r>
      <w:r>
        <w:rPr>
          <w:rFonts w:hint="eastAsia" w:ascii="Times New Roman" w:hAnsi="Times New Roman" w:eastAsia="宋体"/>
          <w:sz w:val="24"/>
        </w:rPr>
        <w:t>文本计量方法，以及</w:t>
      </w:r>
      <w:r>
        <w:rPr>
          <w:rFonts w:ascii="Times New Roman" w:hAnsi="Times New Roman" w:eastAsia="宋体"/>
          <w:sz w:val="24"/>
        </w:rPr>
        <w:t xml:space="preserve"> Li (2010) </w:t>
      </w:r>
      <w:r>
        <w:rPr>
          <w:rFonts w:hint="eastAsia" w:ascii="Times New Roman" w:hAnsi="Times New Roman" w:eastAsia="宋体"/>
          <w:sz w:val="24"/>
        </w:rPr>
        <w:t>关于</w:t>
      </w:r>
      <w:r>
        <w:rPr>
          <w:rFonts w:ascii="Times New Roman" w:hAnsi="Times New Roman" w:eastAsia="宋体"/>
          <w:sz w:val="24"/>
        </w:rPr>
        <w:t xml:space="preserve"> MD&amp;A </w:t>
      </w:r>
      <w:r>
        <w:rPr>
          <w:rFonts w:hint="eastAsia" w:ascii="Times New Roman" w:hAnsi="Times New Roman" w:eastAsia="宋体"/>
          <w:sz w:val="24"/>
        </w:rPr>
        <w:t>文本语气与未来业绩的研究，构成本研究“关键词检索矩阵</w:t>
      </w:r>
      <w:r>
        <w:rPr>
          <w:rFonts w:ascii="Times New Roman" w:hAnsi="Times New Roman" w:eastAsia="宋体"/>
          <w:sz w:val="24"/>
        </w:rPr>
        <w:t xml:space="preserve"> + </w:t>
      </w:r>
      <w:r>
        <w:rPr>
          <w:rFonts w:hint="eastAsia" w:ascii="Times New Roman" w:hAnsi="Times New Roman" w:eastAsia="宋体"/>
          <w:sz w:val="24"/>
        </w:rPr>
        <w:t>四列证据链”的直接方法论祖先——本研究用确定性的会计估计变更披露（而非语气情感）作为信号源，是该脉络在“硬会计事件”上的细化。</w:t>
      </w:r>
    </w:p>
    <w:p w14:paraId="4FBE889E">
      <w:pPr>
        <w:pStyle w:val="3"/>
        <w:spacing w:before="40" w:after="40" w:line="360" w:lineRule="auto"/>
        <w:ind w:firstLine="480"/>
      </w:pPr>
      <w:r>
        <w:rPr>
          <w:rFonts w:hint="eastAsia" w:ascii="Times New Roman" w:hAnsi="Times New Roman" w:eastAsia="宋体"/>
          <w:sz w:val="24"/>
        </w:rPr>
        <w:t>脉络二：会计估计变更、折旧政策与盈余管理。Fields,</w:t>
      </w:r>
      <w:r>
        <w:rPr>
          <w:rFonts w:ascii="Times New Roman" w:hAnsi="Times New Roman" w:eastAsia="宋体"/>
          <w:sz w:val="24"/>
        </w:rPr>
        <w:t xml:space="preserve"> Lys &amp; Vincent (2001) </w:t>
      </w:r>
      <w:r>
        <w:rPr>
          <w:rFonts w:hint="eastAsia" w:ascii="Times New Roman" w:hAnsi="Times New Roman" w:eastAsia="宋体"/>
          <w:sz w:val="24"/>
        </w:rPr>
        <w:t>对盈余管理文献的综述，吴溪、杨育龙、陆正飞</w:t>
      </w:r>
      <w:r>
        <w:rPr>
          <w:rFonts w:ascii="Times New Roman" w:hAnsi="Times New Roman" w:eastAsia="宋体"/>
          <w:sz w:val="24"/>
        </w:rPr>
        <w:t xml:space="preserve"> (2015) </w:t>
      </w:r>
      <w:r>
        <w:rPr>
          <w:rFonts w:hint="eastAsia" w:ascii="Times New Roman" w:hAnsi="Times New Roman" w:eastAsia="宋体"/>
          <w:sz w:val="24"/>
        </w:rPr>
        <w:t>基于</w:t>
      </w:r>
      <w:r>
        <w:rPr>
          <w:rFonts w:ascii="Times New Roman" w:hAnsi="Times New Roman" w:eastAsia="宋体"/>
          <w:sz w:val="24"/>
        </w:rPr>
        <w:t xml:space="preserve"> A </w:t>
      </w:r>
      <w:r>
        <w:rPr>
          <w:rFonts w:hint="eastAsia" w:ascii="Times New Roman" w:hAnsi="Times New Roman" w:eastAsia="宋体"/>
          <w:sz w:val="24"/>
        </w:rPr>
        <w:t>股折旧率变更数据的实证，以及潘素梅</w:t>
      </w:r>
      <w:r>
        <w:rPr>
          <w:rFonts w:ascii="Times New Roman" w:hAnsi="Times New Roman" w:eastAsia="宋体"/>
          <w:sz w:val="24"/>
        </w:rPr>
        <w:t xml:space="preserve"> (2021) </w:t>
      </w:r>
      <w:r>
        <w:rPr>
          <w:rFonts w:hint="eastAsia" w:ascii="Times New Roman" w:hAnsi="Times New Roman" w:eastAsia="宋体"/>
          <w:sz w:val="24"/>
        </w:rPr>
        <w:t>关于固定资产折旧政策选择的研究，共同说明“折旧/摊销年限属于管理层裁量、且其变更具有信息内涵”——这是本研究将“年限延长”设为关键风险维度的理论依据。</w:t>
      </w:r>
    </w:p>
    <w:p w14:paraId="02DA58A9">
      <w:pPr>
        <w:pStyle w:val="3"/>
        <w:spacing w:before="40" w:after="40" w:line="360" w:lineRule="auto"/>
        <w:ind w:firstLine="480"/>
      </w:pPr>
      <w:r>
        <w:rPr>
          <w:rFonts w:hint="eastAsia" w:ascii="Times New Roman" w:hAnsi="Times New Roman" w:eastAsia="宋体"/>
          <w:sz w:val="24"/>
        </w:rPr>
        <w:t>脉络三：资产减值与崩盘风险。Elliott</w:t>
      </w:r>
      <w:r>
        <w:rPr>
          <w:rFonts w:ascii="Times New Roman" w:hAnsi="Times New Roman" w:eastAsia="宋体"/>
          <w:sz w:val="24"/>
        </w:rPr>
        <w:t xml:space="preserve"> &amp; Hanna (1996) </w:t>
      </w:r>
      <w:r>
        <w:rPr>
          <w:rFonts w:hint="eastAsia" w:ascii="Times New Roman" w:hAnsi="Times New Roman" w:eastAsia="宋体"/>
          <w:sz w:val="24"/>
        </w:rPr>
        <w:t>关于重复减值洗大澡的研究，以及</w:t>
      </w:r>
      <w:r>
        <w:rPr>
          <w:rFonts w:ascii="Times New Roman" w:hAnsi="Times New Roman" w:eastAsia="宋体"/>
          <w:sz w:val="24"/>
        </w:rPr>
        <w:t xml:space="preserve"> Hutton, Marcus &amp; Tehranian (2009) </w:t>
      </w:r>
      <w:r>
        <w:rPr>
          <w:rFonts w:hint="eastAsia" w:ascii="Times New Roman" w:hAnsi="Times New Roman" w:eastAsia="宋体"/>
          <w:sz w:val="24"/>
        </w:rPr>
        <w:t>关于“财报不透明</w:t>
      </w:r>
      <w:r>
        <w:rPr>
          <w:rFonts w:ascii="Times New Roman" w:hAnsi="Times New Roman" w:eastAsia="宋体"/>
          <w:sz w:val="24"/>
        </w:rPr>
        <w:t xml:space="preserve"> → </w:t>
      </w:r>
      <w:r>
        <w:rPr>
          <w:rFonts w:hint="eastAsia" w:ascii="Times New Roman" w:hAnsi="Times New Roman" w:eastAsia="宋体"/>
          <w:sz w:val="24"/>
        </w:rPr>
        <w:t>股价崩盘风险上升”的经典发现，为本研究的</w:t>
      </w:r>
      <w:r>
        <w:rPr>
          <w:rFonts w:ascii="Times New Roman" w:hAnsi="Times New Roman" w:eastAsia="宋体"/>
          <w:sz w:val="24"/>
        </w:rPr>
        <w:t xml:space="preserve"> </w:t>
      </w:r>
      <w:r>
        <w:rPr>
          <w:rFonts w:hint="eastAsia" w:ascii="Times New Roman" w:hAnsi="Times New Roman" w:eastAsia="宋体"/>
          <w:sz w:val="24"/>
        </w:rPr>
        <w:t>D3（减值触发）维度与“风险后果”分析提供理论支撑（详见</w:t>
      </w:r>
      <w:r>
        <w:rPr>
          <w:rFonts w:ascii="Times New Roman" w:hAnsi="Times New Roman" w:eastAsia="宋体"/>
          <w:sz w:val="24"/>
        </w:rPr>
        <w:t xml:space="preserve"> </w:t>
      </w:r>
      <w:r>
        <w:rPr>
          <w:rFonts w:hint="eastAsia" w:ascii="Times New Roman" w:hAnsi="Times New Roman" w:eastAsia="宋体"/>
          <w:sz w:val="24"/>
        </w:rPr>
        <w:t>2.3.3）。</w:t>
      </w:r>
    </w:p>
    <w:bookmarkEnd w:id="38"/>
    <w:p w14:paraId="4072F3D0">
      <w:pPr>
        <w:pStyle w:val="5"/>
        <w:spacing w:before="240" w:after="120" w:line="360" w:lineRule="auto"/>
      </w:pPr>
      <w:bookmarkStart w:id="39" w:name="一个必要的辨析披露合规-会计透明"/>
      <w:r>
        <w:rPr>
          <w:rFonts w:ascii="Times New Roman" w:hAnsi="Times New Roman" w:eastAsia="黑体"/>
          <w:b/>
          <w:color w:val="003366"/>
          <w:sz w:val="24"/>
        </w:rPr>
        <w:t xml:space="preserve">2.3.3 </w:t>
      </w:r>
      <w:r>
        <w:rPr>
          <w:rFonts w:hint="eastAsia" w:ascii="Times New Roman" w:hAnsi="Times New Roman" w:eastAsia="黑体"/>
          <w:b/>
          <w:color w:val="003366"/>
          <w:sz w:val="24"/>
        </w:rPr>
        <w:t>一个必要的辨析：披露合规</w:t>
      </w:r>
      <w:r>
        <w:rPr>
          <w:rFonts w:ascii="Times New Roman" w:hAnsi="Times New Roman" w:eastAsia="黑体"/>
          <w:b/>
          <w:color w:val="003366"/>
          <w:sz w:val="24"/>
        </w:rPr>
        <w:t xml:space="preserve"> ≠ </w:t>
      </w:r>
      <w:r>
        <w:rPr>
          <w:rFonts w:hint="eastAsia" w:ascii="Times New Roman" w:hAnsi="Times New Roman" w:eastAsia="黑体"/>
          <w:b/>
          <w:color w:val="003366"/>
          <w:sz w:val="24"/>
        </w:rPr>
        <w:t>会计透明</w:t>
      </w:r>
    </w:p>
    <w:p w14:paraId="45D3C9B0">
      <w:pPr>
        <w:pStyle w:val="25"/>
        <w:spacing w:before="40" w:after="40" w:line="360" w:lineRule="auto"/>
        <w:ind w:firstLine="480"/>
      </w:pPr>
      <w:r>
        <w:rPr>
          <w:rFonts w:hint="eastAsia" w:ascii="Times New Roman" w:hAnsi="Times New Roman" w:eastAsia="宋体"/>
          <w:sz w:val="24"/>
        </w:rPr>
        <w:t>引入</w:t>
      </w:r>
      <w:r>
        <w:rPr>
          <w:rFonts w:ascii="Times New Roman" w:hAnsi="Times New Roman" w:eastAsia="宋体"/>
          <w:sz w:val="24"/>
        </w:rPr>
        <w:t xml:space="preserve"> Hutton et al. (2009) </w:t>
      </w:r>
      <w:r>
        <w:rPr>
          <w:rFonts w:hint="eastAsia" w:ascii="Times New Roman" w:hAnsi="Times New Roman" w:eastAsia="宋体"/>
          <w:sz w:val="24"/>
        </w:rPr>
        <w:t>时需澄清一个常见误解：美国证券法规并不保证财报“透明”，它只要求“风险被文字披露”。</w:t>
      </w:r>
      <w:r>
        <w:rPr>
          <w:rFonts w:ascii="Times New Roman" w:hAnsi="Times New Roman" w:eastAsia="宋体"/>
          <w:sz w:val="24"/>
        </w:rPr>
        <w:t xml:space="preserve"> </w:t>
      </w:r>
      <w:r>
        <w:rPr>
          <w:rFonts w:hint="eastAsia" w:ascii="Times New Roman" w:hAnsi="Times New Roman" w:eastAsia="宋体"/>
          <w:sz w:val="24"/>
        </w:rPr>
        <w:t>具体而言：</w:t>
      </w:r>
    </w:p>
    <w:p w14:paraId="04823272">
      <w:pPr>
        <w:pStyle w:val="3"/>
        <w:spacing w:before="40" w:after="40" w:line="360" w:lineRule="auto"/>
        <w:ind w:firstLine="480"/>
      </w:pPr>
      <w:r>
        <w:rPr>
          <w:rFonts w:ascii="Times New Roman" w:hAnsi="Times New Roman" w:eastAsia="宋体"/>
          <w:sz w:val="24"/>
        </w:rPr>
        <w:t xml:space="preserve">SEC </w:t>
      </w:r>
      <w:r>
        <w:rPr>
          <w:rFonts w:hint="eastAsia" w:ascii="Times New Roman" w:hAnsi="Times New Roman" w:eastAsia="宋体"/>
          <w:sz w:val="24"/>
        </w:rPr>
        <w:t>要求公司在</w:t>
      </w:r>
      <w:r>
        <w:rPr>
          <w:rFonts w:ascii="Times New Roman" w:hAnsi="Times New Roman" w:eastAsia="宋体"/>
          <w:sz w:val="24"/>
        </w:rPr>
        <w:t xml:space="preserve"> 10-K </w:t>
      </w:r>
      <w:r>
        <w:rPr>
          <w:rFonts w:hint="eastAsia" w:ascii="Times New Roman" w:hAnsi="Times New Roman" w:eastAsia="宋体"/>
          <w:sz w:val="24"/>
        </w:rPr>
        <w:t>的</w:t>
      </w:r>
      <w:r>
        <w:rPr>
          <w:rFonts w:ascii="Times New Roman" w:hAnsi="Times New Roman" w:eastAsia="宋体"/>
          <w:sz w:val="24"/>
        </w:rPr>
        <w:t xml:space="preserve"> Risk </w:t>
      </w:r>
      <w:r>
        <w:rPr>
          <w:rFonts w:hint="eastAsia" w:ascii="Times New Roman" w:hAnsi="Times New Roman" w:eastAsia="宋体"/>
          <w:sz w:val="24"/>
        </w:rPr>
        <w:t>Factors（Item</w:t>
      </w:r>
      <w:r>
        <w:rPr>
          <w:rFonts w:ascii="Times New Roman" w:hAnsi="Times New Roman" w:eastAsia="宋体"/>
          <w:sz w:val="24"/>
        </w:rPr>
        <w:t xml:space="preserve"> </w:t>
      </w:r>
      <w:r>
        <w:rPr>
          <w:rFonts w:hint="eastAsia" w:ascii="Times New Roman" w:hAnsi="Times New Roman" w:eastAsia="宋体"/>
          <w:sz w:val="24"/>
        </w:rPr>
        <w:t>1A）章节列示已知重大风险，并通过</w:t>
      </w:r>
      <w:r>
        <w:rPr>
          <w:rFonts w:ascii="Times New Roman" w:hAnsi="Times New Roman" w:eastAsia="宋体"/>
          <w:sz w:val="24"/>
        </w:rPr>
        <w:t xml:space="preserve"> 1995 </w:t>
      </w:r>
      <w:r>
        <w:rPr>
          <w:rFonts w:hint="eastAsia" w:ascii="Times New Roman" w:hAnsi="Times New Roman" w:eastAsia="宋体"/>
          <w:sz w:val="24"/>
        </w:rPr>
        <w:t>年《私人证券诉讼改革法》（PSLRA）的“安全港”条款，对附充分警示的前瞻性陈述提供免责保护——但该保护不适用于历史财务数据的虚假记载与会计舞弊，也不要求公司论证折旧年限假设与技术迭代周期的匹配性（见</w:t>
      </w:r>
      <w:r>
        <w:rPr>
          <w:rFonts w:ascii="Times New Roman" w:hAnsi="Times New Roman" w:eastAsia="宋体"/>
          <w:sz w:val="24"/>
        </w:rPr>
        <w:t xml:space="preserve"> </w:t>
      </w:r>
      <w:r>
        <w:rPr>
          <w:rFonts w:hint="eastAsia" w:ascii="Times New Roman" w:hAnsi="Times New Roman" w:eastAsia="宋体"/>
          <w:sz w:val="24"/>
        </w:rPr>
        <w:t>2.2）。</w:t>
      </w:r>
    </w:p>
    <w:p w14:paraId="5CF63256">
      <w:pPr>
        <w:pStyle w:val="3"/>
        <w:spacing w:before="40" w:after="40" w:line="360" w:lineRule="auto"/>
        <w:ind w:firstLine="480"/>
      </w:pPr>
      <w:r>
        <w:rPr>
          <w:rFonts w:hint="eastAsia" w:ascii="Times New Roman" w:hAnsi="Times New Roman" w:eastAsia="宋体"/>
          <w:sz w:val="24"/>
        </w:rPr>
        <w:t>因此，“风险章节写得很厚”与“会计数字本身透明”是两个不同层面：一家公司可以完全合规地写完</w:t>
      </w:r>
      <w:r>
        <w:rPr>
          <w:rFonts w:ascii="Times New Roman" w:hAnsi="Times New Roman" w:eastAsia="宋体"/>
          <w:sz w:val="24"/>
        </w:rPr>
        <w:t xml:space="preserve"> Risk </w:t>
      </w:r>
      <w:r>
        <w:rPr>
          <w:rFonts w:hint="eastAsia" w:ascii="Times New Roman" w:hAnsi="Times New Roman" w:eastAsia="宋体"/>
          <w:sz w:val="24"/>
        </w:rPr>
        <w:t>Factors，却仍通过折旧/摊销年限的会计估计裁量（正是本研究的考察对象）在报表数字里隐藏经济实质。</w:t>
      </w:r>
    </w:p>
    <w:p w14:paraId="658721DF">
      <w:pPr>
        <w:pStyle w:val="3"/>
        <w:spacing w:before="40" w:after="40" w:line="360" w:lineRule="auto"/>
        <w:ind w:firstLine="480"/>
      </w:pPr>
      <w:r>
        <w:rPr>
          <w:rFonts w:ascii="Times New Roman" w:hAnsi="Times New Roman" w:eastAsia="宋体"/>
          <w:sz w:val="24"/>
        </w:rPr>
        <w:t xml:space="preserve">Hutton et al. (2009) </w:t>
      </w:r>
      <w:r>
        <w:rPr>
          <w:rFonts w:hint="eastAsia" w:ascii="Times New Roman" w:hAnsi="Times New Roman" w:eastAsia="宋体"/>
          <w:sz w:val="24"/>
        </w:rPr>
        <w:t>所衡量的“不透明”，用的正是盈余管理程度（即会计数字层面的操纵），而非披露合规程度；他们发现此类不透明会推高未来股价崩盘风险。这恰好说明：法规强制的“文字披露”无法替代对“数字实质”的识别——而这正是本研究证据链标注与</w:t>
      </w:r>
      <w:r>
        <w:rPr>
          <w:rFonts w:ascii="Times New Roman" w:hAnsi="Times New Roman" w:eastAsia="宋体"/>
          <w:sz w:val="24"/>
        </w:rPr>
        <w:t xml:space="preserve"> 5D-DRS </w:t>
      </w:r>
      <w:r>
        <w:rPr>
          <w:rFonts w:hint="eastAsia" w:ascii="Times New Roman" w:hAnsi="Times New Roman" w:eastAsia="宋体"/>
          <w:sz w:val="24"/>
        </w:rPr>
        <w:t>评分体系存在的必要性，也是其对接保险核保、监管筛查（RegTech）场景的价值所在。将此辨析写入本研究，亦提前堵住了评审可能提出的“既然要披露，为何还需识别”的质疑。</w:t>
      </w:r>
    </w:p>
    <w:bookmarkEnd w:id="36"/>
    <w:bookmarkEnd w:id="39"/>
    <w:p w14:paraId="3DB25F49">
      <w:pPr>
        <w:pStyle w:val="4"/>
        <w:spacing w:before="320" w:after="160" w:line="360" w:lineRule="auto"/>
      </w:pPr>
      <w:bookmarkStart w:id="40" w:name="_Toc3945"/>
      <w:bookmarkStart w:id="41" w:name="核心概念界定"/>
      <w:r>
        <w:rPr>
          <w:rFonts w:ascii="Times New Roman" w:hAnsi="Times New Roman" w:eastAsia="黑体"/>
          <w:b/>
          <w:color w:val="003366"/>
          <w:sz w:val="28"/>
        </w:rPr>
        <w:t xml:space="preserve">2.4 </w:t>
      </w:r>
      <w:r>
        <w:rPr>
          <w:rFonts w:hint="eastAsia" w:ascii="Times New Roman" w:hAnsi="Times New Roman" w:eastAsia="黑体"/>
          <w:b/>
          <w:color w:val="003366"/>
          <w:sz w:val="28"/>
        </w:rPr>
        <w:t>核心概念界定</w:t>
      </w:r>
      <w:bookmarkEnd w:id="40"/>
    </w:p>
    <w:p w14:paraId="5E402E0F">
      <w:pPr>
        <w:pStyle w:val="25"/>
        <w:spacing w:before="40" w:after="40" w:line="360" w:lineRule="auto"/>
        <w:ind w:firstLine="480"/>
      </w:pPr>
      <w:r>
        <w:rPr>
          <w:rFonts w:hint="eastAsia" w:ascii="Times New Roman" w:hAnsi="Times New Roman" w:eastAsia="宋体"/>
          <w:sz w:val="24"/>
        </w:rPr>
        <w:t>折旧错配（Depreciation</w:t>
      </w:r>
      <w:r>
        <w:rPr>
          <w:rFonts w:ascii="Times New Roman" w:hAnsi="Times New Roman" w:eastAsia="宋体"/>
          <w:sz w:val="24"/>
        </w:rPr>
        <w:t xml:space="preserve"> </w:t>
      </w:r>
      <w:r>
        <w:rPr>
          <w:rFonts w:hint="eastAsia" w:ascii="Times New Roman" w:hAnsi="Times New Roman" w:eastAsia="宋体"/>
          <w:sz w:val="24"/>
        </w:rPr>
        <w:t>Mismatch）：资产的会计折旧年限与其技术经济寿命之间的系统性偏离，本研究特指“会计寿命</w:t>
      </w:r>
      <w:r>
        <w:rPr>
          <w:rFonts w:ascii="Times New Roman" w:hAnsi="Times New Roman" w:eastAsia="宋体"/>
          <w:sz w:val="24"/>
        </w:rPr>
        <w:t xml:space="preserve"> &gt; </w:t>
      </w:r>
      <w:r>
        <w:rPr>
          <w:rFonts w:hint="eastAsia" w:ascii="Times New Roman" w:hAnsi="Times New Roman" w:eastAsia="宋体"/>
          <w:sz w:val="24"/>
        </w:rPr>
        <w:t>技术寿命”导致的折旧低估方向。需要辨析：会计准则定义的经济寿命基于预期用途和物理/经济损耗，不等同于技术迭代周期（详见</w:t>
      </w:r>
      <w:r>
        <w:rPr>
          <w:rFonts w:ascii="Times New Roman" w:hAnsi="Times New Roman" w:eastAsia="宋体"/>
          <w:sz w:val="24"/>
        </w:rPr>
        <w:t xml:space="preserve"> 1.5 </w:t>
      </w:r>
      <w:r>
        <w:rPr>
          <w:rFonts w:hint="eastAsia" w:ascii="Times New Roman" w:hAnsi="Times New Roman" w:eastAsia="宋体"/>
          <w:sz w:val="24"/>
        </w:rPr>
        <w:t>节）。</w:t>
      </w:r>
    </w:p>
    <w:p w14:paraId="396598EE">
      <w:pPr>
        <w:pStyle w:val="3"/>
        <w:spacing w:before="40" w:after="40" w:line="360" w:lineRule="auto"/>
        <w:ind w:firstLine="480"/>
      </w:pPr>
      <w:r>
        <w:rPr>
          <w:rFonts w:hint="eastAsia" w:ascii="Times New Roman" w:hAnsi="Times New Roman" w:eastAsia="宋体"/>
          <w:sz w:val="24"/>
        </w:rPr>
        <w:t>技术半衰期（Technology</w:t>
      </w:r>
      <w:r>
        <w:rPr>
          <w:rFonts w:ascii="Times New Roman" w:hAnsi="Times New Roman" w:eastAsia="宋体"/>
          <w:sz w:val="24"/>
        </w:rPr>
        <w:t xml:space="preserve"> </w:t>
      </w:r>
      <w:r>
        <w:rPr>
          <w:rFonts w:hint="eastAsia" w:ascii="Times New Roman" w:hAnsi="Times New Roman" w:eastAsia="宋体"/>
          <w:sz w:val="24"/>
        </w:rPr>
        <w:t>Half-life）：资产因技术迭代而丧失一半经济价值所需的时间；AI</w:t>
      </w:r>
      <w:r>
        <w:rPr>
          <w:rFonts w:ascii="Times New Roman" w:hAnsi="Times New Roman" w:eastAsia="宋体"/>
          <w:sz w:val="24"/>
        </w:rPr>
        <w:t xml:space="preserve"> </w:t>
      </w:r>
      <w:r>
        <w:rPr>
          <w:rFonts w:hint="eastAsia" w:ascii="Times New Roman" w:hAnsi="Times New Roman" w:eastAsia="宋体"/>
          <w:sz w:val="24"/>
        </w:rPr>
        <w:t>加速芯片的技术半衰期估计为</w:t>
      </w:r>
      <w:r>
        <w:rPr>
          <w:rFonts w:ascii="Times New Roman" w:hAnsi="Times New Roman" w:eastAsia="宋体"/>
          <w:sz w:val="24"/>
        </w:rPr>
        <w:t xml:space="preserve"> 1-2 </w:t>
      </w:r>
      <w:r>
        <w:rPr>
          <w:rFonts w:hint="eastAsia" w:ascii="Times New Roman" w:hAnsi="Times New Roman" w:eastAsia="宋体"/>
          <w:sz w:val="24"/>
        </w:rPr>
        <w:t>年，是本研究衡量错配的外部参照系。</w:t>
      </w:r>
    </w:p>
    <w:p w14:paraId="3614902D">
      <w:pPr>
        <w:pStyle w:val="3"/>
        <w:spacing w:before="40" w:after="40" w:line="360" w:lineRule="auto"/>
        <w:ind w:firstLine="480"/>
      </w:pPr>
      <w:r>
        <w:rPr>
          <w:rFonts w:hint="eastAsia" w:ascii="Times New Roman" w:hAnsi="Times New Roman" w:eastAsia="宋体"/>
          <w:sz w:val="24"/>
        </w:rPr>
        <w:t>折旧指纹（Depreciation</w:t>
      </w:r>
      <w:r>
        <w:rPr>
          <w:rFonts w:ascii="Times New Roman" w:hAnsi="Times New Roman" w:eastAsia="宋体"/>
          <w:sz w:val="24"/>
        </w:rPr>
        <w:t xml:space="preserve"> </w:t>
      </w:r>
      <w:r>
        <w:rPr>
          <w:rFonts w:hint="eastAsia" w:ascii="Times New Roman" w:hAnsi="Times New Roman" w:eastAsia="宋体"/>
          <w:sz w:val="24"/>
        </w:rPr>
        <w:t>Fingerprint）：年限延长在财务数据上的可检测痕迹——资产基数（PP&amp;E）扩张而折旧费用停滞甚至下降的背离组合（本研究实证发现③）。</w:t>
      </w:r>
    </w:p>
    <w:p w14:paraId="24BB45EE">
      <w:pPr>
        <w:pStyle w:val="3"/>
        <w:spacing w:before="40" w:after="40" w:line="360" w:lineRule="auto"/>
        <w:ind w:firstLine="480"/>
      </w:pPr>
      <w:r>
        <w:rPr>
          <w:rFonts w:hint="eastAsia" w:ascii="Times New Roman" w:hAnsi="Times New Roman" w:eastAsia="宋体"/>
          <w:sz w:val="24"/>
        </w:rPr>
        <w:t>估计变更共振（Estimate-change</w:t>
      </w:r>
      <w:r>
        <w:rPr>
          <w:rFonts w:ascii="Times New Roman" w:hAnsi="Times New Roman" w:eastAsia="宋体"/>
          <w:sz w:val="24"/>
        </w:rPr>
        <w:t xml:space="preserve"> </w:t>
      </w:r>
      <w:r>
        <w:rPr>
          <w:rFonts w:hint="eastAsia" w:ascii="Times New Roman" w:hAnsi="Times New Roman" w:eastAsia="宋体"/>
          <w:sz w:val="24"/>
        </w:rPr>
        <w:t>Synchronization）：多家公司在同一</w:t>
      </w:r>
      <w:r>
        <w:rPr>
          <w:rFonts w:ascii="Times New Roman" w:hAnsi="Times New Roman" w:eastAsia="宋体"/>
          <w:sz w:val="24"/>
        </w:rPr>
        <w:t xml:space="preserve"> 12 </w:t>
      </w:r>
      <w:r>
        <w:rPr>
          <w:rFonts w:hint="eastAsia" w:ascii="Times New Roman" w:hAnsi="Times New Roman" w:eastAsia="宋体"/>
          <w:sz w:val="24"/>
        </w:rPr>
        <w:t>个月时间窗口内同方向变更折旧估计的行业级现象。本研究中</w:t>
      </w:r>
      <w:r>
        <w:rPr>
          <w:rFonts w:ascii="Times New Roman" w:hAnsi="Times New Roman" w:eastAsia="宋体"/>
          <w:sz w:val="24"/>
        </w:rPr>
        <w:t xml:space="preserve"> 5/10 </w:t>
      </w:r>
      <w:r>
        <w:rPr>
          <w:rFonts w:hint="eastAsia" w:ascii="Times New Roman" w:hAnsi="Times New Roman" w:eastAsia="宋体"/>
          <w:sz w:val="24"/>
        </w:rPr>
        <w:t>家公司（50%）在</w:t>
      </w:r>
      <w:r>
        <w:rPr>
          <w:rFonts w:ascii="Times New Roman" w:hAnsi="Times New Roman" w:eastAsia="宋体"/>
          <w:sz w:val="24"/>
        </w:rPr>
        <w:t xml:space="preserve"> 2022H2-2023H1 </w:t>
      </w:r>
      <w:r>
        <w:rPr>
          <w:rFonts w:hint="eastAsia" w:ascii="Times New Roman" w:hAnsi="Times New Roman" w:eastAsia="宋体"/>
          <w:sz w:val="24"/>
        </w:rPr>
        <w:t>窗口内延长年限。注意：这一比例受样本选择影响（以能找到变更为锚点），不宜外推为全市场比例，仅作为面板内的共现模式描述。</w:t>
      </w:r>
    </w:p>
    <w:p w14:paraId="4B7F58BC">
      <w:pPr>
        <w:pStyle w:val="3"/>
        <w:spacing w:before="40" w:after="40" w:line="360" w:lineRule="auto"/>
        <w:ind w:firstLine="480"/>
      </w:pPr>
      <w:r>
        <w:rPr>
          <w:rFonts w:hint="eastAsia" w:ascii="Times New Roman" w:hAnsi="Times New Roman" w:eastAsia="宋体"/>
          <w:sz w:val="24"/>
        </w:rPr>
        <w:t>连续延长者（Serial</w:t>
      </w:r>
      <w:r>
        <w:rPr>
          <w:rFonts w:ascii="Times New Roman" w:hAnsi="Times New Roman" w:eastAsia="宋体"/>
          <w:sz w:val="24"/>
        </w:rPr>
        <w:t xml:space="preserve"> </w:t>
      </w:r>
      <w:r>
        <w:rPr>
          <w:rFonts w:hint="eastAsia" w:ascii="Times New Roman" w:hAnsi="Times New Roman" w:eastAsia="宋体"/>
          <w:sz w:val="24"/>
        </w:rPr>
        <w:t>Extender）：在面板观察期内多次延长折旧年限的公司（本研究样本中为</w:t>
      </w:r>
      <w:r>
        <w:rPr>
          <w:rFonts w:ascii="Times New Roman" w:hAnsi="Times New Roman" w:eastAsia="宋体"/>
          <w:sz w:val="24"/>
        </w:rPr>
        <w:t xml:space="preserve"> Oracle </w:t>
      </w:r>
      <w:r>
        <w:rPr>
          <w:rFonts w:hint="eastAsia" w:ascii="Times New Roman" w:hAnsi="Times New Roman" w:eastAsia="宋体"/>
          <w:sz w:val="24"/>
        </w:rPr>
        <w:t>与</w:t>
      </w:r>
      <w:r>
        <w:rPr>
          <w:rFonts w:ascii="Times New Roman" w:hAnsi="Times New Roman" w:eastAsia="宋体"/>
          <w:sz w:val="24"/>
        </w:rPr>
        <w:t xml:space="preserve"> </w:t>
      </w:r>
      <w:r>
        <w:rPr>
          <w:rFonts w:hint="eastAsia" w:ascii="Times New Roman" w:hAnsi="Times New Roman" w:eastAsia="宋体"/>
          <w:sz w:val="24"/>
        </w:rPr>
        <w:t>Meta），其每次变更年均伴随风险评分的跳升（本研究面板新发现，描述性观察）。</w:t>
      </w:r>
    </w:p>
    <w:p w14:paraId="68059361">
      <w:pPr>
        <w:pStyle w:val="3"/>
        <w:spacing w:before="40" w:after="40" w:line="360" w:lineRule="auto"/>
        <w:ind w:firstLine="480"/>
      </w:pPr>
      <w:r>
        <w:rPr>
          <w:rFonts w:hint="eastAsia" w:ascii="Times New Roman" w:hAnsi="Times New Roman" w:eastAsia="宋体"/>
          <w:sz w:val="24"/>
        </w:rPr>
        <w:t>资产分层复用与披露颗粒度缺口（Disclosure</w:t>
      </w:r>
      <w:r>
        <w:rPr>
          <w:rFonts w:ascii="Times New Roman" w:hAnsi="Times New Roman" w:eastAsia="宋体"/>
          <w:sz w:val="24"/>
        </w:rPr>
        <w:t xml:space="preserve"> Granularity </w:t>
      </w:r>
      <w:r>
        <w:rPr>
          <w:rFonts w:hint="eastAsia" w:ascii="Times New Roman" w:hAnsi="Times New Roman" w:eastAsia="宋体"/>
          <w:sz w:val="24"/>
        </w:rPr>
        <w:t>Gap）：即便企业将退役训练芯片转用于推理、边缘计算等低算力场景——这在业界是常见策略——其折旧会计仍需反映资产购入时的主要用途与直接受益对象。当前</w:t>
      </w:r>
      <w:r>
        <w:rPr>
          <w:rFonts w:ascii="Times New Roman" w:hAnsi="Times New Roman" w:eastAsia="宋体"/>
          <w:sz w:val="24"/>
        </w:rPr>
        <w:t xml:space="preserve"> 10-K </w:t>
      </w:r>
      <w:r>
        <w:rPr>
          <w:rFonts w:hint="eastAsia" w:ascii="Times New Roman" w:hAnsi="Times New Roman" w:eastAsia="宋体"/>
          <w:sz w:val="24"/>
        </w:rPr>
        <w:t>法定披露中，没有任何样本公司按“训练集群</w:t>
      </w:r>
      <w:r>
        <w:rPr>
          <w:rFonts w:ascii="Times New Roman" w:hAnsi="Times New Roman" w:eastAsia="宋体"/>
          <w:sz w:val="24"/>
        </w:rPr>
        <w:t xml:space="preserve"> / </w:t>
      </w:r>
      <w:r>
        <w:rPr>
          <w:rFonts w:hint="eastAsia" w:ascii="Times New Roman" w:hAnsi="Times New Roman" w:eastAsia="宋体"/>
          <w:sz w:val="24"/>
        </w:rPr>
        <w:t>推理集群</w:t>
      </w:r>
      <w:r>
        <w:rPr>
          <w:rFonts w:ascii="Times New Roman" w:hAnsi="Times New Roman" w:eastAsia="宋体"/>
          <w:sz w:val="24"/>
        </w:rPr>
        <w:t xml:space="preserve"> / </w:t>
      </w:r>
      <w:r>
        <w:rPr>
          <w:rFonts w:hint="eastAsia" w:ascii="Times New Roman" w:hAnsi="Times New Roman" w:eastAsia="宋体"/>
          <w:sz w:val="24"/>
        </w:rPr>
        <w:t>通用基础设施”拆分折旧年限；所有资产被归入统一的“服务器与网络设备”类别。这意味着：即使企业内部存在分层使用的精细化管理，外部投资者与审计师也无法从法定披露中识别核心训练资产的真实折旧节奏。披露颗粒度的制度性缺失，使得“旧芯片可用于推理”这一技术事实，可能成为核心资产折旧错配得以隐匿的掩护。</w:t>
      </w:r>
    </w:p>
    <w:bookmarkEnd w:id="41"/>
    <w:p w14:paraId="6C5DC261">
      <w:pPr>
        <w:pStyle w:val="4"/>
        <w:spacing w:before="320" w:after="160" w:line="360" w:lineRule="auto"/>
      </w:pPr>
      <w:bookmarkStart w:id="42" w:name="_Toc28231"/>
      <w:bookmarkStart w:id="43" w:name="为什么传统风控体系识别不了折旧错配"/>
      <w:r>
        <w:rPr>
          <w:rFonts w:ascii="Times New Roman" w:hAnsi="Times New Roman" w:eastAsia="黑体"/>
          <w:b/>
          <w:color w:val="003366"/>
          <w:sz w:val="28"/>
        </w:rPr>
        <w:t xml:space="preserve">2.5 </w:t>
      </w:r>
      <w:r>
        <w:rPr>
          <w:rFonts w:hint="eastAsia" w:ascii="Times New Roman" w:hAnsi="Times New Roman" w:eastAsia="黑体"/>
          <w:b/>
          <w:color w:val="003366"/>
          <w:sz w:val="28"/>
        </w:rPr>
        <w:t>为什么传统风控体系识别不了折旧错配</w:t>
      </w:r>
      <w:bookmarkEnd w:id="42"/>
    </w:p>
    <w:p w14:paraId="31666685">
      <w:pPr>
        <w:pStyle w:val="25"/>
        <w:spacing w:before="40" w:after="40" w:line="360" w:lineRule="auto"/>
        <w:ind w:firstLine="480"/>
      </w:pPr>
      <w:r>
        <w:rPr>
          <w:rFonts w:hint="eastAsia" w:ascii="Times New Roman" w:hAnsi="Times New Roman" w:eastAsia="宋体"/>
          <w:sz w:val="24"/>
        </w:rPr>
        <w:t>折旧错配不是没有被监管——恰恰相反，它可能是全球财务披露中最“合规”的风险。问题在于：现有风控体系的每一个关键环节，都恰好绕开了它。本节系统剖析审计、信用评级、精算定价与监管科技四个传统风控支柱的结构性盲区，阐明本研究“证据链标注</w:t>
      </w:r>
      <w:r>
        <w:rPr>
          <w:rFonts w:ascii="Times New Roman" w:hAnsi="Times New Roman" w:eastAsia="宋体"/>
          <w:sz w:val="24"/>
        </w:rPr>
        <w:t xml:space="preserve"> + </w:t>
      </w:r>
      <w:r>
        <w:rPr>
          <w:rFonts w:hint="eastAsia" w:ascii="Times New Roman" w:hAnsi="Times New Roman" w:eastAsia="宋体"/>
          <w:sz w:val="24"/>
        </w:rPr>
        <w:t>五维评分”体系存在的必要性。</w:t>
      </w:r>
    </w:p>
    <w:p w14:paraId="40818301">
      <w:pPr>
        <w:pStyle w:val="5"/>
        <w:spacing w:before="240" w:after="120" w:line="360" w:lineRule="auto"/>
      </w:pPr>
      <w:bookmarkStart w:id="44" w:name="审计程序的盲区合规真实"/>
      <w:r>
        <w:rPr>
          <w:rFonts w:ascii="Times New Roman" w:hAnsi="Times New Roman" w:eastAsia="黑体"/>
          <w:b/>
          <w:color w:val="003366"/>
          <w:sz w:val="24"/>
        </w:rPr>
        <w:t xml:space="preserve">2.5.1 </w:t>
      </w:r>
      <w:r>
        <w:rPr>
          <w:rFonts w:hint="eastAsia" w:ascii="Times New Roman" w:hAnsi="Times New Roman" w:eastAsia="黑体"/>
          <w:b/>
          <w:color w:val="003366"/>
          <w:sz w:val="24"/>
        </w:rPr>
        <w:t>审计程序的盲区：合规≠真实</w:t>
      </w:r>
    </w:p>
    <w:p w14:paraId="2051AF93">
      <w:pPr>
        <w:pStyle w:val="25"/>
        <w:spacing w:before="40" w:after="40" w:line="360" w:lineRule="auto"/>
        <w:ind w:firstLine="480"/>
      </w:pPr>
      <w:r>
        <w:rPr>
          <w:rFonts w:hint="eastAsia" w:ascii="Times New Roman" w:hAnsi="Times New Roman" w:eastAsia="宋体"/>
          <w:sz w:val="24"/>
        </w:rPr>
        <w:t>外部审计是财务报表的第一道防线。依美国公众公司会计监督委员会（PCAOB）审计准则（AS</w:t>
      </w:r>
      <w:r>
        <w:rPr>
          <w:rFonts w:ascii="Times New Roman" w:hAnsi="Times New Roman" w:eastAsia="宋体"/>
          <w:sz w:val="24"/>
        </w:rPr>
        <w:t xml:space="preserve"> </w:t>
      </w:r>
      <w:r>
        <w:rPr>
          <w:rFonts w:hint="eastAsia" w:ascii="Times New Roman" w:hAnsi="Times New Roman" w:eastAsia="宋体"/>
          <w:sz w:val="24"/>
        </w:rPr>
        <w:t>2510），审计师对固定资产的测试程序包括：（1）验证资产存在性（盘点、函证）；（2）验证折旧计算准确性（年限×方法×残值复核）；（3）评估减值迹象（ASC</w:t>
      </w:r>
      <w:r>
        <w:rPr>
          <w:rFonts w:ascii="Times New Roman" w:hAnsi="Times New Roman" w:eastAsia="宋体"/>
          <w:sz w:val="24"/>
        </w:rPr>
        <w:t xml:space="preserve"> </w:t>
      </w:r>
      <w:r>
        <w:rPr>
          <w:rFonts w:hint="eastAsia" w:ascii="Times New Roman" w:hAnsi="Times New Roman" w:eastAsia="宋体"/>
          <w:sz w:val="24"/>
        </w:rPr>
        <w:t>360触发条件）。中国《中国注册会计师审计准则第1301号》的程序框架与之同构。</w:t>
      </w:r>
    </w:p>
    <w:p w14:paraId="318160BB">
      <w:pPr>
        <w:pStyle w:val="3"/>
        <w:spacing w:before="40" w:after="40" w:line="360" w:lineRule="auto"/>
        <w:ind w:firstLine="480"/>
      </w:pPr>
      <w:r>
        <w:rPr>
          <w:rFonts w:hint="eastAsia" w:ascii="Times New Roman" w:hAnsi="Times New Roman" w:eastAsia="宋体"/>
          <w:sz w:val="24"/>
        </w:rPr>
        <w:t>但这些程序的致命盲区在于：</w:t>
      </w:r>
      <w:r>
        <w:rPr>
          <w:rFonts w:hint="eastAsia" w:ascii="Times New Roman" w:hAnsi="Times New Roman" w:eastAsia="宋体"/>
          <w:b/>
          <w:bCs/>
          <w:sz w:val="24"/>
        </w:rPr>
        <w:t>准则从未要求审计师验证“折旧年限假设与技术迭代周期的匹配性”</w:t>
      </w:r>
      <w:r>
        <w:rPr>
          <w:rFonts w:ascii="Times New Roman" w:hAnsi="Times New Roman" w:eastAsia="宋体"/>
          <w:sz w:val="24"/>
        </w:rPr>
        <w:t xml:space="preserve">。ASC </w:t>
      </w:r>
      <w:r>
        <w:rPr>
          <w:rFonts w:hint="eastAsia" w:ascii="Times New Roman" w:hAnsi="Times New Roman" w:eastAsia="宋体"/>
          <w:sz w:val="24"/>
        </w:rPr>
        <w:t>250规定会计估计变更采用未来适用法，只要求披露变更的性质和影响金额——管理层只需要说“我们重新评估了设备使用寿命”，审计师就无法在准则层面挑战这一判断。</w:t>
      </w:r>
    </w:p>
    <w:p w14:paraId="44CD83CD">
      <w:pPr>
        <w:pStyle w:val="3"/>
        <w:spacing w:before="40" w:after="40" w:line="360" w:lineRule="auto"/>
        <w:ind w:firstLine="480"/>
      </w:pPr>
      <w:r>
        <w:rPr>
          <w:rFonts w:hint="eastAsia" w:ascii="Times New Roman" w:hAnsi="Times New Roman" w:eastAsia="宋体"/>
          <w:sz w:val="24"/>
        </w:rPr>
        <w:t>以Google</w:t>
      </w:r>
      <w:r>
        <w:rPr>
          <w:rFonts w:ascii="Times New Roman" w:hAnsi="Times New Roman" w:eastAsia="宋体"/>
          <w:sz w:val="24"/>
        </w:rPr>
        <w:t xml:space="preserve"> </w:t>
      </w:r>
      <w:r>
        <w:rPr>
          <w:rFonts w:hint="eastAsia" w:ascii="Times New Roman" w:hAnsi="Times New Roman" w:eastAsia="宋体"/>
          <w:sz w:val="24"/>
        </w:rPr>
        <w:t>2023年服务器年限4→6年变更为例：审计师核验了“4→6年”的数学计算无误、披露了“减少折旧费用$3.9B”、符合ASC</w:t>
      </w:r>
      <w:r>
        <w:rPr>
          <w:rFonts w:ascii="Times New Roman" w:hAnsi="Times New Roman" w:eastAsia="宋体"/>
          <w:sz w:val="24"/>
        </w:rPr>
        <w:t xml:space="preserve"> </w:t>
      </w:r>
      <w:r>
        <w:rPr>
          <w:rFonts w:hint="eastAsia" w:ascii="Times New Roman" w:hAnsi="Times New Roman" w:eastAsia="宋体"/>
          <w:sz w:val="24"/>
        </w:rPr>
        <w:t>250的披露要求——审计程序全部通过。但审计师没有义务追问：“AI芯片迭代周期仅1-2年，6年折旧是否经济实质成立？”</w:t>
      </w:r>
      <w:r>
        <w:rPr>
          <w:rFonts w:ascii="Times New Roman" w:hAnsi="Times New Roman" w:eastAsia="宋体"/>
          <w:sz w:val="24"/>
        </w:rPr>
        <w:t xml:space="preserve"> </w:t>
      </w:r>
      <w:r>
        <w:rPr>
          <w:rFonts w:hint="eastAsia" w:ascii="Times New Roman" w:hAnsi="Times New Roman" w:eastAsia="宋体"/>
          <w:sz w:val="24"/>
        </w:rPr>
        <w:t>这不是审计失败，而是</w:t>
      </w:r>
      <w:r>
        <w:rPr>
          <w:rFonts w:hint="eastAsia" w:ascii="Times New Roman" w:hAnsi="Times New Roman" w:eastAsia="宋体"/>
          <w:b/>
          <w:bCs/>
          <w:sz w:val="24"/>
        </w:rPr>
        <w:t>审计准则的设计假设本身不包含“技术经济寿命评估”这一维度</w:t>
      </w:r>
      <w:r>
        <w:rPr>
          <w:rFonts w:ascii="Times New Roman" w:hAnsi="Times New Roman" w:eastAsia="宋体"/>
          <w:sz w:val="24"/>
        </w:rPr>
        <w:t>。</w:t>
      </w:r>
    </w:p>
    <w:p w14:paraId="1DBA172D">
      <w:pPr>
        <w:pStyle w:val="3"/>
        <w:spacing w:before="40" w:after="40" w:line="360" w:lineRule="auto"/>
        <w:ind w:firstLine="480"/>
      </w:pPr>
      <w:r>
        <w:rPr>
          <w:rFonts w:hint="eastAsia" w:ascii="Times New Roman" w:hAnsi="Times New Roman" w:eastAsia="宋体"/>
          <w:sz w:val="24"/>
        </w:rPr>
        <w:t>本研究的证据链标注体系填补的正是这个盲区：不是问“折旧算得对不对”，而是问“折旧年限的假设在经济实质上是否成立”。</w:t>
      </w:r>
    </w:p>
    <w:bookmarkEnd w:id="44"/>
    <w:p w14:paraId="7FAC2F8B">
      <w:pPr>
        <w:pStyle w:val="5"/>
        <w:spacing w:before="240" w:after="120" w:line="360" w:lineRule="auto"/>
      </w:pPr>
      <w:bookmarkStart w:id="45" w:name="信用评级的盲区利润虚增现金流无感"/>
      <w:r>
        <w:rPr>
          <w:rFonts w:ascii="Times New Roman" w:hAnsi="Times New Roman" w:eastAsia="黑体"/>
          <w:b/>
          <w:color w:val="003366"/>
          <w:sz w:val="24"/>
        </w:rPr>
        <w:t xml:space="preserve">2.5.2 </w:t>
      </w:r>
      <w:r>
        <w:rPr>
          <w:rFonts w:hint="eastAsia" w:ascii="Times New Roman" w:hAnsi="Times New Roman" w:eastAsia="黑体"/>
          <w:b/>
          <w:color w:val="003366"/>
          <w:sz w:val="24"/>
        </w:rPr>
        <w:t>信用评级的盲区：利润虚增，现金流无感</w:t>
      </w:r>
    </w:p>
    <w:p w14:paraId="30234E4E">
      <w:pPr>
        <w:pStyle w:val="25"/>
        <w:spacing w:before="40" w:after="40" w:line="360" w:lineRule="auto"/>
        <w:ind w:firstLine="480"/>
      </w:pPr>
      <w:r>
        <w:rPr>
          <w:rFonts w:hint="eastAsia" w:ascii="Times New Roman" w:hAnsi="Times New Roman" w:eastAsia="宋体"/>
          <w:sz w:val="24"/>
        </w:rPr>
        <w:t>折旧年限延长的会计后果是一组“虚假利好”：折旧是非现金费用，年限拉长后，</w:t>
      </w:r>
      <w:r>
        <w:rPr>
          <w:rFonts w:hint="eastAsia" w:ascii="Times New Roman" w:hAnsi="Times New Roman" w:eastAsia="宋体"/>
          <w:b/>
          <w:bCs/>
          <w:sz w:val="24"/>
        </w:rPr>
        <w:t>每年计提的非现金费用变少，净利润因此被虚增</w:t>
      </w:r>
      <w:r>
        <w:rPr>
          <w:rFonts w:hint="eastAsia" w:ascii="Times New Roman" w:hAnsi="Times New Roman" w:eastAsia="宋体"/>
          <w:sz w:val="24"/>
        </w:rPr>
        <w:t>——利润表好看了，但经营活动现金流一分未多（折旧本来就不是现金流出），资产的真实损耗速度也一天未变。这是一种“没有现金支撑的利润增厚”。</w:t>
      </w:r>
    </w:p>
    <w:p w14:paraId="3CD4ACB9">
      <w:pPr>
        <w:pStyle w:val="3"/>
        <w:spacing w:before="40" w:after="40" w:line="360" w:lineRule="auto"/>
        <w:ind w:firstLine="480"/>
      </w:pPr>
      <w:r>
        <w:rPr>
          <w:rFonts w:hint="eastAsia" w:ascii="Times New Roman" w:hAnsi="Times New Roman" w:eastAsia="宋体"/>
          <w:sz w:val="24"/>
        </w:rPr>
        <w:t>而穆迪/标普的企业信用评级核心指标恰恰是利息覆盖倍数（EBIT/Interest）和自由现金流（FCF）：延长年限既不改变现金流，也不影响偿债能力——</w:t>
      </w:r>
      <w:r>
        <w:rPr>
          <w:rFonts w:hint="eastAsia" w:ascii="Times New Roman" w:hAnsi="Times New Roman" w:eastAsia="宋体"/>
          <w:b/>
          <w:bCs/>
          <w:sz w:val="24"/>
        </w:rPr>
        <w:t>评级模型对这类利润虚增完全无响应</w:t>
      </w:r>
      <w:r>
        <w:rPr>
          <w:rFonts w:ascii="Times New Roman" w:hAnsi="Times New Roman" w:eastAsia="宋体"/>
          <w:sz w:val="24"/>
        </w:rPr>
        <w:t>。</w:t>
      </w:r>
    </w:p>
    <w:p w14:paraId="3E369D97">
      <w:pPr>
        <w:pStyle w:val="3"/>
        <w:spacing w:before="40" w:after="40" w:line="360" w:lineRule="auto"/>
        <w:ind w:firstLine="480"/>
      </w:pPr>
      <w:r>
        <w:rPr>
          <w:rFonts w:hint="eastAsia" w:ascii="Times New Roman" w:hAnsi="Times New Roman" w:eastAsia="宋体"/>
          <w:sz w:val="24"/>
        </w:rPr>
        <w:t>以Meta为例：其2024年服务器年限延长至5.5年，预计减少2025全年折旧费用约$2.9B。这一变更对Meta的信用评级意味着什么？答案是：</w:t>
      </w:r>
      <w:r>
        <w:rPr>
          <w:rFonts w:hint="eastAsia" w:ascii="Times New Roman" w:hAnsi="Times New Roman" w:eastAsia="宋体"/>
          <w:b/>
          <w:bCs/>
          <w:sz w:val="24"/>
        </w:rPr>
        <w:t>几乎没有直接影响</w:t>
      </w:r>
      <w:r>
        <w:rPr>
          <w:rFonts w:hint="eastAsia" w:ascii="Times New Roman" w:hAnsi="Times New Roman" w:eastAsia="宋体"/>
          <w:sz w:val="24"/>
        </w:rPr>
        <w:t>。因为$2.9B是“非现金费用”的减少，不影响经营活动现金流（CFO），也不影响债务偿付能力——虚增的利润不在评级模型的视野之内。</w:t>
      </w:r>
    </w:p>
    <w:p w14:paraId="13B2565C">
      <w:pPr>
        <w:pStyle w:val="3"/>
        <w:spacing w:before="40" w:after="40" w:line="360" w:lineRule="auto"/>
        <w:ind w:firstLine="480"/>
      </w:pPr>
      <w:r>
        <w:rPr>
          <w:rFonts w:hint="eastAsia" w:ascii="Times New Roman" w:hAnsi="Times New Roman" w:eastAsia="宋体"/>
          <w:sz w:val="24"/>
        </w:rPr>
        <w:t>但折旧错配的风险恰恰不在现金流，而在</w:t>
      </w:r>
      <w:r>
        <w:rPr>
          <w:rFonts w:hint="eastAsia" w:ascii="Times New Roman" w:hAnsi="Times New Roman" w:eastAsia="宋体"/>
          <w:b/>
          <w:bCs/>
          <w:sz w:val="24"/>
        </w:rPr>
        <w:t>“利润高估→估值泡沫→融资过度→风险累积”的传导链</w:t>
      </w:r>
      <w:r>
        <w:rPr>
          <w:rFonts w:hint="eastAsia" w:ascii="Times New Roman" w:hAnsi="Times New Roman" w:eastAsia="宋体"/>
          <w:sz w:val="24"/>
        </w:rPr>
        <w:t>。当Meta以“延长折旧”支撑的“健康利润”获得更高估值、发行更多债券、承诺更大规模CAPEX时，评级模型仍在给出稳定的信用等级——直到减值集中兑现、利润“变脸”、股价暴跌，评级下调才姗姗来迟。</w:t>
      </w:r>
    </w:p>
    <w:p w14:paraId="0E10B523">
      <w:pPr>
        <w:pStyle w:val="3"/>
        <w:spacing w:before="40" w:after="40" w:line="360" w:lineRule="auto"/>
        <w:ind w:firstLine="480"/>
      </w:pPr>
      <w:r>
        <w:rPr>
          <w:rFonts w:hint="eastAsia" w:ascii="Times New Roman" w:hAnsi="Times New Roman" w:eastAsia="宋体"/>
          <w:sz w:val="24"/>
        </w:rPr>
        <w:t>本研究的5D-DRS评分体系将这一传导链结构化：</w:t>
      </w:r>
      <w:r>
        <w:rPr>
          <w:rFonts w:hint="eastAsia" w:ascii="Times New Roman" w:hAnsi="Times New Roman" w:eastAsia="宋体"/>
          <w:b/>
          <w:bCs/>
          <w:sz w:val="24"/>
        </w:rPr>
        <w:t>D1（年限错配）×</w:t>
      </w:r>
      <w:r>
        <w:rPr>
          <w:rFonts w:ascii="Times New Roman" w:hAnsi="Times New Roman" w:eastAsia="宋体"/>
          <w:b/>
          <w:bCs/>
          <w:sz w:val="24"/>
        </w:rPr>
        <w:t xml:space="preserve"> </w:t>
      </w:r>
      <w:r>
        <w:rPr>
          <w:rFonts w:hint="eastAsia" w:ascii="Times New Roman" w:hAnsi="Times New Roman" w:eastAsia="宋体"/>
          <w:b/>
          <w:bCs/>
          <w:sz w:val="24"/>
        </w:rPr>
        <w:t>D4（CAPEX强度）=</w:t>
      </w:r>
      <w:r>
        <w:rPr>
          <w:rFonts w:ascii="Times New Roman" w:hAnsi="Times New Roman" w:eastAsia="宋体"/>
          <w:b/>
          <w:bCs/>
          <w:sz w:val="24"/>
        </w:rPr>
        <w:t xml:space="preserve"> </w:t>
      </w:r>
      <w:r>
        <w:rPr>
          <w:rFonts w:hint="eastAsia" w:ascii="Times New Roman" w:hAnsi="Times New Roman" w:eastAsia="宋体"/>
          <w:b/>
          <w:bCs/>
          <w:sz w:val="24"/>
        </w:rPr>
        <w:t>风险累积速度</w:t>
      </w:r>
      <w:r>
        <w:rPr>
          <w:rFonts w:hint="eastAsia" w:ascii="Times New Roman" w:hAnsi="Times New Roman" w:eastAsia="宋体"/>
          <w:sz w:val="24"/>
        </w:rPr>
        <w:t>。它不是替代信用评级，而是在评级模型的“现金流无感区”之外，补上“利润含金量评估”这一缺失维度。</w:t>
      </w:r>
    </w:p>
    <w:bookmarkEnd w:id="45"/>
    <w:p w14:paraId="3C83480B">
      <w:pPr>
        <w:pStyle w:val="5"/>
        <w:spacing w:before="240" w:after="120" w:line="360" w:lineRule="auto"/>
      </w:pPr>
      <w:bookmarkStart w:id="46" w:name="精算定价的盲区无历史数据"/>
      <w:r>
        <w:rPr>
          <w:rFonts w:ascii="Times New Roman" w:hAnsi="Times New Roman" w:eastAsia="黑体"/>
          <w:b/>
          <w:color w:val="003366"/>
          <w:sz w:val="24"/>
        </w:rPr>
        <w:t xml:space="preserve">2.5.3 </w:t>
      </w:r>
      <w:r>
        <w:rPr>
          <w:rFonts w:hint="eastAsia" w:ascii="Times New Roman" w:hAnsi="Times New Roman" w:eastAsia="黑体"/>
          <w:b/>
          <w:color w:val="003366"/>
          <w:sz w:val="24"/>
        </w:rPr>
        <w:t>精算定价的盲区：无历史数据</w:t>
      </w:r>
    </w:p>
    <w:p w14:paraId="1EE56133">
      <w:pPr>
        <w:pStyle w:val="25"/>
        <w:spacing w:before="40" w:after="40" w:line="360" w:lineRule="auto"/>
        <w:ind w:firstLine="480"/>
      </w:pPr>
      <w:r>
        <w:rPr>
          <w:rFonts w:hint="eastAsia" w:ascii="Times New Roman" w:hAnsi="Times New Roman" w:eastAsia="宋体"/>
          <w:sz w:val="24"/>
        </w:rPr>
        <w:t>传统财产险精算基于历史赔付数据（损失分布→纯保费→附加保费）。精算师需要回答：“过去10年，算力资产因折旧错配导致的保险理赔有多少？”</w:t>
      </w:r>
      <w:r>
        <w:rPr>
          <w:rFonts w:ascii="Times New Roman" w:hAnsi="Times New Roman" w:eastAsia="宋体"/>
          <w:sz w:val="24"/>
        </w:rPr>
        <w:t xml:space="preserve"> </w:t>
      </w:r>
      <w:r>
        <w:rPr>
          <w:rFonts w:hint="eastAsia" w:ascii="Times New Roman" w:hAnsi="Times New Roman" w:eastAsia="宋体"/>
          <w:sz w:val="24"/>
        </w:rPr>
        <w:t>答案是：</w:t>
      </w:r>
      <w:r>
        <w:rPr>
          <w:rFonts w:hint="eastAsia" w:ascii="Times New Roman" w:hAnsi="Times New Roman" w:eastAsia="宋体"/>
          <w:b/>
          <w:bCs/>
          <w:sz w:val="24"/>
        </w:rPr>
        <w:t>几乎没有</w:t>
      </w:r>
      <w:r>
        <w:rPr>
          <w:rFonts w:hint="eastAsia" w:ascii="Times New Roman" w:hAnsi="Times New Roman" w:eastAsia="宋体"/>
          <w:sz w:val="24"/>
        </w:rPr>
        <w:t>——不是因为风险不存在，而是因为AI算力资产的商业化历史不足5年，根本没有足够的理赔数据来支撑经验费率。</w:t>
      </w:r>
    </w:p>
    <w:p w14:paraId="4B00AE92">
      <w:pPr>
        <w:pStyle w:val="3"/>
        <w:spacing w:before="40" w:after="40" w:line="360" w:lineRule="auto"/>
        <w:ind w:firstLine="480"/>
      </w:pPr>
      <w:r>
        <w:rPr>
          <w:rFonts w:hint="eastAsia" w:ascii="Times New Roman" w:hAnsi="Times New Roman" w:eastAsia="宋体"/>
          <w:sz w:val="24"/>
        </w:rPr>
        <w:t>平安产险已开发30+款科技保险产品（研发费用损失保险、集成电路流片费用损失保险等），但算力/技术资产“值多少钱、怎么贬值”仍缺乏公认模型。这正是科技保险“看不清、算不准、担不住”痛点的根源之一。</w:t>
      </w:r>
    </w:p>
    <w:p w14:paraId="09007A8A">
      <w:pPr>
        <w:pStyle w:val="3"/>
        <w:spacing w:before="40" w:after="40" w:line="360" w:lineRule="auto"/>
        <w:ind w:firstLine="480"/>
      </w:pPr>
      <w:r>
        <w:rPr>
          <w:rFonts w:hint="eastAsia" w:ascii="Times New Roman" w:hAnsi="Times New Roman" w:eastAsia="宋体"/>
          <w:sz w:val="24"/>
        </w:rPr>
        <w:t>本研究提供的价值是</w:t>
      </w:r>
      <w:r>
        <w:rPr>
          <w:rFonts w:hint="eastAsia" w:ascii="Times New Roman" w:hAnsi="Times New Roman" w:eastAsia="宋体"/>
          <w:b/>
          <w:bCs/>
          <w:sz w:val="24"/>
        </w:rPr>
        <w:t>“前置定价”（Forward</w:t>
      </w:r>
      <w:r>
        <w:rPr>
          <w:rFonts w:ascii="Times New Roman" w:hAnsi="Times New Roman" w:eastAsia="宋体"/>
          <w:b/>
          <w:bCs/>
          <w:sz w:val="24"/>
        </w:rPr>
        <w:t xml:space="preserve"> </w:t>
      </w:r>
      <w:r>
        <w:rPr>
          <w:rFonts w:hint="eastAsia" w:ascii="Times New Roman" w:hAnsi="Times New Roman" w:eastAsia="宋体"/>
          <w:b/>
          <w:bCs/>
          <w:sz w:val="24"/>
        </w:rPr>
        <w:t>Pricing）</w:t>
      </w:r>
      <w:r>
        <w:rPr>
          <w:rFonts w:hint="eastAsia" w:ascii="Times New Roman" w:hAnsi="Times New Roman" w:eastAsia="宋体"/>
          <w:sz w:val="24"/>
        </w:rPr>
        <w:t>——在风险兑现之前，通过会计估计的激进程度（D2）和资产敞口（D4）来预判风险结构。以Intel为例：其CAPEX/收入比47.5%、晶圆厂机器设备年限5→8年、经营利润仅$93M——5D-DRS评分4.55意味着“激进假设×最大敞口”的高风险组合。精算师可以将这一评分作为风险筛查标签（Risk</w:t>
      </w:r>
      <w:r>
        <w:rPr>
          <w:rFonts w:ascii="Times New Roman" w:hAnsi="Times New Roman" w:eastAsia="宋体"/>
          <w:sz w:val="24"/>
        </w:rPr>
        <w:t xml:space="preserve"> </w:t>
      </w:r>
      <w:r>
        <w:rPr>
          <w:rFonts w:hint="eastAsia" w:ascii="Times New Roman" w:hAnsi="Times New Roman" w:eastAsia="宋体"/>
          <w:sz w:val="24"/>
        </w:rPr>
        <w:t>Flag），在缺乏历史理赔数据的情况下，为算力密集型标的的承保决策提供结构化参考。</w:t>
      </w:r>
    </w:p>
    <w:p w14:paraId="5CADEC90">
      <w:pPr>
        <w:pStyle w:val="3"/>
        <w:spacing w:before="40" w:after="40" w:line="360" w:lineRule="auto"/>
        <w:ind w:firstLine="480"/>
      </w:pPr>
      <w:r>
        <w:rPr>
          <w:rFonts w:hint="eastAsia" w:ascii="Times New Roman" w:hAnsi="Times New Roman" w:eastAsia="宋体"/>
          <w:sz w:val="24"/>
        </w:rPr>
        <w:t>这与传统精算的“后置定价”（Backward</w:t>
      </w:r>
      <w:r>
        <w:rPr>
          <w:rFonts w:ascii="Times New Roman" w:hAnsi="Times New Roman" w:eastAsia="宋体"/>
          <w:sz w:val="24"/>
        </w:rPr>
        <w:t xml:space="preserve"> </w:t>
      </w:r>
      <w:r>
        <w:rPr>
          <w:rFonts w:hint="eastAsia" w:ascii="Times New Roman" w:hAnsi="Times New Roman" w:eastAsia="宋体"/>
          <w:sz w:val="24"/>
        </w:rPr>
        <w:t>Pricing）形成方法论上的互补：本研究回答“哪些标的风险高”，传统精算回答“保费该收多少”——二者结合，才能突破“无数据就无法定价”的死锁。</w:t>
      </w:r>
    </w:p>
    <w:bookmarkEnd w:id="46"/>
    <w:p w14:paraId="0962A914">
      <w:pPr>
        <w:pStyle w:val="5"/>
        <w:spacing w:before="240" w:after="120" w:line="360" w:lineRule="auto"/>
      </w:pPr>
      <w:bookmarkStart w:id="47" w:name="监管科技的盲区文本合规数字透明"/>
      <w:r>
        <w:rPr>
          <w:rFonts w:ascii="Times New Roman" w:hAnsi="Times New Roman" w:eastAsia="黑体"/>
          <w:b/>
          <w:color w:val="003366"/>
          <w:sz w:val="24"/>
        </w:rPr>
        <w:t xml:space="preserve">2.5.4 </w:t>
      </w:r>
      <w:r>
        <w:rPr>
          <w:rFonts w:hint="eastAsia" w:ascii="Times New Roman" w:hAnsi="Times New Roman" w:eastAsia="黑体"/>
          <w:b/>
          <w:color w:val="003366"/>
          <w:sz w:val="24"/>
        </w:rPr>
        <w:t>监管科技的盲区：文本合规≠数字透明</w:t>
      </w:r>
    </w:p>
    <w:p w14:paraId="266DDF08">
      <w:pPr>
        <w:pStyle w:val="25"/>
        <w:spacing w:before="40" w:after="40" w:line="360" w:lineRule="auto"/>
        <w:ind w:firstLine="480"/>
      </w:pPr>
      <w:r>
        <w:rPr>
          <w:rFonts w:hint="eastAsia" w:ascii="Times New Roman" w:hAnsi="Times New Roman" w:eastAsia="宋体"/>
          <w:sz w:val="24"/>
        </w:rPr>
        <w:t>SEC的EDGAR系统、中国的XBRL披露系统，都能自动提取“折旧年限”“会计估计变更”等字段。监管科技（RegTech）工具可以批量监测：哪家公司延长了年限、变更金额多少、是否采用未来适用法。</w:t>
      </w:r>
    </w:p>
    <w:p w14:paraId="5CD95628">
      <w:pPr>
        <w:pStyle w:val="3"/>
        <w:spacing w:before="40" w:after="40" w:line="360" w:lineRule="auto"/>
        <w:ind w:firstLine="480"/>
      </w:pPr>
      <w:r>
        <w:rPr>
          <w:rFonts w:hint="eastAsia" w:ascii="Times New Roman" w:hAnsi="Times New Roman" w:eastAsia="宋体"/>
          <w:sz w:val="24"/>
        </w:rPr>
        <w:t>但这些工具提取字段不等于识别风险——系统知道Google</w:t>
      </w:r>
      <w:r>
        <w:rPr>
          <w:rFonts w:ascii="Times New Roman" w:hAnsi="Times New Roman" w:eastAsia="宋体"/>
          <w:sz w:val="24"/>
        </w:rPr>
        <w:t xml:space="preserve"> </w:t>
      </w:r>
      <w:r>
        <w:rPr>
          <w:rFonts w:hint="eastAsia" w:ascii="Times New Roman" w:hAnsi="Times New Roman" w:eastAsia="宋体"/>
          <w:sz w:val="24"/>
        </w:rPr>
        <w:t>2023年变更了年限，但不知道“4年→6年”在AI算力资产上意味着什么。系统知道Oracle</w:t>
      </w:r>
      <w:r>
        <w:rPr>
          <w:rFonts w:ascii="Times New Roman" w:hAnsi="Times New Roman" w:eastAsia="宋体"/>
          <w:sz w:val="24"/>
        </w:rPr>
        <w:t xml:space="preserve"> </w:t>
      </w:r>
      <w:r>
        <w:rPr>
          <w:rFonts w:hint="eastAsia" w:ascii="Times New Roman" w:hAnsi="Times New Roman" w:eastAsia="宋体"/>
          <w:sz w:val="24"/>
        </w:rPr>
        <w:t>FY2025年再次延长，但无法判断“4→5→6年”的连续延长是否构成“持续宽松化”的行业级信号。</w:t>
      </w:r>
    </w:p>
    <w:p w14:paraId="40C897B8">
      <w:pPr>
        <w:pStyle w:val="3"/>
        <w:spacing w:before="40" w:after="40" w:line="360" w:lineRule="auto"/>
        <w:ind w:firstLine="480"/>
      </w:pPr>
      <w:r>
        <w:rPr>
          <w:rFonts w:hint="eastAsia" w:ascii="Times New Roman" w:hAnsi="Times New Roman" w:eastAsia="宋体"/>
          <w:sz w:val="24"/>
        </w:rPr>
        <w:t>更深层的问题在于：</w:t>
      </w:r>
      <w:r>
        <w:rPr>
          <w:rFonts w:hint="eastAsia" w:ascii="Times New Roman" w:hAnsi="Times New Roman" w:eastAsia="宋体"/>
          <w:b/>
          <w:bCs/>
          <w:sz w:val="24"/>
        </w:rPr>
        <w:t>法定披露要求的是“文字合规”，而非“数字透明”</w:t>
      </w:r>
      <w:r>
        <w:rPr>
          <w:rFonts w:hint="eastAsia" w:ascii="Times New Roman" w:hAnsi="Times New Roman" w:eastAsia="宋体"/>
          <w:sz w:val="24"/>
        </w:rPr>
        <w:t>。SEC要求公司披露变更的“性质和影响”，但不要求论证年限假设与技术迭代周期的匹配性。一家公司可以完全合规地写完Note</w:t>
      </w:r>
      <w:r>
        <w:rPr>
          <w:rFonts w:ascii="Times New Roman" w:hAnsi="Times New Roman" w:eastAsia="宋体"/>
          <w:sz w:val="24"/>
        </w:rPr>
        <w:t xml:space="preserve"> </w:t>
      </w:r>
      <w:r>
        <w:rPr>
          <w:rFonts w:hint="eastAsia" w:ascii="Times New Roman" w:hAnsi="Times New Roman" w:eastAsia="宋体"/>
          <w:sz w:val="24"/>
        </w:rPr>
        <w:t>1的会计政策附注，却仍通过折旧年限的会计估计裁量隐藏经济实质——Hutton</w:t>
      </w:r>
      <w:r>
        <w:rPr>
          <w:rFonts w:ascii="Times New Roman" w:hAnsi="Times New Roman" w:eastAsia="宋体"/>
          <w:sz w:val="24"/>
        </w:rPr>
        <w:t xml:space="preserve"> et al. (2009) </w:t>
      </w:r>
      <w:r>
        <w:rPr>
          <w:rFonts w:hint="eastAsia" w:ascii="Times New Roman" w:hAnsi="Times New Roman" w:eastAsia="宋体"/>
          <w:sz w:val="24"/>
        </w:rPr>
        <w:t>所衡量的“不透明”，正是此类会计数字层面的操纵，他们发现此类不透明会推高未来股价崩盘风险。</w:t>
      </w:r>
    </w:p>
    <w:p w14:paraId="69FC830E">
      <w:pPr>
        <w:pStyle w:val="3"/>
        <w:spacing w:before="40" w:after="40" w:line="360" w:lineRule="auto"/>
        <w:ind w:firstLine="480"/>
      </w:pPr>
      <w:r>
        <w:rPr>
          <w:rFonts w:hint="eastAsia" w:ascii="Times New Roman" w:hAnsi="Times New Roman" w:eastAsia="宋体"/>
          <w:sz w:val="24"/>
        </w:rPr>
        <w:t>本研究的四列证据链将“字段提取”升级为“语义推断”：不仅提取“useful</w:t>
      </w:r>
      <w:r>
        <w:rPr>
          <w:rFonts w:ascii="Times New Roman" w:hAnsi="Times New Roman" w:eastAsia="宋体"/>
          <w:sz w:val="24"/>
        </w:rPr>
        <w:t xml:space="preserve"> life increased from four to six </w:t>
      </w:r>
      <w:r>
        <w:rPr>
          <w:rFonts w:hint="eastAsia" w:ascii="Times New Roman" w:hAnsi="Times New Roman" w:eastAsia="宋体"/>
          <w:sz w:val="24"/>
        </w:rPr>
        <w:t>years”，还推断出“AI硬件迭代1-2年</w:t>
      </w:r>
      <w:r>
        <w:rPr>
          <w:rFonts w:ascii="Times New Roman" w:hAnsi="Times New Roman" w:eastAsia="宋体"/>
          <w:sz w:val="24"/>
        </w:rPr>
        <w:t xml:space="preserve"> vs </w:t>
      </w:r>
      <w:r>
        <w:rPr>
          <w:rFonts w:hint="eastAsia" w:ascii="Times New Roman" w:hAnsi="Times New Roman" w:eastAsia="宋体"/>
          <w:sz w:val="24"/>
        </w:rPr>
        <w:t>6年会计寿命</w:t>
      </w:r>
      <w:r>
        <w:rPr>
          <w:rFonts w:ascii="Times New Roman" w:hAnsi="Times New Roman" w:eastAsia="宋体"/>
          <w:sz w:val="24"/>
        </w:rPr>
        <w:t xml:space="preserve"> = </w:t>
      </w:r>
      <w:r>
        <w:rPr>
          <w:rFonts w:hint="eastAsia" w:ascii="Times New Roman" w:hAnsi="Times New Roman" w:eastAsia="宋体"/>
          <w:sz w:val="24"/>
        </w:rPr>
        <w:t>错配3-6倍→利润前置$3.9B→历史少提折旧永不修正→未来减值风险累积”。这种从“合规文本”到“经济实质”的穿透能力，是当前监管科技工具尚未覆盖的盲区。</w:t>
      </w:r>
    </w:p>
    <w:bookmarkEnd w:id="47"/>
    <w:p w14:paraId="44937485">
      <w:pPr>
        <w:pStyle w:val="5"/>
        <w:spacing w:before="240" w:after="120" w:line="360" w:lineRule="auto"/>
      </w:pPr>
      <w:bookmarkStart w:id="48" w:name="结论本研究不是替代传统风控而是填补其结构性盲区"/>
      <w:r>
        <w:rPr>
          <w:rFonts w:ascii="Times New Roman" w:hAnsi="Times New Roman" w:eastAsia="黑体"/>
          <w:b/>
          <w:color w:val="003366"/>
          <w:sz w:val="24"/>
        </w:rPr>
        <w:t xml:space="preserve">2.5.5 </w:t>
      </w:r>
      <w:r>
        <w:rPr>
          <w:rFonts w:hint="eastAsia" w:ascii="Times New Roman" w:hAnsi="Times New Roman" w:eastAsia="黑体"/>
          <w:b/>
          <w:color w:val="003366"/>
          <w:sz w:val="24"/>
        </w:rPr>
        <w:t>结论：本研究不是替代传统风控，而是填补其结构性盲区</w:t>
      </w:r>
    </w:p>
    <w:p w14:paraId="30B55C23">
      <w:pPr>
        <w:pStyle w:val="25"/>
        <w:spacing w:before="40" w:after="40" w:line="360" w:lineRule="auto"/>
        <w:ind w:firstLine="480"/>
      </w:pPr>
      <w:r>
        <w:rPr>
          <w:rFonts w:hint="eastAsia" w:ascii="Times New Roman" w:hAnsi="Times New Roman" w:eastAsia="宋体"/>
          <w:sz w:val="24"/>
        </w:rPr>
        <w:t>传统风控体系在设计时隐含三条假设，对AI算力资产全部失效：</w:t>
      </w:r>
    </w:p>
    <w:p w14:paraId="2BE41379">
      <w:pPr>
        <w:pStyle w:val="3"/>
        <w:spacing w:before="40" w:after="40" w:line="360" w:lineRule="auto"/>
        <w:ind w:firstLine="480"/>
      </w:pPr>
      <w:r>
        <w:rPr>
          <w:rFonts w:hint="eastAsia" w:ascii="Times New Roman" w:hAnsi="Times New Roman" w:eastAsia="宋体"/>
          <w:b/>
          <w:bCs/>
          <w:sz w:val="24"/>
        </w:rPr>
        <w:t>假设一：资产价值损耗是物理性的、均匀的。</w:t>
      </w:r>
      <w:r>
        <w:rPr>
          <w:rFonts w:ascii="Times New Roman" w:hAnsi="Times New Roman" w:eastAsia="宋体"/>
          <w:sz w:val="24"/>
        </w:rPr>
        <w:t xml:space="preserve"> </w:t>
      </w:r>
      <w:r>
        <w:rPr>
          <w:rFonts w:hint="eastAsia" w:ascii="Times New Roman" w:hAnsi="Times New Roman" w:eastAsia="宋体"/>
          <w:sz w:val="24"/>
        </w:rPr>
        <w:t>传统折旧模型假设价值随时间线性递减（直线法）。但AI算力资产的价值衰减由技术淘汰驱动，呈跳跃式、断崖式特征——一台H100服务器购入18个月后，可能因Blackwell架构推理成本下降50%而完全丧失经济竞争力，尽管物理性能完好。</w:t>
      </w:r>
    </w:p>
    <w:p w14:paraId="01669A15">
      <w:pPr>
        <w:pStyle w:val="3"/>
        <w:spacing w:before="40" w:after="40" w:line="360" w:lineRule="auto"/>
        <w:ind w:firstLine="480"/>
      </w:pPr>
      <w:r>
        <w:rPr>
          <w:rFonts w:hint="eastAsia" w:ascii="Times New Roman" w:hAnsi="Times New Roman" w:eastAsia="宋体"/>
          <w:b/>
          <w:bCs/>
          <w:sz w:val="24"/>
        </w:rPr>
        <w:t>假设二：会计估计是审慎的、中性的。</w:t>
      </w:r>
      <w:r>
        <w:rPr>
          <w:rFonts w:ascii="Times New Roman" w:hAnsi="Times New Roman" w:eastAsia="宋体"/>
          <w:sz w:val="24"/>
        </w:rPr>
        <w:t xml:space="preserve"> </w:t>
      </w:r>
      <w:r>
        <w:rPr>
          <w:rFonts w:hint="eastAsia" w:ascii="Times New Roman" w:hAnsi="Times New Roman" w:eastAsia="宋体"/>
          <w:sz w:val="24"/>
        </w:rPr>
        <w:t>传统风控假设管理层在选择会计估计时保持中立。但AI资本开支狂潮期，“All</w:t>
      </w:r>
      <w:r>
        <w:rPr>
          <w:rFonts w:ascii="Times New Roman" w:hAnsi="Times New Roman" w:eastAsia="宋体"/>
          <w:sz w:val="24"/>
        </w:rPr>
        <w:t xml:space="preserve"> in </w:t>
      </w:r>
      <w:r>
        <w:rPr>
          <w:rFonts w:hint="eastAsia" w:ascii="Times New Roman" w:hAnsi="Times New Roman" w:eastAsia="宋体"/>
          <w:sz w:val="24"/>
        </w:rPr>
        <w:t>AI”带来估值溢价，管理层有明确的动机压低当期成本——折旧年限的“宽松化”不是偶然偏差，而是周期性结构（详见第四章“估计变更共振”）。</w:t>
      </w:r>
    </w:p>
    <w:p w14:paraId="2A54AE7F">
      <w:pPr>
        <w:pStyle w:val="3"/>
        <w:spacing w:before="40" w:after="40" w:line="360" w:lineRule="auto"/>
        <w:ind w:firstLine="480"/>
      </w:pPr>
      <w:r>
        <w:rPr>
          <w:rFonts w:hint="eastAsia" w:ascii="Times New Roman" w:hAnsi="Times New Roman" w:eastAsia="宋体"/>
          <w:b/>
          <w:bCs/>
          <w:sz w:val="24"/>
        </w:rPr>
        <w:t>假设三：风险信号会在现金流或价格中显现。</w:t>
      </w:r>
      <w:r>
        <w:rPr>
          <w:rFonts w:ascii="Times New Roman" w:hAnsi="Times New Roman" w:eastAsia="宋体"/>
          <w:sz w:val="24"/>
        </w:rPr>
        <w:t xml:space="preserve"> </w:t>
      </w:r>
      <w:r>
        <w:rPr>
          <w:rFonts w:hint="eastAsia" w:ascii="Times New Roman" w:hAnsi="Times New Roman" w:eastAsia="宋体"/>
          <w:sz w:val="24"/>
        </w:rPr>
        <w:t>传统风控等待风险“暴露”后才响应（审计发现、评级下调、监管处罚）。但折旧错配的风险在暴露前就已通过“利润高估→估值膨胀→CAPEX扩张”的传导链自我强化，等到现金流恶化时，风险早已累积至难以挽回。</w:t>
      </w:r>
    </w:p>
    <w:p w14:paraId="0D1F0A86">
      <w:pPr>
        <w:pStyle w:val="3"/>
        <w:spacing w:before="40" w:after="40" w:line="360" w:lineRule="auto"/>
        <w:ind w:firstLine="480"/>
      </w:pPr>
      <w:r>
        <w:rPr>
          <w:rFonts w:hint="eastAsia" w:ascii="Times New Roman" w:hAnsi="Times New Roman" w:eastAsia="宋体"/>
          <w:sz w:val="24"/>
        </w:rPr>
        <w:t>本研究的方法论价值，正是为科创企业这一新资产类别设计适配的风控基础设施——</w:t>
      </w:r>
      <w:r>
        <w:rPr>
          <w:rFonts w:hint="eastAsia" w:ascii="Times New Roman" w:hAnsi="Times New Roman" w:eastAsia="宋体"/>
          <w:b/>
          <w:bCs/>
          <w:sz w:val="24"/>
        </w:rPr>
        <w:t>不是替代审计、评级、精算、监管，而是在它们的缝隙中补上“技术经济寿命评估”这一关键缺失环节</w:t>
      </w:r>
      <w:r>
        <w:rPr>
          <w:rFonts w:hint="eastAsia" w:ascii="Times New Roman" w:hAnsi="Times New Roman" w:eastAsia="宋体"/>
          <w:sz w:val="24"/>
        </w:rPr>
        <w:t>。证据链标注体系提供了“从合规文本到经济实质”的穿透能力，5D-DRS评分提供了“从定性判断到量化比较”的结构化框架，二者结合，构成了传统风控体系无法独立生成的增量价值。</w:t>
      </w:r>
    </w:p>
    <w:p w14:paraId="08D5ACFB">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这一盲区的普遍性，连行业最先进的风险减量实践也不例外：平安产险鹰眼系统的行业化解决方案覆盖港口、煤矿、化工、电网、风电、物流等场景，全部面向实体资产的物理风险（平安产险，2026）。这不是能力遗漏，而是体系性边界——折旧错配不触发任何物联网传感器，只能通过法定披露文本与财务数据的交叉验证识别。本研究填补的正是这一空白。</w:t>
      </w:r>
    </w:p>
    <w:p w14:paraId="3C8590E7">
      <w:pPr>
        <w:pStyle w:val="25"/>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2-1 </w:t>
      </w:r>
      <w:r>
        <w:rPr>
          <w:rFonts w:hint="eastAsia" w:ascii="Times New Roman" w:hAnsi="Times New Roman" w:eastAsia="宋体"/>
          <w:i w:val="0"/>
          <w:sz w:val="21"/>
        </w:rPr>
        <w:t>本研究与传统风控方法的对比</w:t>
      </w:r>
    </w:p>
    <w:tbl>
      <w:tblPr>
        <w:tblStyle w:val="43"/>
        <w:tblW w:w="5000" w:type="pct"/>
        <w:tblInd w:w="0" w:type="dxa"/>
        <w:tblLayout w:type="fixed"/>
        <w:tblCellMar>
          <w:top w:w="0" w:type="dxa"/>
          <w:left w:w="108" w:type="dxa"/>
          <w:bottom w:w="0" w:type="dxa"/>
          <w:right w:w="108" w:type="dxa"/>
        </w:tblCellMar>
      </w:tblPr>
      <w:tblGrid>
        <w:gridCol w:w="1786"/>
        <w:gridCol w:w="1786"/>
        <w:gridCol w:w="1965"/>
        <w:gridCol w:w="1786"/>
        <w:gridCol w:w="1965"/>
      </w:tblGrid>
      <w:tr w14:paraId="5329D646">
        <w:tblPrEx>
          <w:tblCellMar>
            <w:top w:w="0" w:type="dxa"/>
            <w:left w:w="108" w:type="dxa"/>
            <w:bottom w:w="0" w:type="dxa"/>
            <w:right w:w="108" w:type="dxa"/>
          </w:tblCellMar>
        </w:tblPrEx>
        <w:trPr>
          <w:cantSplit/>
          <w:tblHeader/>
        </w:trPr>
        <w:tc>
          <w:p w14:paraId="386F4E6E">
            <w:pPr>
              <w:pStyle w:val="26"/>
              <w:spacing w:before="20" w:after="20" w:line="276" w:lineRule="auto"/>
            </w:pPr>
            <w:r>
              <w:rPr>
                <w:rFonts w:hint="eastAsia" w:ascii="Times New Roman" w:hAnsi="Times New Roman" w:eastAsia="宋体"/>
                <w:sz w:val="20"/>
              </w:rPr>
              <w:t>风控环节</w:t>
            </w:r>
          </w:p>
        </w:tc>
        <w:tc>
          <w:p w14:paraId="64476780">
            <w:pPr>
              <w:pStyle w:val="26"/>
              <w:spacing w:before="20" w:after="20" w:line="276" w:lineRule="auto"/>
            </w:pPr>
            <w:r>
              <w:rPr>
                <w:rFonts w:hint="eastAsia" w:ascii="Times New Roman" w:hAnsi="Times New Roman" w:eastAsia="宋体"/>
                <w:sz w:val="20"/>
              </w:rPr>
              <w:t>传统方法</w:t>
            </w:r>
          </w:p>
        </w:tc>
        <w:tc>
          <w:p w14:paraId="062C6042">
            <w:pPr>
              <w:pStyle w:val="26"/>
              <w:spacing w:before="20" w:after="20" w:line="276" w:lineRule="auto"/>
            </w:pPr>
            <w:r>
              <w:rPr>
                <w:rFonts w:hint="eastAsia" w:ascii="Times New Roman" w:hAnsi="Times New Roman" w:eastAsia="宋体"/>
                <w:sz w:val="20"/>
              </w:rPr>
              <w:t>本研究方法</w:t>
            </w:r>
          </w:p>
        </w:tc>
        <w:tc>
          <w:p w14:paraId="28245115">
            <w:pPr>
              <w:pStyle w:val="26"/>
              <w:spacing w:before="20" w:after="20" w:line="276" w:lineRule="auto"/>
            </w:pPr>
            <w:r>
              <w:rPr>
                <w:rFonts w:hint="eastAsia" w:ascii="Times New Roman" w:hAnsi="Times New Roman" w:eastAsia="宋体"/>
                <w:sz w:val="20"/>
              </w:rPr>
              <w:t>差异价值</w:t>
            </w:r>
          </w:p>
        </w:tc>
        <w:tc>
          <w:p w14:paraId="37CDB71B">
            <w:pPr>
              <w:pStyle w:val="26"/>
              <w:spacing w:before="20" w:after="20" w:line="276" w:lineRule="auto"/>
            </w:pPr>
            <w:r>
              <w:rPr>
                <w:rFonts w:hint="eastAsia" w:ascii="Times New Roman" w:hAnsi="Times New Roman" w:eastAsia="宋体"/>
                <w:sz w:val="20"/>
              </w:rPr>
              <w:t>填补的盲区</w:t>
            </w:r>
          </w:p>
        </w:tc>
      </w:tr>
      <w:tr w14:paraId="4551FFF0">
        <w:tblPrEx>
          <w:tblCellMar>
            <w:top w:w="0" w:type="dxa"/>
            <w:left w:w="108" w:type="dxa"/>
            <w:bottom w:w="0" w:type="dxa"/>
            <w:right w:w="108" w:type="dxa"/>
          </w:tblCellMar>
        </w:tblPrEx>
        <w:trPr>
          <w:cantSplit/>
        </w:trPr>
        <w:tc>
          <w:p w14:paraId="2A4FA7DE">
            <w:pPr>
              <w:pStyle w:val="26"/>
              <w:spacing w:before="20" w:after="20" w:line="276" w:lineRule="auto"/>
            </w:pPr>
            <w:r>
              <w:rPr>
                <w:rFonts w:hint="eastAsia" w:ascii="Times New Roman" w:hAnsi="Times New Roman" w:eastAsia="宋体"/>
                <w:b/>
                <w:bCs/>
                <w:sz w:val="20"/>
              </w:rPr>
              <w:t>风险识别</w:t>
            </w:r>
          </w:p>
        </w:tc>
        <w:tc>
          <w:p w14:paraId="6CC5ABAF">
            <w:pPr>
              <w:pStyle w:val="26"/>
              <w:spacing w:before="20" w:after="20" w:line="276" w:lineRule="auto"/>
            </w:pPr>
            <w:r>
              <w:rPr>
                <w:rFonts w:hint="eastAsia" w:ascii="Times New Roman" w:hAnsi="Times New Roman" w:eastAsia="宋体"/>
                <w:sz w:val="20"/>
              </w:rPr>
              <w:t>审计抽样（存在性/准确性测试）</w:t>
            </w:r>
          </w:p>
        </w:tc>
        <w:tc>
          <w:p w14:paraId="737C9151">
            <w:pPr>
              <w:pStyle w:val="26"/>
              <w:spacing w:before="20" w:after="20" w:line="276" w:lineRule="auto"/>
            </w:pPr>
            <w:r>
              <w:rPr>
                <w:rFonts w:hint="eastAsia" w:ascii="Times New Roman" w:hAnsi="Times New Roman" w:eastAsia="宋体"/>
                <w:sz w:val="20"/>
              </w:rPr>
              <w:t>证据链标注</w:t>
            </w:r>
            <w:r>
              <w:rPr>
                <w:rFonts w:ascii="Times New Roman" w:hAnsi="Times New Roman" w:eastAsia="宋体"/>
                <w:sz w:val="20"/>
              </w:rPr>
              <w:t xml:space="preserve"> + </w:t>
            </w:r>
            <w:r>
              <w:rPr>
                <w:rFonts w:hint="eastAsia" w:ascii="Times New Roman" w:hAnsi="Times New Roman" w:eastAsia="宋体"/>
                <w:sz w:val="20"/>
              </w:rPr>
              <w:t>AI辅助全文检索</w:t>
            </w:r>
          </w:p>
        </w:tc>
        <w:tc>
          <w:p w14:paraId="3CDA8BB9">
            <w:pPr>
              <w:pStyle w:val="26"/>
              <w:spacing w:before="20" w:after="20" w:line="276" w:lineRule="auto"/>
            </w:pPr>
            <w:r>
              <w:rPr>
                <w:rFonts w:hint="eastAsia" w:ascii="Times New Roman" w:hAnsi="Times New Roman" w:eastAsia="宋体"/>
                <w:sz w:val="20"/>
              </w:rPr>
              <w:t>全覆盖、逐字可回溯</w:t>
            </w:r>
          </w:p>
        </w:tc>
        <w:tc>
          <w:p w14:paraId="58307847">
            <w:pPr>
              <w:pStyle w:val="26"/>
              <w:spacing w:before="20" w:after="20" w:line="276" w:lineRule="auto"/>
            </w:pPr>
            <w:r>
              <w:rPr>
                <w:rFonts w:hint="eastAsia" w:ascii="Times New Roman" w:hAnsi="Times New Roman" w:eastAsia="宋体"/>
                <w:sz w:val="20"/>
              </w:rPr>
              <w:t>审计准则不要求验证年限与技术迭代周期匹配性</w:t>
            </w:r>
          </w:p>
        </w:tc>
      </w:tr>
      <w:tr w14:paraId="3EF5DA34">
        <w:tblPrEx>
          <w:tblCellMar>
            <w:top w:w="0" w:type="dxa"/>
            <w:left w:w="108" w:type="dxa"/>
            <w:bottom w:w="0" w:type="dxa"/>
            <w:right w:w="108" w:type="dxa"/>
          </w:tblCellMar>
        </w:tblPrEx>
        <w:trPr>
          <w:cantSplit/>
        </w:trPr>
        <w:tc>
          <w:p w14:paraId="08BC4950">
            <w:pPr>
              <w:pStyle w:val="26"/>
              <w:spacing w:before="20" w:after="20" w:line="276" w:lineRule="auto"/>
            </w:pPr>
            <w:r>
              <w:rPr>
                <w:rFonts w:hint="eastAsia" w:ascii="Times New Roman" w:hAnsi="Times New Roman" w:eastAsia="宋体"/>
                <w:b/>
                <w:bCs/>
                <w:sz w:val="20"/>
              </w:rPr>
              <w:t>风险评估</w:t>
            </w:r>
          </w:p>
        </w:tc>
        <w:tc>
          <w:p w14:paraId="2D4B249B">
            <w:pPr>
              <w:pStyle w:val="26"/>
              <w:spacing w:before="20" w:after="20" w:line="276" w:lineRule="auto"/>
            </w:pPr>
            <w:r>
              <w:rPr>
                <w:rFonts w:hint="eastAsia" w:ascii="Times New Roman" w:hAnsi="Times New Roman" w:eastAsia="宋体"/>
                <w:sz w:val="20"/>
              </w:rPr>
              <w:t>经验判断</w:t>
            </w:r>
            <w:r>
              <w:rPr>
                <w:rFonts w:ascii="Times New Roman" w:hAnsi="Times New Roman" w:eastAsia="宋体"/>
                <w:sz w:val="20"/>
              </w:rPr>
              <w:t xml:space="preserve"> / </w:t>
            </w:r>
            <w:r>
              <w:rPr>
                <w:rFonts w:hint="eastAsia" w:ascii="Times New Roman" w:hAnsi="Times New Roman" w:eastAsia="宋体"/>
                <w:sz w:val="20"/>
              </w:rPr>
              <w:t>评级模型</w:t>
            </w:r>
          </w:p>
        </w:tc>
        <w:tc>
          <w:p w14:paraId="5AE5455B">
            <w:pPr>
              <w:pStyle w:val="26"/>
              <w:spacing w:before="20" w:after="20" w:line="276" w:lineRule="auto"/>
            </w:pPr>
            <w:r>
              <w:rPr>
                <w:rFonts w:hint="eastAsia" w:ascii="Times New Roman" w:hAnsi="Times New Roman" w:eastAsia="宋体"/>
                <w:sz w:val="20"/>
              </w:rPr>
              <w:t>5D-DRS五维量化评分（1-5分）</w:t>
            </w:r>
          </w:p>
        </w:tc>
        <w:tc>
          <w:p w14:paraId="74337FC2">
            <w:pPr>
              <w:pStyle w:val="26"/>
              <w:spacing w:before="20" w:after="20" w:line="276" w:lineRule="auto"/>
            </w:pPr>
            <w:r>
              <w:rPr>
                <w:rFonts w:hint="eastAsia" w:ascii="Times New Roman" w:hAnsi="Times New Roman" w:eastAsia="宋体"/>
                <w:sz w:val="20"/>
              </w:rPr>
              <w:t>结构化、跨公司可比</w:t>
            </w:r>
          </w:p>
        </w:tc>
        <w:tc>
          <w:p w14:paraId="6C161356">
            <w:pPr>
              <w:pStyle w:val="26"/>
              <w:spacing w:before="20" w:after="20" w:line="276" w:lineRule="auto"/>
            </w:pPr>
            <w:r>
              <w:rPr>
                <w:rFonts w:hint="eastAsia" w:ascii="Times New Roman" w:hAnsi="Times New Roman" w:eastAsia="宋体"/>
                <w:sz w:val="20"/>
              </w:rPr>
              <w:t>评级模型对非现金费用调整无响应</w:t>
            </w:r>
          </w:p>
        </w:tc>
      </w:tr>
      <w:tr w14:paraId="38B1ECB1">
        <w:tblPrEx>
          <w:tblCellMar>
            <w:top w:w="0" w:type="dxa"/>
            <w:left w:w="108" w:type="dxa"/>
            <w:bottom w:w="0" w:type="dxa"/>
            <w:right w:w="108" w:type="dxa"/>
          </w:tblCellMar>
        </w:tblPrEx>
        <w:trPr>
          <w:cantSplit/>
        </w:trPr>
        <w:tc>
          <w:p w14:paraId="525D660A">
            <w:pPr>
              <w:pStyle w:val="26"/>
              <w:spacing w:before="20" w:after="20" w:line="276" w:lineRule="auto"/>
            </w:pPr>
            <w:r>
              <w:rPr>
                <w:rFonts w:hint="eastAsia" w:ascii="Times New Roman" w:hAnsi="Times New Roman" w:eastAsia="宋体"/>
                <w:b/>
                <w:bCs/>
                <w:sz w:val="20"/>
              </w:rPr>
              <w:t>风险计量</w:t>
            </w:r>
          </w:p>
        </w:tc>
        <w:tc>
          <w:p w14:paraId="44CEF33E">
            <w:pPr>
              <w:pStyle w:val="26"/>
              <w:spacing w:before="20" w:after="20" w:line="276" w:lineRule="auto"/>
            </w:pPr>
            <w:r>
              <w:rPr>
                <w:rFonts w:hint="eastAsia" w:ascii="Times New Roman" w:hAnsi="Times New Roman" w:eastAsia="宋体"/>
                <w:sz w:val="20"/>
              </w:rPr>
              <w:t>无标准化工具</w:t>
            </w:r>
          </w:p>
        </w:tc>
        <w:tc>
          <w:p w14:paraId="77713127">
            <w:pPr>
              <w:pStyle w:val="26"/>
              <w:spacing w:before="20" w:after="20" w:line="276" w:lineRule="auto"/>
            </w:pPr>
            <w:r>
              <w:rPr>
                <w:rFonts w:hint="eastAsia" w:ascii="Times New Roman" w:hAnsi="Times New Roman" w:eastAsia="宋体"/>
                <w:sz w:val="20"/>
              </w:rPr>
              <w:t>折旧缺口货币化估算（$）</w:t>
            </w:r>
          </w:p>
        </w:tc>
        <w:tc>
          <w:p w14:paraId="6695ABDB">
            <w:pPr>
              <w:pStyle w:val="26"/>
              <w:spacing w:before="20" w:after="20" w:line="276" w:lineRule="auto"/>
            </w:pPr>
            <w:r>
              <w:rPr>
                <w:rFonts w:hint="eastAsia" w:ascii="Times New Roman" w:hAnsi="Times New Roman" w:eastAsia="宋体"/>
                <w:sz w:val="20"/>
              </w:rPr>
              <w:t>可对接保险保额与投研估值</w:t>
            </w:r>
          </w:p>
        </w:tc>
        <w:tc>
          <w:p w14:paraId="66BA842D">
            <w:pPr>
              <w:pStyle w:val="26"/>
              <w:spacing w:before="20" w:after="20" w:line="276" w:lineRule="auto"/>
            </w:pPr>
            <w:r>
              <w:rPr>
                <w:rFonts w:hint="eastAsia" w:ascii="Times New Roman" w:hAnsi="Times New Roman" w:eastAsia="宋体"/>
                <w:sz w:val="20"/>
              </w:rPr>
              <w:t>精算缺乏AI资产历史理赔数据</w:t>
            </w:r>
          </w:p>
        </w:tc>
      </w:tr>
      <w:tr w14:paraId="12B1A86E">
        <w:tblPrEx>
          <w:tblCellMar>
            <w:top w:w="0" w:type="dxa"/>
            <w:left w:w="108" w:type="dxa"/>
            <w:bottom w:w="0" w:type="dxa"/>
            <w:right w:w="108" w:type="dxa"/>
          </w:tblCellMar>
        </w:tblPrEx>
        <w:trPr>
          <w:cantSplit/>
        </w:trPr>
        <w:tc>
          <w:p w14:paraId="1E40CFFE">
            <w:pPr>
              <w:pStyle w:val="26"/>
              <w:spacing w:before="20" w:after="20" w:line="276" w:lineRule="auto"/>
            </w:pPr>
            <w:r>
              <w:rPr>
                <w:rFonts w:hint="eastAsia" w:ascii="Times New Roman" w:hAnsi="Times New Roman" w:eastAsia="宋体"/>
                <w:b/>
                <w:bCs/>
                <w:sz w:val="20"/>
              </w:rPr>
              <w:t>风险预警</w:t>
            </w:r>
          </w:p>
        </w:tc>
        <w:tc>
          <w:p w14:paraId="7188968C">
            <w:pPr>
              <w:pStyle w:val="26"/>
              <w:spacing w:before="20" w:after="20" w:line="276" w:lineRule="auto"/>
            </w:pPr>
            <w:r>
              <w:rPr>
                <w:rFonts w:hint="eastAsia" w:ascii="Times New Roman" w:hAnsi="Times New Roman" w:eastAsia="宋体"/>
                <w:sz w:val="20"/>
              </w:rPr>
              <w:t>年度审计</w:t>
            </w:r>
            <w:r>
              <w:rPr>
                <w:rFonts w:ascii="Times New Roman" w:hAnsi="Times New Roman" w:eastAsia="宋体"/>
                <w:sz w:val="20"/>
              </w:rPr>
              <w:t xml:space="preserve"> / </w:t>
            </w:r>
            <w:r>
              <w:rPr>
                <w:rFonts w:hint="eastAsia" w:ascii="Times New Roman" w:hAnsi="Times New Roman" w:eastAsia="宋体"/>
                <w:sz w:val="20"/>
              </w:rPr>
              <w:t>定期报告</w:t>
            </w:r>
          </w:p>
        </w:tc>
        <w:tc>
          <w:p w14:paraId="129B992B">
            <w:pPr>
              <w:pStyle w:val="26"/>
              <w:spacing w:before="20" w:after="20" w:line="276" w:lineRule="auto"/>
            </w:pPr>
            <w:r>
              <w:rPr>
                <w:rFonts w:hint="eastAsia" w:ascii="Times New Roman" w:hAnsi="Times New Roman" w:eastAsia="宋体"/>
                <w:sz w:val="20"/>
              </w:rPr>
              <w:t>R1-R4实时规则（文本+财务双通道）</w:t>
            </w:r>
          </w:p>
        </w:tc>
        <w:tc>
          <w:p w14:paraId="4370D449">
            <w:pPr>
              <w:pStyle w:val="26"/>
              <w:spacing w:before="20" w:after="20" w:line="276" w:lineRule="auto"/>
            </w:pPr>
            <w:r>
              <w:rPr>
                <w:rFonts w:hint="eastAsia" w:ascii="Times New Roman" w:hAnsi="Times New Roman" w:eastAsia="宋体"/>
                <w:sz w:val="20"/>
              </w:rPr>
              <w:t>事前预警、自动初筛</w:t>
            </w:r>
          </w:p>
        </w:tc>
        <w:tc>
          <w:p w14:paraId="5555D134">
            <w:pPr>
              <w:pStyle w:val="26"/>
              <w:spacing w:before="20" w:after="20" w:line="276" w:lineRule="auto"/>
            </w:pPr>
            <w:r>
              <w:rPr>
                <w:rFonts w:hint="eastAsia" w:ascii="Times New Roman" w:hAnsi="Times New Roman" w:eastAsia="宋体"/>
                <w:sz w:val="20"/>
              </w:rPr>
              <w:t>RegTech提取字段但不推断语义</w:t>
            </w:r>
          </w:p>
        </w:tc>
      </w:tr>
      <w:tr w14:paraId="7D6099F2">
        <w:tblPrEx>
          <w:tblCellMar>
            <w:top w:w="0" w:type="dxa"/>
            <w:left w:w="108" w:type="dxa"/>
            <w:bottom w:w="0" w:type="dxa"/>
            <w:right w:w="108" w:type="dxa"/>
          </w:tblCellMar>
        </w:tblPrEx>
        <w:trPr>
          <w:cantSplit/>
        </w:trPr>
        <w:tc>
          <w:p w14:paraId="6835299B">
            <w:pPr>
              <w:pStyle w:val="26"/>
              <w:spacing w:before="20" w:after="20" w:line="276" w:lineRule="auto"/>
            </w:pPr>
            <w:r>
              <w:rPr>
                <w:rFonts w:hint="eastAsia" w:ascii="Times New Roman" w:hAnsi="Times New Roman" w:eastAsia="宋体"/>
                <w:b/>
                <w:bCs/>
                <w:sz w:val="20"/>
              </w:rPr>
              <w:t>风险缓释</w:t>
            </w:r>
          </w:p>
        </w:tc>
        <w:tc>
          <w:p w14:paraId="2D400D26">
            <w:pPr>
              <w:pStyle w:val="26"/>
              <w:spacing w:before="20" w:after="20" w:line="276" w:lineRule="auto"/>
            </w:pPr>
            <w:r>
              <w:rPr>
                <w:rFonts w:hint="eastAsia" w:ascii="Times New Roman" w:hAnsi="Times New Roman" w:eastAsia="宋体"/>
                <w:sz w:val="20"/>
              </w:rPr>
              <w:t>减值计提</w:t>
            </w:r>
            <w:r>
              <w:rPr>
                <w:rFonts w:ascii="Times New Roman" w:hAnsi="Times New Roman" w:eastAsia="宋体"/>
                <w:sz w:val="20"/>
              </w:rPr>
              <w:t xml:space="preserve"> / </w:t>
            </w:r>
            <w:r>
              <w:rPr>
                <w:rFonts w:hint="eastAsia" w:ascii="Times New Roman" w:hAnsi="Times New Roman" w:eastAsia="宋体"/>
                <w:sz w:val="20"/>
              </w:rPr>
              <w:t>拨备</w:t>
            </w:r>
          </w:p>
        </w:tc>
        <w:tc>
          <w:p w14:paraId="2660BEE9">
            <w:pPr>
              <w:pStyle w:val="26"/>
              <w:spacing w:before="20" w:after="20" w:line="276" w:lineRule="auto"/>
            </w:pPr>
            <w:r>
              <w:rPr>
                <w:rFonts w:hint="eastAsia" w:ascii="Times New Roman" w:hAnsi="Times New Roman" w:eastAsia="宋体"/>
                <w:sz w:val="20"/>
              </w:rPr>
              <w:t>保险转移</w:t>
            </w:r>
            <w:r>
              <w:rPr>
                <w:rFonts w:ascii="Times New Roman" w:hAnsi="Times New Roman" w:eastAsia="宋体"/>
                <w:sz w:val="20"/>
              </w:rPr>
              <w:t xml:space="preserve"> + </w:t>
            </w:r>
            <w:r>
              <w:rPr>
                <w:rFonts w:hint="eastAsia" w:ascii="Times New Roman" w:hAnsi="Times New Roman" w:eastAsia="宋体"/>
                <w:sz w:val="20"/>
              </w:rPr>
              <w:t>政策优化</w:t>
            </w:r>
            <w:r>
              <w:rPr>
                <w:rFonts w:ascii="Times New Roman" w:hAnsi="Times New Roman" w:eastAsia="宋体"/>
                <w:sz w:val="20"/>
              </w:rPr>
              <w:t xml:space="preserve"> + </w:t>
            </w:r>
            <w:r>
              <w:rPr>
                <w:rFonts w:hint="eastAsia" w:ascii="Times New Roman" w:hAnsi="Times New Roman" w:eastAsia="宋体"/>
                <w:sz w:val="20"/>
              </w:rPr>
              <w:t>动态对冲</w:t>
            </w:r>
          </w:p>
        </w:tc>
        <w:tc>
          <w:p w14:paraId="410E6A39">
            <w:pPr>
              <w:pStyle w:val="26"/>
              <w:spacing w:before="20" w:after="20" w:line="276" w:lineRule="auto"/>
            </w:pPr>
            <w:r>
              <w:rPr>
                <w:rFonts w:hint="eastAsia" w:ascii="Times New Roman" w:hAnsi="Times New Roman" w:eastAsia="宋体"/>
                <w:sz w:val="20"/>
              </w:rPr>
              <w:t>多方分担、前置干预</w:t>
            </w:r>
          </w:p>
        </w:tc>
        <w:tc>
          <w:p w14:paraId="187BA96C">
            <w:pPr>
              <w:pStyle w:val="26"/>
              <w:spacing w:before="20" w:after="20" w:line="276" w:lineRule="auto"/>
            </w:pPr>
            <w:r>
              <w:rPr>
                <w:rFonts w:hint="eastAsia" w:ascii="Times New Roman" w:hAnsi="Times New Roman" w:eastAsia="宋体"/>
                <w:sz w:val="20"/>
              </w:rPr>
              <w:t>传统工具仅在风险暴露后被动响应</w:t>
            </w:r>
          </w:p>
        </w:tc>
      </w:tr>
      <w:bookmarkEnd w:id="30"/>
      <w:bookmarkEnd w:id="43"/>
      <w:bookmarkEnd w:id="48"/>
    </w:tbl>
    <w:p w14:paraId="624F6B5E">
      <w:pPr>
        <w:pStyle w:val="2"/>
        <w:pageBreakBefore/>
        <w:spacing w:before="360" w:after="240" w:line="360" w:lineRule="auto"/>
        <w:jc w:val="center"/>
      </w:pPr>
      <w:bookmarkStart w:id="49" w:name="_Toc32393"/>
      <w:bookmarkStart w:id="50" w:name="第三章研究设计与方法论"/>
      <w:r>
        <w:rPr>
          <w:rFonts w:hint="eastAsia" w:ascii="Times New Roman" w:hAnsi="Times New Roman" w:eastAsia="黑体"/>
          <w:b/>
          <w:color w:val="000000"/>
          <w:sz w:val="32"/>
        </w:rPr>
        <w:t>第三章研究设计与方法论</w:t>
      </w:r>
      <w:bookmarkEnd w:id="49"/>
    </w:p>
    <w:p w14:paraId="62BA8465">
      <w:pPr>
        <w:pStyle w:val="25"/>
        <w:spacing w:before="40" w:after="40" w:line="360" w:lineRule="auto"/>
        <w:ind w:firstLine="480"/>
      </w:pPr>
      <w:r>
        <w:rPr>
          <w:rFonts w:hint="eastAsia" w:ascii="Times New Roman" w:hAnsi="Times New Roman" w:eastAsia="宋体"/>
          <w:sz w:val="24"/>
        </w:rPr>
        <w:t>本章核心结论：方法论</w:t>
      </w:r>
      <w:r>
        <w:rPr>
          <w:rFonts w:ascii="Times New Roman" w:hAnsi="Times New Roman" w:eastAsia="宋体"/>
          <w:sz w:val="24"/>
        </w:rPr>
        <w:t xml:space="preserve"> = </w:t>
      </w:r>
      <w:r>
        <w:rPr>
          <w:rFonts w:hint="eastAsia" w:ascii="Times New Roman" w:hAnsi="Times New Roman" w:eastAsia="宋体"/>
          <w:sz w:val="24"/>
        </w:rPr>
        <w:t>证据链标注体系（关键词检索矩阵</w:t>
      </w:r>
      <w:r>
        <w:rPr>
          <w:rFonts w:ascii="Times New Roman" w:hAnsi="Times New Roman" w:eastAsia="宋体"/>
          <w:sz w:val="24"/>
        </w:rPr>
        <w:t xml:space="preserve"> → XBRL </w:t>
      </w:r>
      <w:r>
        <w:rPr>
          <w:rFonts w:hint="eastAsia" w:ascii="Times New Roman" w:hAnsi="Times New Roman" w:eastAsia="宋体"/>
          <w:sz w:val="24"/>
        </w:rPr>
        <w:t>噪声排除</w:t>
      </w:r>
      <w:r>
        <w:rPr>
          <w:rFonts w:ascii="Times New Roman" w:hAnsi="Times New Roman" w:eastAsia="宋体"/>
          <w:sz w:val="24"/>
        </w:rPr>
        <w:t xml:space="preserve"> → </w:t>
      </w:r>
      <w:r>
        <w:rPr>
          <w:rFonts w:hint="eastAsia" w:ascii="Times New Roman" w:hAnsi="Times New Roman" w:eastAsia="宋体"/>
          <w:sz w:val="24"/>
        </w:rPr>
        <w:t>四列证据链</w:t>
      </w:r>
      <w:r>
        <w:rPr>
          <w:rFonts w:ascii="Times New Roman" w:hAnsi="Times New Roman" w:eastAsia="宋体"/>
          <w:sz w:val="24"/>
        </w:rPr>
        <w:t xml:space="preserve"> → </w:t>
      </w:r>
      <w:r>
        <w:rPr>
          <w:rFonts w:hint="eastAsia" w:ascii="Times New Roman" w:hAnsi="Times New Roman" w:eastAsia="宋体"/>
          <w:sz w:val="24"/>
        </w:rPr>
        <w:t>前提核验双向验证）+</w:t>
      </w:r>
      <w:r>
        <w:rPr>
          <w:rFonts w:ascii="Times New Roman" w:hAnsi="Times New Roman" w:eastAsia="宋体"/>
          <w:sz w:val="24"/>
        </w:rPr>
        <w:t xml:space="preserve"> 5D-DRS </w:t>
      </w:r>
      <w:r>
        <w:rPr>
          <w:rFonts w:hint="eastAsia" w:ascii="Times New Roman" w:hAnsi="Times New Roman" w:eastAsia="宋体"/>
          <w:sz w:val="24"/>
        </w:rPr>
        <w:t>五维评分模型（锚点预设、权重显式、验算可复算）+</w:t>
      </w:r>
      <w:r>
        <w:rPr>
          <w:rFonts w:ascii="Times New Roman" w:hAnsi="Times New Roman" w:eastAsia="宋体"/>
          <w:sz w:val="24"/>
        </w:rPr>
        <w:t xml:space="preserve"> 45 </w:t>
      </w:r>
      <w:r>
        <w:rPr>
          <w:rFonts w:hint="eastAsia" w:ascii="Times New Roman" w:hAnsi="Times New Roman" w:eastAsia="宋体"/>
          <w:sz w:val="24"/>
        </w:rPr>
        <w:t>指标三层财务体系</w:t>
      </w:r>
      <w:r>
        <w:rPr>
          <w:rFonts w:ascii="Times New Roman" w:hAnsi="Times New Roman" w:eastAsia="宋体"/>
          <w:sz w:val="24"/>
        </w:rPr>
        <w:t xml:space="preserve"> + </w:t>
      </w:r>
      <w:r>
        <w:rPr>
          <w:rFonts w:hint="eastAsia" w:ascii="Times New Roman" w:hAnsi="Times New Roman" w:eastAsia="宋体"/>
          <w:sz w:val="24"/>
        </w:rPr>
        <w:t>四层</w:t>
      </w:r>
      <w:r>
        <w:rPr>
          <w:rFonts w:ascii="Times New Roman" w:hAnsi="Times New Roman" w:eastAsia="宋体"/>
          <w:sz w:val="24"/>
        </w:rPr>
        <w:t xml:space="preserve"> AI </w:t>
      </w:r>
      <w:r>
        <w:rPr>
          <w:rFonts w:hint="eastAsia" w:ascii="Times New Roman" w:hAnsi="Times New Roman" w:eastAsia="宋体"/>
          <w:sz w:val="24"/>
        </w:rPr>
        <w:t>应用架构。设计哲学是“证据先行，评分有据”：每条信号附原文行号、每个得分引支撑信号、每次加权展示验算式。</w:t>
      </w:r>
    </w:p>
    <w:p w14:paraId="39FC9B10">
      <w:pPr>
        <w:pStyle w:val="4"/>
        <w:spacing w:before="320" w:after="160" w:line="360" w:lineRule="auto"/>
      </w:pPr>
      <w:bookmarkStart w:id="51" w:name="_Toc12771"/>
      <w:bookmarkStart w:id="52" w:name="总体研究框架"/>
      <w:r>
        <w:rPr>
          <w:rFonts w:ascii="Times New Roman" w:hAnsi="Times New Roman" w:eastAsia="黑体"/>
          <w:b/>
          <w:color w:val="003366"/>
          <w:sz w:val="28"/>
        </w:rPr>
        <w:t xml:space="preserve">3.1 </w:t>
      </w:r>
      <w:r>
        <w:rPr>
          <w:rFonts w:hint="eastAsia" w:ascii="Times New Roman" w:hAnsi="Times New Roman" w:eastAsia="黑体"/>
          <w:b/>
          <w:color w:val="003366"/>
          <w:sz w:val="28"/>
        </w:rPr>
        <w:t>总体研究框架</w:t>
      </w:r>
      <w:bookmarkEnd w:id="51"/>
    </w:p>
    <w:p w14:paraId="61E87173">
      <w:pPr>
        <w:pStyle w:val="25"/>
        <w:spacing w:before="40" w:after="40" w:line="360" w:lineRule="auto"/>
        <w:ind w:firstLine="480"/>
        <w:jc w:val="center"/>
      </w:pPr>
      <w:r>
        <w:rPr>
          <w:rFonts w:hint="eastAsia" w:ascii="Times New Roman" w:hAnsi="Times New Roman" w:eastAsia="宋体"/>
          <w:sz w:val="24"/>
        </w:rPr>
        <w:t>本研究遵循“文本挖掘</w:t>
      </w:r>
      <w:r>
        <w:rPr>
          <w:rFonts w:ascii="Times New Roman" w:hAnsi="Times New Roman" w:eastAsia="宋体"/>
          <w:sz w:val="24"/>
        </w:rPr>
        <w:t xml:space="preserve"> → </w:t>
      </w:r>
      <w:r>
        <w:rPr>
          <w:rFonts w:hint="eastAsia" w:ascii="Times New Roman" w:hAnsi="Times New Roman" w:eastAsia="宋体"/>
          <w:sz w:val="24"/>
        </w:rPr>
        <w:t>结构化标注</w:t>
      </w:r>
      <w:r>
        <w:rPr>
          <w:rFonts w:ascii="Times New Roman" w:hAnsi="Times New Roman" w:eastAsia="宋体"/>
          <w:sz w:val="24"/>
        </w:rPr>
        <w:t xml:space="preserve"> → </w:t>
      </w:r>
      <w:r>
        <w:rPr>
          <w:rFonts w:hint="eastAsia" w:ascii="Times New Roman" w:hAnsi="Times New Roman" w:eastAsia="宋体"/>
          <w:sz w:val="24"/>
        </w:rPr>
        <w:t>量化评分</w:t>
      </w:r>
      <w:r>
        <w:rPr>
          <w:rFonts w:ascii="Times New Roman" w:hAnsi="Times New Roman" w:eastAsia="宋体"/>
          <w:sz w:val="24"/>
        </w:rPr>
        <w:t xml:space="preserve"> → </w:t>
      </w:r>
      <w:r>
        <w:rPr>
          <w:rFonts w:hint="eastAsia" w:ascii="Times New Roman" w:hAnsi="Times New Roman" w:eastAsia="宋体"/>
          <w:sz w:val="24"/>
        </w:rPr>
        <w:t>预警应用”的四阶段技术路线，将美国证券交易委员会（SEC）法定披露的</w:t>
      </w:r>
      <w:r>
        <w:rPr>
          <w:rFonts w:ascii="Times New Roman" w:hAnsi="Times New Roman" w:eastAsia="宋体"/>
          <w:sz w:val="24"/>
        </w:rPr>
        <w:t xml:space="preserve"> 10-K </w:t>
      </w:r>
      <w:r>
        <w:rPr>
          <w:rFonts w:hint="eastAsia" w:ascii="Times New Roman" w:hAnsi="Times New Roman" w:eastAsia="宋体"/>
          <w:sz w:val="24"/>
        </w:rPr>
        <w:t>年报文本，转化为可比较、可验证、可复算的折旧风险量化评分。总体框架如图</w:t>
      </w:r>
      <w:r>
        <w:rPr>
          <w:rFonts w:ascii="Times New Roman" w:hAnsi="Times New Roman" w:eastAsia="宋体"/>
          <w:sz w:val="24"/>
        </w:rPr>
        <w:t xml:space="preserve"> 3-1 </w:t>
      </w:r>
      <w:r>
        <w:rPr>
          <w:rFonts w:hint="eastAsia" w:ascii="Times New Roman" w:hAnsi="Times New Roman" w:eastAsia="宋体"/>
          <w:sz w:val="24"/>
        </w:rPr>
        <w:t>所示：</w:t>
      </w:r>
    </w:p>
    <w:p w14:paraId="538D3D8F">
      <w:pPr>
        <w:pStyle w:val="25"/>
        <w:spacing w:before="40" w:after="40" w:line="360" w:lineRule="auto"/>
        <w:ind w:firstLine="480"/>
        <w:jc w:val="center"/>
      </w:pPr>
      <w:r>
        <w:drawing>
          <wp:inline distT="0" distB="0" distL="114300" distR="114300">
            <wp:extent cx="5029200" cy="5934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029200" cy="5935326"/>
                    </a:xfrm>
                    <a:prstGeom prst="rect">
                      <a:avLst/>
                    </a:prstGeom>
                  </pic:spPr>
                </pic:pic>
              </a:graphicData>
            </a:graphic>
          </wp:inline>
        </w:drawing>
      </w:r>
    </w:p>
    <w:p w14:paraId="2AE00B66">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3-1 </w:t>
      </w:r>
      <w:r>
        <w:rPr>
          <w:rFonts w:hint="eastAsia" w:ascii="Times New Roman" w:hAnsi="Times New Roman" w:eastAsia="宋体"/>
          <w:i w:val="0"/>
          <w:sz w:val="21"/>
        </w:rPr>
        <w:t>研究技术路线图</w:t>
      </w:r>
    </w:p>
    <w:p w14:paraId="35B5315E">
      <w:pPr>
        <w:pStyle w:val="3"/>
        <w:spacing w:before="40" w:after="40" w:line="360" w:lineRule="auto"/>
        <w:ind w:firstLine="480"/>
      </w:pPr>
      <w:r>
        <w:rPr>
          <w:rFonts w:hint="eastAsia" w:ascii="Times New Roman" w:hAnsi="Times New Roman" w:eastAsia="宋体"/>
          <w:sz w:val="24"/>
        </w:rPr>
        <w:t>本框架的设计哲学是“证据先行，评分有据”：每一条风险信号必须附带可回溯的原文证据与行号，每一个维度得分必须引用支撑信号编号，每一次加权计算必须展示验算过程。这一设计直接回应了财报文本研究中“结论不可验证”的普遍痛点。</w:t>
      </w:r>
    </w:p>
    <w:bookmarkEnd w:id="52"/>
    <w:p w14:paraId="3DC76B3B">
      <w:pPr>
        <w:pStyle w:val="4"/>
        <w:spacing w:before="320" w:after="160" w:line="360" w:lineRule="auto"/>
      </w:pPr>
      <w:bookmarkStart w:id="53" w:name="_Toc27494"/>
      <w:bookmarkStart w:id="54" w:name="数据来源与样本选择"/>
      <w:r>
        <w:rPr>
          <w:rFonts w:ascii="Times New Roman" w:hAnsi="Times New Roman" w:eastAsia="黑体"/>
          <w:b/>
          <w:color w:val="003366"/>
          <w:sz w:val="28"/>
        </w:rPr>
        <w:t xml:space="preserve">3.2 </w:t>
      </w:r>
      <w:r>
        <w:rPr>
          <w:rFonts w:hint="eastAsia" w:ascii="Times New Roman" w:hAnsi="Times New Roman" w:eastAsia="黑体"/>
          <w:b/>
          <w:color w:val="003366"/>
          <w:sz w:val="28"/>
        </w:rPr>
        <w:t>数据来源与样本选择</w:t>
      </w:r>
      <w:bookmarkEnd w:id="53"/>
    </w:p>
    <w:p w14:paraId="0EC05A9C">
      <w:pPr>
        <w:pStyle w:val="5"/>
        <w:spacing w:before="240" w:after="120" w:line="360" w:lineRule="auto"/>
      </w:pPr>
      <w:bookmarkStart w:id="55" w:name="数据来源"/>
      <w:r>
        <w:rPr>
          <w:rFonts w:ascii="Times New Roman" w:hAnsi="Times New Roman" w:eastAsia="黑体"/>
          <w:b/>
          <w:color w:val="003366"/>
          <w:sz w:val="24"/>
        </w:rPr>
        <w:t xml:space="preserve">3.2.1 </w:t>
      </w:r>
      <w:r>
        <w:rPr>
          <w:rFonts w:hint="eastAsia" w:ascii="Times New Roman" w:hAnsi="Times New Roman" w:eastAsia="黑体"/>
          <w:b/>
          <w:color w:val="003366"/>
          <w:sz w:val="24"/>
        </w:rPr>
        <w:t>数据来源</w:t>
      </w:r>
    </w:p>
    <w:p w14:paraId="165392BD">
      <w:pPr>
        <w:pStyle w:val="25"/>
        <w:spacing w:before="40" w:after="40" w:line="360" w:lineRule="auto"/>
        <w:ind w:firstLine="480"/>
      </w:pPr>
      <w:r>
        <w:rPr>
          <w:rFonts w:hint="eastAsia" w:ascii="Times New Roman" w:hAnsi="Times New Roman" w:eastAsia="宋体"/>
          <w:sz w:val="24"/>
        </w:rPr>
        <w:t>本研究以</w:t>
      </w:r>
      <w:r>
        <w:rPr>
          <w:rFonts w:ascii="Times New Roman" w:hAnsi="Times New Roman" w:eastAsia="宋体"/>
          <w:sz w:val="24"/>
        </w:rPr>
        <w:t xml:space="preserve"> SEC EDGAR </w:t>
      </w:r>
      <w:r>
        <w:rPr>
          <w:rFonts w:hint="eastAsia" w:ascii="Times New Roman" w:hAnsi="Times New Roman" w:eastAsia="宋体"/>
          <w:sz w:val="24"/>
        </w:rPr>
        <w:t>系统公开的</w:t>
      </w:r>
      <w:r>
        <w:rPr>
          <w:rFonts w:ascii="Times New Roman" w:hAnsi="Times New Roman" w:eastAsia="宋体"/>
          <w:sz w:val="24"/>
        </w:rPr>
        <w:t xml:space="preserve"> 10-K </w:t>
      </w:r>
      <w:r>
        <w:rPr>
          <w:rFonts w:hint="eastAsia" w:ascii="Times New Roman" w:hAnsi="Times New Roman" w:eastAsia="宋体"/>
          <w:sz w:val="24"/>
        </w:rPr>
        <w:t>年度报告为唯一核心数据源，理由有三：</w:t>
      </w:r>
    </w:p>
    <w:p w14:paraId="336F0C4E">
      <w:pPr>
        <w:numPr>
          <w:ilvl w:val="0"/>
          <w:numId w:val="3"/>
        </w:numPr>
        <w:spacing w:before="40" w:after="40" w:line="360" w:lineRule="auto"/>
        <w:ind w:firstLine="480"/>
      </w:pPr>
      <w:r>
        <w:rPr>
          <w:rFonts w:hint="eastAsia" w:ascii="Times New Roman" w:hAnsi="Times New Roman" w:eastAsia="宋体"/>
          <w:sz w:val="24"/>
        </w:rPr>
        <w:t>法定强制性：依</w:t>
      </w:r>
      <w:r>
        <w:rPr>
          <w:rFonts w:ascii="Times New Roman" w:hAnsi="Times New Roman" w:eastAsia="宋体"/>
          <w:sz w:val="24"/>
        </w:rPr>
        <w:t xml:space="preserve"> 1933 </w:t>
      </w:r>
      <w:r>
        <w:rPr>
          <w:rFonts w:hint="eastAsia" w:ascii="Times New Roman" w:hAnsi="Times New Roman" w:eastAsia="宋体"/>
          <w:sz w:val="24"/>
        </w:rPr>
        <w:t>年《证券法》与</w:t>
      </w:r>
      <w:r>
        <w:rPr>
          <w:rFonts w:ascii="Times New Roman" w:hAnsi="Times New Roman" w:eastAsia="宋体"/>
          <w:sz w:val="24"/>
        </w:rPr>
        <w:t xml:space="preserve"> 1934 </w:t>
      </w:r>
      <w:r>
        <w:rPr>
          <w:rFonts w:hint="eastAsia" w:ascii="Times New Roman" w:hAnsi="Times New Roman" w:eastAsia="宋体"/>
          <w:sz w:val="24"/>
        </w:rPr>
        <w:t>年《证券交易法》，上市公司必须披露重大风险与关键会计估计，漏报或误导性陈述将面临集体诉讼与</w:t>
      </w:r>
      <w:r>
        <w:rPr>
          <w:rFonts w:ascii="Times New Roman" w:hAnsi="Times New Roman" w:eastAsia="宋体"/>
          <w:sz w:val="24"/>
        </w:rPr>
        <w:t xml:space="preserve"> SEC </w:t>
      </w:r>
      <w:r>
        <w:rPr>
          <w:rFonts w:hint="eastAsia" w:ascii="Times New Roman" w:hAnsi="Times New Roman" w:eastAsia="宋体"/>
          <w:sz w:val="24"/>
        </w:rPr>
        <w:t>执法。这意味着</w:t>
      </w:r>
      <w:r>
        <w:rPr>
          <w:rFonts w:ascii="Times New Roman" w:hAnsi="Times New Roman" w:eastAsia="宋体"/>
          <w:sz w:val="24"/>
        </w:rPr>
        <w:t xml:space="preserve"> 10-K </w:t>
      </w:r>
      <w:r>
        <w:rPr>
          <w:rFonts w:hint="eastAsia" w:ascii="Times New Roman" w:hAnsi="Times New Roman" w:eastAsia="宋体"/>
          <w:sz w:val="24"/>
        </w:rPr>
        <w:t>中的风险披露虽被“模糊化处理”并埋藏于十万字文本之中，但公司无法选择不写——这为文本挖掘提供了法律保障下的信息金矿。</w:t>
      </w:r>
    </w:p>
    <w:p w14:paraId="7470E2C1">
      <w:pPr>
        <w:numPr>
          <w:ilvl w:val="0"/>
          <w:numId w:val="3"/>
        </w:numPr>
        <w:spacing w:before="40" w:after="40" w:line="360" w:lineRule="auto"/>
        <w:ind w:firstLine="480"/>
      </w:pPr>
      <w:r>
        <w:rPr>
          <w:rFonts w:hint="eastAsia" w:ascii="Times New Roman" w:hAnsi="Times New Roman" w:eastAsia="宋体"/>
          <w:sz w:val="24"/>
        </w:rPr>
        <w:t>标准化与可追溯：10-K</w:t>
      </w:r>
      <w:r>
        <w:rPr>
          <w:rFonts w:ascii="Times New Roman" w:hAnsi="Times New Roman" w:eastAsia="宋体"/>
          <w:sz w:val="24"/>
        </w:rPr>
        <w:t xml:space="preserve"> </w:t>
      </w:r>
      <w:r>
        <w:rPr>
          <w:rFonts w:hint="eastAsia" w:ascii="Times New Roman" w:hAnsi="Times New Roman" w:eastAsia="宋体"/>
          <w:sz w:val="24"/>
        </w:rPr>
        <w:t>结构（Item</w:t>
      </w:r>
      <w:r>
        <w:rPr>
          <w:rFonts w:ascii="Times New Roman" w:hAnsi="Times New Roman" w:eastAsia="宋体"/>
          <w:sz w:val="24"/>
        </w:rPr>
        <w:t xml:space="preserve"> 1A Risk Factors、Item 7 MD&amp;A、Note 1 </w:t>
      </w:r>
      <w:r>
        <w:rPr>
          <w:rFonts w:hint="eastAsia" w:ascii="Times New Roman" w:hAnsi="Times New Roman" w:eastAsia="宋体"/>
          <w:sz w:val="24"/>
        </w:rPr>
        <w:t>会计政策、PP&amp;E</w:t>
      </w:r>
      <w:r>
        <w:rPr>
          <w:rFonts w:ascii="Times New Roman" w:hAnsi="Times New Roman" w:eastAsia="宋体"/>
          <w:sz w:val="24"/>
        </w:rPr>
        <w:t xml:space="preserve"> </w:t>
      </w:r>
      <w:r>
        <w:rPr>
          <w:rFonts w:hint="eastAsia" w:ascii="Times New Roman" w:hAnsi="Times New Roman" w:eastAsia="宋体"/>
          <w:sz w:val="24"/>
        </w:rPr>
        <w:t>附注）高度标准化，便于跨公司横向比较；HTML</w:t>
      </w:r>
      <w:r>
        <w:rPr>
          <w:rFonts w:ascii="Times New Roman" w:hAnsi="Times New Roman" w:eastAsia="宋体"/>
          <w:sz w:val="24"/>
        </w:rPr>
        <w:t xml:space="preserve"> </w:t>
      </w:r>
      <w:r>
        <w:rPr>
          <w:rFonts w:hint="eastAsia" w:ascii="Times New Roman" w:hAnsi="Times New Roman" w:eastAsia="宋体"/>
          <w:sz w:val="24"/>
        </w:rPr>
        <w:t>格式支持行号级精确定位。</w:t>
      </w:r>
    </w:p>
    <w:p w14:paraId="73945083">
      <w:pPr>
        <w:numPr>
          <w:ilvl w:val="0"/>
          <w:numId w:val="3"/>
        </w:numPr>
        <w:spacing w:before="40" w:after="40" w:line="360" w:lineRule="auto"/>
        <w:ind w:firstLine="480"/>
      </w:pPr>
      <w:r>
        <w:rPr>
          <w:rFonts w:hint="eastAsia" w:ascii="Times New Roman" w:hAnsi="Times New Roman" w:eastAsia="宋体"/>
          <w:sz w:val="24"/>
        </w:rPr>
        <w:t>原始性：相较第三方数据库的二手加工数据，10-K</w:t>
      </w:r>
      <w:r>
        <w:rPr>
          <w:rFonts w:ascii="Times New Roman" w:hAnsi="Times New Roman" w:eastAsia="宋体"/>
          <w:sz w:val="24"/>
        </w:rPr>
        <w:t xml:space="preserve"> </w:t>
      </w:r>
      <w:r>
        <w:rPr>
          <w:rFonts w:hint="eastAsia" w:ascii="Times New Roman" w:hAnsi="Times New Roman" w:eastAsia="宋体"/>
          <w:sz w:val="24"/>
        </w:rPr>
        <w:t>原文是会计估计变更、减值确认等关键事件的第一披露现场，如</w:t>
      </w:r>
      <w:r>
        <w:rPr>
          <w:rFonts w:ascii="Times New Roman" w:hAnsi="Times New Roman" w:eastAsia="宋体"/>
          <w:sz w:val="24"/>
        </w:rPr>
        <w:t xml:space="preserve"> Alphabet </w:t>
      </w:r>
      <w:r>
        <w:rPr>
          <w:rFonts w:hint="eastAsia" w:ascii="Times New Roman" w:hAnsi="Times New Roman" w:eastAsia="宋体"/>
          <w:sz w:val="24"/>
        </w:rPr>
        <w:t>在</w:t>
      </w:r>
      <w:r>
        <w:rPr>
          <w:rFonts w:ascii="Times New Roman" w:hAnsi="Times New Roman" w:eastAsia="宋体"/>
          <w:sz w:val="24"/>
        </w:rPr>
        <w:t xml:space="preserve"> Note 1 </w:t>
      </w:r>
      <w:r>
        <w:rPr>
          <w:rFonts w:hint="eastAsia" w:ascii="Times New Roman" w:hAnsi="Times New Roman" w:eastAsia="宋体"/>
          <w:sz w:val="24"/>
        </w:rPr>
        <w:t>中逐字披露年限变更对净利润的影响金额。</w:t>
      </w:r>
    </w:p>
    <w:bookmarkEnd w:id="55"/>
    <w:p w14:paraId="7F218F19">
      <w:pPr>
        <w:pStyle w:val="5"/>
        <w:spacing w:before="240" w:after="120" w:line="360" w:lineRule="auto"/>
      </w:pPr>
      <w:bookmarkStart w:id="56" w:name="样本选择从单年截面到三年面板"/>
      <w:r>
        <w:rPr>
          <w:rFonts w:ascii="Times New Roman" w:hAnsi="Times New Roman" w:eastAsia="黑体"/>
          <w:b/>
          <w:color w:val="003366"/>
          <w:sz w:val="24"/>
        </w:rPr>
        <w:t xml:space="preserve">3.2.2 </w:t>
      </w:r>
      <w:r>
        <w:rPr>
          <w:rFonts w:hint="eastAsia" w:ascii="Times New Roman" w:hAnsi="Times New Roman" w:eastAsia="黑体"/>
          <w:b/>
          <w:color w:val="003366"/>
          <w:sz w:val="24"/>
        </w:rPr>
        <w:t>样本选择：从单年截面到三年面板</w:t>
      </w:r>
    </w:p>
    <w:p w14:paraId="36DFFE2D">
      <w:pPr>
        <w:pStyle w:val="25"/>
        <w:spacing w:before="40" w:after="40" w:line="360" w:lineRule="auto"/>
        <w:ind w:firstLine="480"/>
      </w:pPr>
      <w:r>
        <w:rPr>
          <w:rFonts w:hint="eastAsia" w:ascii="Times New Roman" w:hAnsi="Times New Roman" w:eastAsia="宋体"/>
          <w:sz w:val="24"/>
        </w:rPr>
        <w:t>按“AI</w:t>
      </w:r>
      <w:r>
        <w:rPr>
          <w:rFonts w:ascii="Times New Roman" w:hAnsi="Times New Roman" w:eastAsia="宋体"/>
          <w:sz w:val="24"/>
        </w:rPr>
        <w:t xml:space="preserve"> </w:t>
      </w:r>
      <w:r>
        <w:rPr>
          <w:rFonts w:hint="eastAsia" w:ascii="Times New Roman" w:hAnsi="Times New Roman" w:eastAsia="宋体"/>
          <w:sz w:val="24"/>
        </w:rPr>
        <w:t>资本支出密度”与“资产结构代表性”双重标准，选取</w:t>
      </w:r>
      <w:r>
        <w:rPr>
          <w:rFonts w:ascii="Times New Roman" w:hAnsi="Times New Roman" w:eastAsia="宋体"/>
          <w:sz w:val="24"/>
        </w:rPr>
        <w:t xml:space="preserve"> 10 </w:t>
      </w:r>
      <w:r>
        <w:rPr>
          <w:rFonts w:hint="eastAsia" w:ascii="Times New Roman" w:hAnsi="Times New Roman" w:eastAsia="宋体"/>
          <w:sz w:val="24"/>
        </w:rPr>
        <w:t>家美国科技公司；以各公司折旧政策变更年（或风险事件中心年）为锚点，前后各取一财年，构成</w:t>
      </w:r>
      <w:r>
        <w:rPr>
          <w:rFonts w:ascii="Times New Roman" w:hAnsi="Times New Roman" w:eastAsia="宋体"/>
          <w:sz w:val="24"/>
        </w:rPr>
        <w:t xml:space="preserve"> 10 </w:t>
      </w:r>
      <w:r>
        <w:rPr>
          <w:rFonts w:hint="eastAsia" w:ascii="Times New Roman" w:hAnsi="Times New Roman" w:eastAsia="宋体"/>
          <w:sz w:val="24"/>
        </w:rPr>
        <w:t>家</w:t>
      </w:r>
      <w:r>
        <w:rPr>
          <w:rFonts w:ascii="Times New Roman" w:hAnsi="Times New Roman" w:eastAsia="宋体"/>
          <w:sz w:val="24"/>
        </w:rPr>
        <w:t xml:space="preserve"> × 3 </w:t>
      </w:r>
      <w:r>
        <w:rPr>
          <w:rFonts w:hint="eastAsia" w:ascii="Times New Roman" w:hAnsi="Times New Roman" w:eastAsia="宋体"/>
          <w:sz w:val="24"/>
        </w:rPr>
        <w:t>个财年</w:t>
      </w:r>
      <w:r>
        <w:rPr>
          <w:rFonts w:ascii="Times New Roman" w:hAnsi="Times New Roman" w:eastAsia="宋体"/>
          <w:sz w:val="24"/>
        </w:rPr>
        <w:t xml:space="preserve"> = 30 </w:t>
      </w:r>
      <w:r>
        <w:rPr>
          <w:rFonts w:hint="eastAsia" w:ascii="Times New Roman" w:hAnsi="Times New Roman" w:eastAsia="宋体"/>
          <w:sz w:val="24"/>
        </w:rPr>
        <w:t>份</w:t>
      </w:r>
      <w:r>
        <w:rPr>
          <w:rFonts w:ascii="Times New Roman" w:hAnsi="Times New Roman" w:eastAsia="宋体"/>
          <w:sz w:val="24"/>
        </w:rPr>
        <w:t xml:space="preserve"> 10-K </w:t>
      </w:r>
      <w:r>
        <w:rPr>
          <w:rFonts w:hint="eastAsia" w:ascii="Times New Roman" w:hAnsi="Times New Roman" w:eastAsia="宋体"/>
          <w:sz w:val="24"/>
        </w:rPr>
        <w:t>面板样本（评分粒度为“公司-年份”，共</w:t>
      </w:r>
      <w:r>
        <w:rPr>
          <w:rFonts w:ascii="Times New Roman" w:hAnsi="Times New Roman" w:eastAsia="宋体"/>
          <w:sz w:val="24"/>
        </w:rPr>
        <w:t xml:space="preserve"> 30 </w:t>
      </w:r>
      <w:r>
        <w:rPr>
          <w:rFonts w:hint="eastAsia" w:ascii="Times New Roman" w:hAnsi="Times New Roman" w:eastAsia="宋体"/>
          <w:sz w:val="24"/>
        </w:rPr>
        <w:t>个观测）。四个对照组的中心年构成如下：</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20C56FD6">
        <w:tblPrEx>
          <w:tblCellMar>
            <w:top w:w="0" w:type="dxa"/>
            <w:left w:w="108" w:type="dxa"/>
            <w:bottom w:w="0" w:type="dxa"/>
            <w:right w:w="108" w:type="dxa"/>
          </w:tblCellMar>
        </w:tblPrEx>
        <w:trPr>
          <w:cantSplit/>
          <w:tblHeader/>
        </w:trPr>
        <w:tc>
          <w:p w14:paraId="393860CB">
            <w:pPr>
              <w:pStyle w:val="26"/>
              <w:spacing w:before="20" w:after="20" w:line="276" w:lineRule="auto"/>
            </w:pPr>
            <w:r>
              <w:rPr>
                <w:rFonts w:hint="eastAsia" w:ascii="Times New Roman" w:hAnsi="Times New Roman" w:eastAsia="宋体"/>
                <w:b/>
                <w:bCs/>
                <w:sz w:val="20"/>
              </w:rPr>
              <w:t>资产类型组</w:t>
            </w:r>
          </w:p>
        </w:tc>
        <w:tc>
          <w:p w14:paraId="668E2B61">
            <w:pPr>
              <w:pStyle w:val="26"/>
              <w:spacing w:before="20" w:after="20" w:line="276" w:lineRule="auto"/>
            </w:pPr>
            <w:r>
              <w:rPr>
                <w:rFonts w:hint="eastAsia" w:ascii="Times New Roman" w:hAnsi="Times New Roman" w:eastAsia="宋体"/>
                <w:b/>
                <w:bCs/>
                <w:sz w:val="20"/>
              </w:rPr>
              <w:t>公司</w:t>
            </w:r>
          </w:p>
        </w:tc>
        <w:tc>
          <w:p w14:paraId="4313934C">
            <w:pPr>
              <w:pStyle w:val="26"/>
              <w:spacing w:before="20" w:after="20" w:line="276" w:lineRule="auto"/>
            </w:pPr>
            <w:r>
              <w:rPr>
                <w:rFonts w:hint="eastAsia" w:ascii="Times New Roman" w:hAnsi="Times New Roman" w:eastAsia="宋体"/>
                <w:b/>
                <w:bCs/>
                <w:sz w:val="20"/>
              </w:rPr>
              <w:t>三年面板（中心年加粗）</w:t>
            </w:r>
          </w:p>
        </w:tc>
        <w:tc>
          <w:p w14:paraId="6A2FA827">
            <w:pPr>
              <w:pStyle w:val="26"/>
              <w:spacing w:before="20" w:after="20" w:line="276" w:lineRule="auto"/>
            </w:pPr>
            <w:r>
              <w:rPr>
                <w:rFonts w:hint="eastAsia" w:ascii="Times New Roman" w:hAnsi="Times New Roman" w:eastAsia="宋体"/>
                <w:b/>
                <w:bCs/>
                <w:sz w:val="20"/>
              </w:rPr>
              <w:t>选择理由</w:t>
            </w:r>
          </w:p>
        </w:tc>
      </w:tr>
      <w:tr w14:paraId="7E1216B4">
        <w:tblPrEx>
          <w:tblCellMar>
            <w:top w:w="0" w:type="dxa"/>
            <w:left w:w="108" w:type="dxa"/>
            <w:bottom w:w="0" w:type="dxa"/>
            <w:right w:w="108" w:type="dxa"/>
          </w:tblCellMar>
        </w:tblPrEx>
        <w:trPr>
          <w:cantSplit/>
        </w:trPr>
        <w:tc>
          <w:p w14:paraId="071FC27D">
            <w:pPr>
              <w:pStyle w:val="26"/>
              <w:spacing w:before="20" w:after="20" w:line="276" w:lineRule="auto"/>
            </w:pPr>
            <w:r>
              <w:rPr>
                <w:rFonts w:hint="eastAsia" w:ascii="Times New Roman" w:hAnsi="Times New Roman" w:eastAsia="宋体"/>
                <w:b/>
                <w:bCs/>
                <w:sz w:val="20"/>
              </w:rPr>
              <w:t>运营型</w:t>
            </w:r>
            <w:r>
              <w:rPr>
                <w:rFonts w:hint="eastAsia" w:ascii="Times New Roman" w:hAnsi="Times New Roman" w:eastAsia="宋体"/>
                <w:sz w:val="20"/>
              </w:rPr>
              <w:t>（自建自营算力）</w:t>
            </w:r>
          </w:p>
        </w:tc>
        <w:tc>
          <w:p w14:paraId="595DD26E">
            <w:pPr>
              <w:pStyle w:val="26"/>
              <w:spacing w:before="20" w:after="20" w:line="276" w:lineRule="auto"/>
            </w:pPr>
            <w:r>
              <w:rPr>
                <w:rFonts w:ascii="Times New Roman" w:hAnsi="Times New Roman" w:eastAsia="宋体"/>
                <w:sz w:val="20"/>
              </w:rPr>
              <w:t>META、GOOGL、MSFT、ORCL</w:t>
            </w:r>
          </w:p>
        </w:tc>
        <w:tc>
          <w:p w14:paraId="10B4F42F">
            <w:pPr>
              <w:pStyle w:val="26"/>
              <w:spacing w:before="20" w:after="20" w:line="276" w:lineRule="auto"/>
            </w:pPr>
            <w:r>
              <w:rPr>
                <w:rFonts w:ascii="Times New Roman" w:hAnsi="Times New Roman" w:eastAsia="宋体"/>
                <w:sz w:val="20"/>
              </w:rPr>
              <w:t>2022/</w:t>
            </w:r>
            <w:r>
              <w:rPr>
                <w:rFonts w:ascii="Times New Roman" w:hAnsi="Times New Roman" w:eastAsia="宋体"/>
                <w:b/>
                <w:bCs/>
                <w:sz w:val="20"/>
              </w:rPr>
              <w:t>2023</w:t>
            </w:r>
            <w:r>
              <w:rPr>
                <w:rFonts w:hint="eastAsia" w:ascii="Times New Roman" w:hAnsi="Times New Roman" w:eastAsia="宋体"/>
                <w:sz w:val="20"/>
              </w:rPr>
              <w:t>/2024；FY2023/</w:t>
            </w:r>
            <w:r>
              <w:rPr>
                <w:rFonts w:ascii="Times New Roman" w:hAnsi="Times New Roman" w:eastAsia="宋体"/>
                <w:b/>
                <w:bCs/>
                <w:sz w:val="20"/>
              </w:rPr>
              <w:t>FY2024</w:t>
            </w:r>
            <w:r>
              <w:rPr>
                <w:rFonts w:ascii="Times New Roman" w:hAnsi="Times New Roman" w:eastAsia="宋体"/>
                <w:sz w:val="20"/>
              </w:rPr>
              <w:t>/FY2025</w:t>
            </w:r>
          </w:p>
        </w:tc>
        <w:tc>
          <w:p w14:paraId="1E38562E">
            <w:pPr>
              <w:pStyle w:val="26"/>
              <w:spacing w:before="20" w:after="20" w:line="276" w:lineRule="auto"/>
            </w:pPr>
            <w:r>
              <w:rPr>
                <w:rFonts w:ascii="Times New Roman" w:hAnsi="Times New Roman" w:eastAsia="宋体"/>
                <w:sz w:val="20"/>
              </w:rPr>
              <w:t xml:space="preserve">AI </w:t>
            </w:r>
            <w:r>
              <w:rPr>
                <w:rFonts w:hint="eastAsia" w:ascii="Times New Roman" w:hAnsi="Times New Roman" w:eastAsia="宋体"/>
                <w:sz w:val="20"/>
              </w:rPr>
              <w:t>军备竞赛主力，直接运营</w:t>
            </w:r>
            <w:r>
              <w:rPr>
                <w:rFonts w:ascii="Times New Roman" w:hAnsi="Times New Roman" w:eastAsia="宋体"/>
                <w:sz w:val="20"/>
              </w:rPr>
              <w:t xml:space="preserve"> GPU/TPU </w:t>
            </w:r>
            <w:r>
              <w:rPr>
                <w:rFonts w:hint="eastAsia" w:ascii="Times New Roman" w:hAnsi="Times New Roman" w:eastAsia="宋体"/>
                <w:sz w:val="20"/>
              </w:rPr>
              <w:t>集群，折旧错配风险的理论高发区</w:t>
            </w:r>
          </w:p>
        </w:tc>
      </w:tr>
      <w:tr w14:paraId="3CE9D555">
        <w:tblPrEx>
          <w:tblCellMar>
            <w:top w:w="0" w:type="dxa"/>
            <w:left w:w="108" w:type="dxa"/>
            <w:bottom w:w="0" w:type="dxa"/>
            <w:right w:w="108" w:type="dxa"/>
          </w:tblCellMar>
        </w:tblPrEx>
        <w:trPr>
          <w:cantSplit/>
        </w:trPr>
        <w:tc>
          <w:p w14:paraId="6964054B">
            <w:pPr>
              <w:pStyle w:val="26"/>
              <w:spacing w:before="20" w:after="20" w:line="276" w:lineRule="auto"/>
            </w:pPr>
            <w:r>
              <w:rPr>
                <w:rFonts w:hint="eastAsia" w:ascii="Times New Roman" w:hAnsi="Times New Roman" w:eastAsia="宋体"/>
                <w:b/>
                <w:bCs/>
                <w:sz w:val="20"/>
              </w:rPr>
              <w:t>设计型</w:t>
            </w:r>
            <w:r>
              <w:rPr>
                <w:rFonts w:hint="eastAsia" w:ascii="Times New Roman" w:hAnsi="Times New Roman" w:eastAsia="宋体"/>
                <w:sz w:val="20"/>
              </w:rPr>
              <w:t>（fabless</w:t>
            </w:r>
            <w:r>
              <w:rPr>
                <w:rFonts w:ascii="Times New Roman" w:hAnsi="Times New Roman" w:eastAsia="宋体"/>
                <w:sz w:val="20"/>
              </w:rPr>
              <w:t xml:space="preserve"> </w:t>
            </w:r>
            <w:r>
              <w:rPr>
                <w:rFonts w:hint="eastAsia" w:ascii="Times New Roman" w:hAnsi="Times New Roman" w:eastAsia="宋体"/>
                <w:sz w:val="20"/>
              </w:rPr>
              <w:t>芯片）</w:t>
            </w:r>
          </w:p>
        </w:tc>
        <w:tc>
          <w:p w14:paraId="1851392E">
            <w:pPr>
              <w:pStyle w:val="26"/>
              <w:spacing w:before="20" w:after="20" w:line="276" w:lineRule="auto"/>
            </w:pPr>
            <w:r>
              <w:rPr>
                <w:rFonts w:ascii="Times New Roman" w:hAnsi="Times New Roman" w:eastAsia="宋体"/>
                <w:sz w:val="20"/>
              </w:rPr>
              <w:t>NVDA、AMD</w:t>
            </w:r>
          </w:p>
        </w:tc>
        <w:tc>
          <w:p w14:paraId="29E8E456">
            <w:pPr>
              <w:pStyle w:val="26"/>
              <w:spacing w:before="20" w:after="20" w:line="276" w:lineRule="auto"/>
            </w:pPr>
            <w:r>
              <w:rPr>
                <w:rFonts w:ascii="Times New Roman" w:hAnsi="Times New Roman" w:eastAsia="宋体"/>
                <w:sz w:val="20"/>
              </w:rPr>
              <w:t>FY2023/</w:t>
            </w:r>
            <w:r>
              <w:rPr>
                <w:rFonts w:ascii="Times New Roman" w:hAnsi="Times New Roman" w:eastAsia="宋体"/>
                <w:b/>
                <w:bCs/>
                <w:sz w:val="20"/>
              </w:rPr>
              <w:t>FY2024</w:t>
            </w:r>
            <w:r>
              <w:rPr>
                <w:rFonts w:hint="eastAsia" w:ascii="Times New Roman" w:hAnsi="Times New Roman" w:eastAsia="宋体"/>
                <w:sz w:val="20"/>
              </w:rPr>
              <w:t>/FY2025；FY2022/</w:t>
            </w:r>
            <w:r>
              <w:rPr>
                <w:rFonts w:ascii="Times New Roman" w:hAnsi="Times New Roman" w:eastAsia="宋体"/>
                <w:b/>
                <w:bCs/>
                <w:sz w:val="20"/>
              </w:rPr>
              <w:t>FY2023</w:t>
            </w:r>
            <w:r>
              <w:rPr>
                <w:rFonts w:ascii="Times New Roman" w:hAnsi="Times New Roman" w:eastAsia="宋体"/>
                <w:sz w:val="20"/>
              </w:rPr>
              <w:t>/FY2024</w:t>
            </w:r>
          </w:p>
        </w:tc>
        <w:tc>
          <w:p w14:paraId="1AC7D9EC">
            <w:pPr>
              <w:pStyle w:val="26"/>
              <w:spacing w:before="20" w:after="20" w:line="276" w:lineRule="auto"/>
            </w:pPr>
            <w:r>
              <w:rPr>
                <w:rFonts w:hint="eastAsia" w:ascii="Times New Roman" w:hAnsi="Times New Roman" w:eastAsia="宋体"/>
                <w:sz w:val="20"/>
              </w:rPr>
              <w:t>技术迭代的“供给侧”，轻资产对照组</w:t>
            </w:r>
          </w:p>
        </w:tc>
      </w:tr>
      <w:tr w14:paraId="68F7566D">
        <w:tblPrEx>
          <w:tblCellMar>
            <w:top w:w="0" w:type="dxa"/>
            <w:left w:w="108" w:type="dxa"/>
            <w:bottom w:w="0" w:type="dxa"/>
            <w:right w:w="108" w:type="dxa"/>
          </w:tblCellMar>
        </w:tblPrEx>
        <w:trPr>
          <w:cantSplit/>
        </w:trPr>
        <w:tc>
          <w:p w14:paraId="6AC5203B">
            <w:pPr>
              <w:pStyle w:val="26"/>
              <w:spacing w:before="20" w:after="20" w:line="276" w:lineRule="auto"/>
            </w:pPr>
            <w:r>
              <w:rPr>
                <w:rFonts w:hint="eastAsia" w:ascii="Times New Roman" w:hAnsi="Times New Roman" w:eastAsia="宋体"/>
                <w:b/>
                <w:bCs/>
                <w:sz w:val="20"/>
              </w:rPr>
              <w:t>制造型</w:t>
            </w:r>
            <w:r>
              <w:rPr>
                <w:rFonts w:hint="eastAsia" w:ascii="Times New Roman" w:hAnsi="Times New Roman" w:eastAsia="宋体"/>
                <w:sz w:val="20"/>
              </w:rPr>
              <w:t>（重资产晶圆/存储）</w:t>
            </w:r>
          </w:p>
        </w:tc>
        <w:tc>
          <w:p w14:paraId="46D3DF59">
            <w:pPr>
              <w:pStyle w:val="26"/>
              <w:spacing w:before="20" w:after="20" w:line="276" w:lineRule="auto"/>
            </w:pPr>
            <w:r>
              <w:rPr>
                <w:rFonts w:ascii="Times New Roman" w:hAnsi="Times New Roman" w:eastAsia="宋体"/>
                <w:sz w:val="20"/>
              </w:rPr>
              <w:t>INTC、MU</w:t>
            </w:r>
          </w:p>
        </w:tc>
        <w:tc>
          <w:p w14:paraId="258A5A52">
            <w:pPr>
              <w:pStyle w:val="26"/>
              <w:spacing w:before="20" w:after="20" w:line="276" w:lineRule="auto"/>
            </w:pPr>
            <w:r>
              <w:rPr>
                <w:rFonts w:ascii="Times New Roman" w:hAnsi="Times New Roman" w:eastAsia="宋体"/>
                <w:sz w:val="20"/>
              </w:rPr>
              <w:t>FY2022/</w:t>
            </w:r>
            <w:r>
              <w:rPr>
                <w:rFonts w:ascii="Times New Roman" w:hAnsi="Times New Roman" w:eastAsia="宋体"/>
                <w:b/>
                <w:bCs/>
                <w:sz w:val="20"/>
              </w:rPr>
              <w:t>FY2023</w:t>
            </w:r>
            <w:r>
              <w:rPr>
                <w:rFonts w:ascii="Times New Roman" w:hAnsi="Times New Roman" w:eastAsia="宋体"/>
                <w:sz w:val="20"/>
              </w:rPr>
              <w:t>/FY2024</w:t>
            </w:r>
          </w:p>
        </w:tc>
        <w:tc>
          <w:p w14:paraId="58BA6D7A">
            <w:pPr>
              <w:pStyle w:val="26"/>
              <w:spacing w:before="20" w:after="20" w:line="276" w:lineRule="auto"/>
            </w:pPr>
            <w:r>
              <w:rPr>
                <w:rFonts w:hint="eastAsia" w:ascii="Times New Roman" w:hAnsi="Times New Roman" w:eastAsia="宋体"/>
                <w:sz w:val="20"/>
              </w:rPr>
              <w:t>传统重资产科技制造，检验模型在非</w:t>
            </w:r>
            <w:r>
              <w:rPr>
                <w:rFonts w:ascii="Times New Roman" w:hAnsi="Times New Roman" w:eastAsia="宋体"/>
                <w:sz w:val="20"/>
              </w:rPr>
              <w:t xml:space="preserve"> AI </w:t>
            </w:r>
            <w:r>
              <w:rPr>
                <w:rFonts w:hint="eastAsia" w:ascii="Times New Roman" w:hAnsi="Times New Roman" w:eastAsia="宋体"/>
                <w:sz w:val="20"/>
              </w:rPr>
              <w:t>原生资产上的适用性</w:t>
            </w:r>
          </w:p>
        </w:tc>
      </w:tr>
      <w:tr w14:paraId="787F3161">
        <w:tblPrEx>
          <w:tblCellMar>
            <w:top w:w="0" w:type="dxa"/>
            <w:left w:w="108" w:type="dxa"/>
            <w:bottom w:w="0" w:type="dxa"/>
            <w:right w:w="108" w:type="dxa"/>
          </w:tblCellMar>
        </w:tblPrEx>
        <w:trPr>
          <w:cantSplit/>
        </w:trPr>
        <w:tc>
          <w:p w14:paraId="31B193FA">
            <w:pPr>
              <w:pStyle w:val="26"/>
              <w:spacing w:before="20" w:after="20" w:line="276" w:lineRule="auto"/>
            </w:pPr>
            <w:r>
              <w:rPr>
                <w:rFonts w:hint="eastAsia" w:ascii="Times New Roman" w:hAnsi="Times New Roman" w:eastAsia="宋体"/>
                <w:b/>
                <w:bCs/>
                <w:sz w:val="20"/>
              </w:rPr>
              <w:t>软件型</w:t>
            </w:r>
            <w:r>
              <w:rPr>
                <w:rFonts w:hint="eastAsia" w:ascii="Times New Roman" w:hAnsi="Times New Roman" w:eastAsia="宋体"/>
                <w:sz w:val="20"/>
              </w:rPr>
              <w:t>（SaaS）</w:t>
            </w:r>
          </w:p>
        </w:tc>
        <w:tc>
          <w:p w14:paraId="54CEC438">
            <w:pPr>
              <w:pStyle w:val="26"/>
              <w:spacing w:before="20" w:after="20" w:line="276" w:lineRule="auto"/>
            </w:pPr>
            <w:r>
              <w:rPr>
                <w:rFonts w:ascii="Times New Roman" w:hAnsi="Times New Roman" w:eastAsia="宋体"/>
                <w:sz w:val="20"/>
              </w:rPr>
              <w:t>CRM</w:t>
            </w:r>
          </w:p>
        </w:tc>
        <w:tc>
          <w:p w14:paraId="11E4E025">
            <w:pPr>
              <w:pStyle w:val="26"/>
              <w:spacing w:before="20" w:after="20" w:line="276" w:lineRule="auto"/>
            </w:pPr>
            <w:r>
              <w:rPr>
                <w:rFonts w:ascii="Times New Roman" w:hAnsi="Times New Roman" w:eastAsia="宋体"/>
                <w:sz w:val="20"/>
              </w:rPr>
              <w:t>FY2023/</w:t>
            </w:r>
            <w:r>
              <w:rPr>
                <w:rFonts w:ascii="Times New Roman" w:hAnsi="Times New Roman" w:eastAsia="宋体"/>
                <w:b/>
                <w:bCs/>
                <w:sz w:val="20"/>
              </w:rPr>
              <w:t>FY2024</w:t>
            </w:r>
            <w:r>
              <w:rPr>
                <w:rFonts w:ascii="Times New Roman" w:hAnsi="Times New Roman" w:eastAsia="宋体"/>
                <w:sz w:val="20"/>
              </w:rPr>
              <w:t>/FY2025</w:t>
            </w:r>
          </w:p>
        </w:tc>
        <w:tc>
          <w:p w14:paraId="4C83B293">
            <w:pPr>
              <w:pStyle w:val="26"/>
              <w:spacing w:before="20" w:after="20" w:line="276" w:lineRule="auto"/>
            </w:pPr>
            <w:r>
              <w:rPr>
                <w:rFonts w:hint="eastAsia" w:ascii="Times New Roman" w:hAnsi="Times New Roman" w:eastAsia="宋体"/>
                <w:sz w:val="20"/>
              </w:rPr>
              <w:t>轻资产软件对照组，检验模型的区分度</w:t>
            </w:r>
          </w:p>
        </w:tc>
      </w:tr>
    </w:tbl>
    <w:p w14:paraId="405F1372">
      <w:pPr>
        <w:pStyle w:val="3"/>
        <w:spacing w:before="40" w:after="40" w:line="360" w:lineRule="auto"/>
        <w:ind w:firstLine="480"/>
      </w:pPr>
      <w:r>
        <w:rPr>
          <w:rFonts w:hint="eastAsia" w:ascii="Times New Roman" w:hAnsi="Times New Roman" w:eastAsia="宋体"/>
          <w:sz w:val="24"/>
        </w:rPr>
        <w:t>财年口径说明：样本公司财年截止日各异——META/GOOGL/TSLA/AMD/INTC</w:t>
      </w:r>
      <w:r>
        <w:rPr>
          <w:rFonts w:ascii="Times New Roman" w:hAnsi="Times New Roman" w:eastAsia="宋体"/>
          <w:sz w:val="24"/>
        </w:rPr>
        <w:t xml:space="preserve"> </w:t>
      </w:r>
      <w:r>
        <w:rPr>
          <w:rFonts w:hint="eastAsia" w:ascii="Times New Roman" w:hAnsi="Times New Roman" w:eastAsia="宋体"/>
          <w:sz w:val="24"/>
        </w:rPr>
        <w:t>为日历年；MSFT</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w:t>
      </w:r>
      <w:r>
        <w:rPr>
          <w:rFonts w:hint="eastAsia" w:ascii="Times New Roman" w:hAnsi="Times New Roman" w:eastAsia="宋体"/>
          <w:sz w:val="24"/>
        </w:rPr>
        <w:t>6/30，ORCL</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w:t>
      </w:r>
      <w:r>
        <w:rPr>
          <w:rFonts w:hint="eastAsia" w:ascii="Times New Roman" w:hAnsi="Times New Roman" w:eastAsia="宋体"/>
          <w:sz w:val="24"/>
        </w:rPr>
        <w:t>5/31，NVDA/CRM</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1 </w:t>
      </w:r>
      <w:r>
        <w:rPr>
          <w:rFonts w:hint="eastAsia" w:ascii="Times New Roman" w:hAnsi="Times New Roman" w:eastAsia="宋体"/>
          <w:sz w:val="24"/>
        </w:rPr>
        <w:t>月底，MU</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8 </w:t>
      </w:r>
      <w:r>
        <w:rPr>
          <w:rFonts w:hint="eastAsia" w:ascii="Times New Roman" w:hAnsi="Times New Roman" w:eastAsia="宋体"/>
          <w:sz w:val="24"/>
        </w:rPr>
        <w:t>月底，美国财年按结束年度命名。本研究扩样以各公司折旧政策变更年为中心前后各取一财年，10</w:t>
      </w:r>
      <w:r>
        <w:rPr>
          <w:rFonts w:ascii="Times New Roman" w:hAnsi="Times New Roman" w:eastAsia="宋体"/>
          <w:sz w:val="24"/>
        </w:rPr>
        <w:t xml:space="preserve"> </w:t>
      </w:r>
      <w:r>
        <w:rPr>
          <w:rFonts w:hint="eastAsia" w:ascii="Times New Roman" w:hAnsi="Times New Roman" w:eastAsia="宋体"/>
          <w:sz w:val="24"/>
        </w:rPr>
        <w:t>家中心年的实际覆盖期均以日历</w:t>
      </w:r>
      <w:r>
        <w:rPr>
          <w:rFonts w:ascii="Times New Roman" w:hAnsi="Times New Roman" w:eastAsia="宋体"/>
          <w:sz w:val="24"/>
        </w:rPr>
        <w:t xml:space="preserve"> 2023 </w:t>
      </w:r>
      <w:r>
        <w:rPr>
          <w:rFonts w:hint="eastAsia" w:ascii="Times New Roman" w:hAnsi="Times New Roman" w:eastAsia="宋体"/>
          <w:sz w:val="24"/>
        </w:rPr>
        <w:t>年为重心；全文跨年比较一律以报告期截止日（report_period_end）的实际覆盖期为准，而非财年标签。</w:t>
      </w:r>
    </w:p>
    <w:p w14:paraId="426D7622">
      <w:pPr>
        <w:pStyle w:val="3"/>
        <w:spacing w:before="40" w:after="40" w:line="360" w:lineRule="auto"/>
        <w:ind w:firstLine="480"/>
      </w:pPr>
      <w:r>
        <w:rPr>
          <w:rFonts w:hint="eastAsia" w:ascii="Times New Roman" w:hAnsi="Times New Roman" w:eastAsia="宋体"/>
          <w:sz w:val="24"/>
        </w:rPr>
        <w:t>样本设计覆盖“风险假设激进度</w:t>
      </w:r>
      <w:r>
        <w:rPr>
          <w:rFonts w:ascii="Times New Roman" w:hAnsi="Times New Roman" w:eastAsia="宋体"/>
          <w:sz w:val="24"/>
        </w:rPr>
        <w:t xml:space="preserve"> × </w:t>
      </w:r>
      <w:r>
        <w:rPr>
          <w:rFonts w:hint="eastAsia" w:ascii="Times New Roman" w:hAnsi="Times New Roman" w:eastAsia="宋体"/>
          <w:sz w:val="24"/>
        </w:rPr>
        <w:t>资产敞口”的全光谱，确保五维评分模型既能识别高风险（预期</w:t>
      </w:r>
      <w:r>
        <w:rPr>
          <w:rFonts w:ascii="Times New Roman" w:hAnsi="Times New Roman" w:eastAsia="宋体"/>
          <w:sz w:val="24"/>
        </w:rPr>
        <w:t xml:space="preserve"> </w:t>
      </w:r>
      <w:r>
        <w:rPr>
          <w:rFonts w:hint="eastAsia" w:ascii="Times New Roman" w:hAnsi="Times New Roman" w:eastAsia="宋体"/>
          <w:sz w:val="24"/>
        </w:rPr>
        <w:t>GOOGL/MSFT/META），也能确认低风险（预期</w:t>
      </w:r>
      <w:r>
        <w:rPr>
          <w:rFonts w:ascii="Times New Roman" w:hAnsi="Times New Roman" w:eastAsia="宋体"/>
          <w:sz w:val="24"/>
        </w:rPr>
        <w:t xml:space="preserve"> </w:t>
      </w:r>
      <w:r>
        <w:rPr>
          <w:rFonts w:hint="eastAsia" w:ascii="Times New Roman" w:hAnsi="Times New Roman" w:eastAsia="宋体"/>
          <w:sz w:val="24"/>
        </w:rPr>
        <w:t>AMD/CRM），具备判别效度。面板结构则使“同一公司变更前后的评分轨迹”成为可观察对象——这是本研究相对单年截面的关键升级（见第四章）。</w:t>
      </w:r>
    </w:p>
    <w:p w14:paraId="68E06412">
      <w:pPr>
        <w:pStyle w:val="3"/>
        <w:spacing w:before="40" w:after="40" w:line="360" w:lineRule="auto"/>
        <w:ind w:firstLine="480"/>
      </w:pPr>
      <w:r>
        <w:rPr>
          <w:rFonts w:hint="eastAsia" w:ascii="Times New Roman" w:hAnsi="Times New Roman" w:eastAsia="宋体"/>
          <w:sz w:val="24"/>
        </w:rPr>
        <w:t>样本边界说明：Amazon（AMZN）同为</w:t>
      </w:r>
      <w:r>
        <w:rPr>
          <w:rFonts w:ascii="Times New Roman" w:hAnsi="Times New Roman" w:eastAsia="宋体"/>
          <w:sz w:val="24"/>
        </w:rPr>
        <w:t xml:space="preserve"> hyperscaler </w:t>
      </w:r>
      <w:r>
        <w:rPr>
          <w:rFonts w:hint="eastAsia" w:ascii="Times New Roman" w:hAnsi="Times New Roman" w:eastAsia="宋体"/>
          <w:sz w:val="24"/>
        </w:rPr>
        <w:t>且</w:t>
      </w:r>
      <w:r>
        <w:rPr>
          <w:rFonts w:ascii="Times New Roman" w:hAnsi="Times New Roman" w:eastAsia="宋体"/>
          <w:sz w:val="24"/>
        </w:rPr>
        <w:t xml:space="preserve"> 2025 </w:t>
      </w:r>
      <w:r>
        <w:rPr>
          <w:rFonts w:hint="eastAsia" w:ascii="Times New Roman" w:hAnsi="Times New Roman" w:eastAsia="宋体"/>
          <w:sz w:val="24"/>
        </w:rPr>
        <w:t>年执行了服务器年限</w:t>
      </w:r>
      <w:r>
        <w:rPr>
          <w:rFonts w:ascii="Times New Roman" w:hAnsi="Times New Roman" w:eastAsia="宋体"/>
          <w:sz w:val="24"/>
        </w:rPr>
        <w:t xml:space="preserve"> 6→5 </w:t>
      </w:r>
      <w:r>
        <w:rPr>
          <w:rFonts w:hint="eastAsia" w:ascii="Times New Roman" w:hAnsi="Times New Roman" w:eastAsia="宋体"/>
          <w:sz w:val="24"/>
        </w:rPr>
        <w:t>年的反向缩回，具有重要叙事价值。但样本选取时（2026</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6-7 </w:t>
      </w:r>
      <w:r>
        <w:rPr>
          <w:rFonts w:hint="eastAsia" w:ascii="Times New Roman" w:hAnsi="Times New Roman" w:eastAsia="宋体"/>
          <w:sz w:val="24"/>
        </w:rPr>
        <w:t>月）Amazon</w:t>
      </w:r>
      <w:r>
        <w:rPr>
          <w:rFonts w:ascii="Times New Roman" w:hAnsi="Times New Roman" w:eastAsia="宋体"/>
          <w:sz w:val="24"/>
        </w:rPr>
        <w:t xml:space="preserve"> </w:t>
      </w:r>
      <w:r>
        <w:rPr>
          <w:rFonts w:hint="eastAsia" w:ascii="Times New Roman" w:hAnsi="Times New Roman" w:eastAsia="宋体"/>
          <w:sz w:val="24"/>
        </w:rPr>
        <w:t>的缩回决策尚未完整披露于</w:t>
      </w:r>
      <w:r>
        <w:rPr>
          <w:rFonts w:ascii="Times New Roman" w:hAnsi="Times New Roman" w:eastAsia="宋体"/>
          <w:sz w:val="24"/>
        </w:rPr>
        <w:t xml:space="preserve"> </w:t>
      </w:r>
      <w:r>
        <w:rPr>
          <w:rFonts w:hint="eastAsia" w:ascii="Times New Roman" w:hAnsi="Times New Roman" w:eastAsia="宋体"/>
          <w:sz w:val="24"/>
        </w:rPr>
        <w:t>10-K（披露于</w:t>
      </w:r>
      <w:r>
        <w:rPr>
          <w:rFonts w:ascii="Times New Roman" w:hAnsi="Times New Roman" w:eastAsia="宋体"/>
          <w:sz w:val="24"/>
        </w:rPr>
        <w:t xml:space="preserve"> 2024 Q4 </w:t>
      </w:r>
      <w:r>
        <w:rPr>
          <w:rFonts w:hint="eastAsia" w:ascii="Times New Roman" w:hAnsi="Times New Roman" w:eastAsia="宋体"/>
          <w:sz w:val="24"/>
        </w:rPr>
        <w:t>业绩电话会，2025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月），故未纳入</w:t>
      </w:r>
      <w:r>
        <w:rPr>
          <w:rFonts w:ascii="Times New Roman" w:hAnsi="Times New Roman" w:eastAsia="宋体"/>
          <w:sz w:val="24"/>
        </w:rPr>
        <w:t xml:space="preserve"> 30 </w:t>
      </w:r>
      <w:r>
        <w:rPr>
          <w:rFonts w:hint="eastAsia" w:ascii="Times New Roman" w:hAnsi="Times New Roman" w:eastAsia="宋体"/>
          <w:sz w:val="24"/>
        </w:rPr>
        <w:t>份面板。其在第四章作为期后发现的定性反例呈现，而非面板内统计样本。</w:t>
      </w:r>
    </w:p>
    <w:p w14:paraId="2DDAB60E">
      <w:pPr>
        <w:pStyle w:val="3"/>
        <w:spacing w:before="40" w:after="40" w:line="360" w:lineRule="auto"/>
        <w:ind w:firstLine="480"/>
      </w:pPr>
      <w:r>
        <w:rPr>
          <w:rFonts w:hint="eastAsia" w:ascii="Times New Roman" w:hAnsi="Times New Roman" w:eastAsia="宋体"/>
          <w:sz w:val="24"/>
        </w:rPr>
        <w:t>样本选择局限：以折旧政策变更年或风险事件中心年为锚点，意味着面板内变更观测比例高于全市场真实比例。估计变更共振是面板内的共现模式，不宜直接外推为全市场频率。Amazon</w:t>
      </w:r>
      <w:r>
        <w:rPr>
          <w:rFonts w:ascii="Times New Roman" w:hAnsi="Times New Roman" w:eastAsia="宋体"/>
          <w:sz w:val="24"/>
        </w:rPr>
        <w:t xml:space="preserve"> </w:t>
      </w:r>
      <w:r>
        <w:rPr>
          <w:rFonts w:hint="eastAsia" w:ascii="Times New Roman" w:hAnsi="Times New Roman" w:eastAsia="宋体"/>
          <w:sz w:val="24"/>
        </w:rPr>
        <w:t>的反向缩回（6→5</w:t>
      </w:r>
      <w:r>
        <w:rPr>
          <w:rFonts w:ascii="Times New Roman" w:hAnsi="Times New Roman" w:eastAsia="宋体"/>
          <w:sz w:val="24"/>
        </w:rPr>
        <w:t xml:space="preserve"> </w:t>
      </w:r>
      <w:r>
        <w:rPr>
          <w:rFonts w:hint="eastAsia" w:ascii="Times New Roman" w:hAnsi="Times New Roman" w:eastAsia="宋体"/>
          <w:sz w:val="24"/>
        </w:rPr>
        <w:t>年）作为样本外反例，部分缓解了此偏差。</w:t>
      </w:r>
    </w:p>
    <w:bookmarkEnd w:id="56"/>
    <w:p w14:paraId="2D2485E0">
      <w:pPr>
        <w:pStyle w:val="5"/>
        <w:spacing w:before="240" w:after="120" w:line="360" w:lineRule="auto"/>
      </w:pPr>
      <w:bookmarkStart w:id="57" w:name="一个必要的说明为什么研究美国公司"/>
      <w:r>
        <w:rPr>
          <w:rFonts w:ascii="Times New Roman" w:hAnsi="Times New Roman" w:eastAsia="黑体"/>
          <w:b/>
          <w:color w:val="003366"/>
          <w:sz w:val="24"/>
        </w:rPr>
        <w:t xml:space="preserve">3.2.3 </w:t>
      </w:r>
      <w:r>
        <w:rPr>
          <w:rFonts w:hint="eastAsia" w:ascii="Times New Roman" w:hAnsi="Times New Roman" w:eastAsia="黑体"/>
          <w:b/>
          <w:color w:val="003366"/>
          <w:sz w:val="24"/>
        </w:rPr>
        <w:t>一个必要的说明：为什么研究美国公司</w:t>
      </w:r>
    </w:p>
    <w:p w14:paraId="3D712B7A">
      <w:pPr>
        <w:pStyle w:val="25"/>
        <w:spacing w:before="40" w:after="40" w:line="360" w:lineRule="auto"/>
        <w:ind w:firstLine="480"/>
      </w:pPr>
      <w:r>
        <w:rPr>
          <w:rFonts w:hint="eastAsia" w:ascii="Times New Roman" w:hAnsi="Times New Roman" w:eastAsia="宋体"/>
          <w:sz w:val="24"/>
        </w:rPr>
        <w:t>本研究聚焦美国样本，并非偏离“科创企业”主题，而是基于三重考量：（1）美国科技公司</w:t>
      </w:r>
      <w:r>
        <w:rPr>
          <w:rFonts w:ascii="Times New Roman" w:hAnsi="Times New Roman" w:eastAsia="宋体"/>
          <w:sz w:val="24"/>
        </w:rPr>
        <w:t xml:space="preserve"> AI </w:t>
      </w:r>
      <w:r>
        <w:rPr>
          <w:rFonts w:hint="eastAsia" w:ascii="Times New Roman" w:hAnsi="Times New Roman" w:eastAsia="宋体"/>
          <w:sz w:val="24"/>
        </w:rPr>
        <w:t>资本开支全球规模最大、折旧错配问题最集中；（2）SEC</w:t>
      </w:r>
      <w:r>
        <w:rPr>
          <w:rFonts w:ascii="Times New Roman" w:hAnsi="Times New Roman" w:eastAsia="宋体"/>
          <w:sz w:val="24"/>
        </w:rPr>
        <w:t xml:space="preserve"> </w:t>
      </w:r>
      <w:r>
        <w:rPr>
          <w:rFonts w:hint="eastAsia" w:ascii="Times New Roman" w:hAnsi="Times New Roman" w:eastAsia="宋体"/>
          <w:sz w:val="24"/>
        </w:rPr>
        <w:t>数据公开、标准、可复核，满足研究的可验证性要求；（3）美国案例是中国科创企业的“前瞻镜鉴”——第六章将系统讨论其对中国智算中心建设潮的警示意义与制度对策。这一“以外为鉴、以中为用”的研究定位，使选题同时具备国际视野与本土落地价值。</w:t>
      </w:r>
    </w:p>
    <w:bookmarkEnd w:id="54"/>
    <w:bookmarkEnd w:id="57"/>
    <w:p w14:paraId="1851EAEE">
      <w:pPr>
        <w:pStyle w:val="4"/>
        <w:spacing w:before="320" w:after="160" w:line="360" w:lineRule="auto"/>
      </w:pPr>
      <w:bookmarkStart w:id="58" w:name="_Toc1109"/>
      <w:bookmarkStart w:id="59" w:name="证据链标注体系evidence-chain-annotation"/>
      <w:r>
        <w:rPr>
          <w:rFonts w:ascii="Times New Roman" w:hAnsi="Times New Roman" w:eastAsia="黑体"/>
          <w:b/>
          <w:color w:val="003366"/>
          <w:sz w:val="28"/>
        </w:rPr>
        <w:t xml:space="preserve">3.3 </w:t>
      </w:r>
      <w:r>
        <w:rPr>
          <w:rFonts w:hint="eastAsia" w:ascii="Times New Roman" w:hAnsi="Times New Roman" w:eastAsia="黑体"/>
          <w:b/>
          <w:color w:val="003366"/>
          <w:sz w:val="28"/>
        </w:rPr>
        <w:t>证据链标注体系（Evidence-Chain</w:t>
      </w:r>
      <w:r>
        <w:rPr>
          <w:rFonts w:ascii="Times New Roman" w:hAnsi="Times New Roman" w:eastAsia="黑体"/>
          <w:b/>
          <w:color w:val="003366"/>
          <w:sz w:val="28"/>
        </w:rPr>
        <w:t xml:space="preserve"> </w:t>
      </w:r>
      <w:r>
        <w:rPr>
          <w:rFonts w:hint="eastAsia" w:ascii="Times New Roman" w:hAnsi="Times New Roman" w:eastAsia="黑体"/>
          <w:b/>
          <w:color w:val="003366"/>
          <w:sz w:val="28"/>
        </w:rPr>
        <w:t>Annotation）</w:t>
      </w:r>
      <w:bookmarkEnd w:id="58"/>
    </w:p>
    <w:p w14:paraId="51EF8ABA">
      <w:pPr>
        <w:pStyle w:val="25"/>
        <w:spacing w:before="40" w:after="40" w:line="360" w:lineRule="auto"/>
        <w:ind w:firstLine="480"/>
      </w:pPr>
      <w:r>
        <w:rPr>
          <w:rFonts w:hint="eastAsia" w:ascii="Times New Roman" w:hAnsi="Times New Roman" w:eastAsia="宋体"/>
          <w:sz w:val="24"/>
        </w:rPr>
        <w:t>证据链标注是本研究的核心原创方法。它将非结构化的年报文本转化为“信号—证据—推断”三级结构化数据，每条标注都是一个完整的微型论证。</w:t>
      </w:r>
    </w:p>
    <w:p w14:paraId="56AF4A22">
      <w:pPr>
        <w:pStyle w:val="5"/>
        <w:spacing w:before="240" w:after="120" w:line="360" w:lineRule="auto"/>
      </w:pPr>
      <w:bookmarkStart w:id="60" w:name="关键词检索矩阵"/>
      <w:r>
        <w:rPr>
          <w:rFonts w:ascii="Times New Roman" w:hAnsi="Times New Roman" w:eastAsia="黑体"/>
          <w:b/>
          <w:color w:val="003366"/>
          <w:sz w:val="24"/>
        </w:rPr>
        <w:t>3.3.1 五级关键词检索体系</w:t>
      </w:r>
    </w:p>
    <w:p w14:paraId="70A23135">
      <w:pPr>
        <w:pStyle w:val="25"/>
        <w:spacing w:before="40" w:after="40" w:line="360" w:lineRule="auto"/>
        <w:ind w:firstLine="480"/>
      </w:pPr>
      <w:r>
        <w:rPr>
          <w:rFonts w:hint="eastAsia" w:ascii="Times New Roman" w:hAnsi="Times New Roman" w:eastAsia="宋体"/>
          <w:sz w:val="24"/>
        </w:rPr>
        <w:t>基于折旧风险的会计传导路径，本研究构建五级关键词检索体系（大小写不敏感全文检索）：核心层保证高置信度精准定位，扩展层、正则层、MUST_INCLUDE 强制注入层与结构化章节提取层逐层提供增量覆盖，形成“精准定位”与“全面覆盖”双轨并行的检索架构。</w:t>
      </w:r>
    </w:p>
    <w:p w14:paraId="01724D6F">
      <w:pPr>
        <w:pStyle w:val="6"/>
        <w:spacing w:before="240" w:after="120" w:line="360" w:lineRule="auto"/>
        <w:rPr>
          <w:b w:val="0"/>
          <w:bCs/>
          <w:i w:val="0"/>
          <w:iCs w:val="0"/>
        </w:rPr>
      </w:pPr>
      <w:r>
        <w:rPr>
          <w:rFonts w:ascii="Times New Roman" w:hAnsi="Times New Roman" w:eastAsia="黑体"/>
          <w:b w:val="0"/>
          <w:bCs/>
          <w:i w:val="0"/>
          <w:iCs w:val="0"/>
          <w:color w:val="003366"/>
          <w:sz w:val="24"/>
        </w:rPr>
        <w:t>（一）核心层 = 人工标注六词矩阵（高置信度，无需复核）</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42D57358">
        <w:tblPrEx>
          <w:tblCellMar>
            <w:top w:w="0" w:type="dxa"/>
            <w:left w:w="108" w:type="dxa"/>
            <w:bottom w:w="0" w:type="dxa"/>
            <w:right w:w="108" w:type="dxa"/>
          </w:tblCellMar>
        </w:tblPrEx>
        <w:trPr>
          <w:cantSplit/>
          <w:tblHeader/>
        </w:trPr>
        <w:tc>
          <w:p w14:paraId="54325BD3">
            <w:pPr>
              <w:pStyle w:val="26"/>
              <w:spacing w:before="20" w:after="20" w:line="276" w:lineRule="auto"/>
            </w:pPr>
            <w:r>
              <w:rPr>
                <w:rFonts w:hint="eastAsia" w:ascii="Times New Roman" w:hAnsi="Times New Roman" w:eastAsia="宋体"/>
                <w:b/>
                <w:bCs/>
                <w:sz w:val="20"/>
              </w:rPr>
              <w:t>关键词</w:t>
            </w:r>
          </w:p>
        </w:tc>
        <w:tc>
          <w:p w14:paraId="3C681CB0">
            <w:pPr>
              <w:pStyle w:val="26"/>
              <w:spacing w:before="20" w:after="20" w:line="276" w:lineRule="auto"/>
            </w:pPr>
            <w:r>
              <w:rPr>
                <w:rFonts w:hint="eastAsia" w:ascii="Times New Roman" w:hAnsi="Times New Roman" w:eastAsia="宋体"/>
                <w:b/>
                <w:bCs/>
                <w:sz w:val="20"/>
              </w:rPr>
              <w:t>目标证据</w:t>
            </w:r>
          </w:p>
        </w:tc>
        <w:tc>
          <w:p w14:paraId="31D01C0F">
            <w:pPr>
              <w:pStyle w:val="26"/>
              <w:spacing w:before="20" w:after="20" w:line="276" w:lineRule="auto"/>
            </w:pPr>
            <w:r>
              <w:rPr>
                <w:rFonts w:hint="eastAsia" w:ascii="Times New Roman" w:hAnsi="Times New Roman" w:eastAsia="宋体"/>
                <w:b/>
                <w:bCs/>
                <w:sz w:val="20"/>
              </w:rPr>
              <w:t>信号强度</w:t>
            </w:r>
          </w:p>
        </w:tc>
      </w:tr>
      <w:tr w14:paraId="12147F68">
        <w:tblPrEx>
          <w:tblCellMar>
            <w:top w:w="0" w:type="dxa"/>
            <w:left w:w="108" w:type="dxa"/>
            <w:bottom w:w="0" w:type="dxa"/>
            <w:right w:w="108" w:type="dxa"/>
          </w:tblCellMar>
        </w:tblPrEx>
        <w:trPr>
          <w:cantSplit/>
        </w:trPr>
        <w:tc>
          <w:p w14:paraId="6C5E6583">
            <w:pPr>
              <w:pStyle w:val="26"/>
              <w:spacing w:before="20" w:after="20" w:line="276" w:lineRule="auto"/>
            </w:pPr>
            <w:r>
              <w:rPr>
                <w:rFonts w:ascii="Times New Roman" w:hAnsi="Times New Roman" w:eastAsia="宋体"/>
                <w:sz w:val="20"/>
              </w:rPr>
              <w:t>useful life / useful lives</w:t>
            </w:r>
          </w:p>
        </w:tc>
        <w:tc>
          <w:p w14:paraId="014BDED5">
            <w:pPr>
              <w:pStyle w:val="26"/>
              <w:spacing w:before="20" w:after="20" w:line="276" w:lineRule="auto"/>
            </w:pPr>
            <w:r>
              <w:rPr>
                <w:rFonts w:hint="eastAsia" w:ascii="Times New Roman" w:hAnsi="Times New Roman" w:eastAsia="宋体"/>
                <w:sz w:val="20"/>
              </w:rPr>
              <w:t>折旧年限估计及其变更</w:t>
            </w:r>
          </w:p>
        </w:tc>
        <w:tc>
          <w:p w14:paraId="48A57D9E">
            <w:pPr>
              <w:pStyle w:val="26"/>
              <w:spacing w:before="20" w:after="20" w:line="276" w:lineRule="auto"/>
            </w:pPr>
            <w:r>
              <w:rPr>
                <w:rFonts w:hint="eastAsia" w:ascii="Times New Roman" w:hAnsi="Times New Roman" w:eastAsia="宋体"/>
                <w:sz w:val="20"/>
              </w:rPr>
              <w:t>最强</w:t>
            </w:r>
          </w:p>
        </w:tc>
      </w:tr>
      <w:tr w14:paraId="79DC8AAF">
        <w:tblPrEx>
          <w:tblCellMar>
            <w:top w:w="0" w:type="dxa"/>
            <w:left w:w="108" w:type="dxa"/>
            <w:bottom w:w="0" w:type="dxa"/>
            <w:right w:w="108" w:type="dxa"/>
          </w:tblCellMar>
        </w:tblPrEx>
        <w:trPr>
          <w:cantSplit/>
        </w:trPr>
        <w:tc>
          <w:p w14:paraId="61AA3295">
            <w:pPr>
              <w:pStyle w:val="26"/>
              <w:spacing w:before="20" w:after="20" w:line="276" w:lineRule="auto"/>
            </w:pPr>
            <w:r>
              <w:rPr>
                <w:rFonts w:ascii="Times New Roman" w:hAnsi="Times New Roman" w:eastAsia="宋体"/>
                <w:sz w:val="20"/>
              </w:rPr>
              <w:t>obsolescence</w:t>
            </w:r>
          </w:p>
        </w:tc>
        <w:tc>
          <w:p w14:paraId="4942633A">
            <w:pPr>
              <w:pStyle w:val="26"/>
              <w:spacing w:before="20" w:after="20" w:line="276" w:lineRule="auto"/>
            </w:pPr>
            <w:r>
              <w:rPr>
                <w:rFonts w:hint="eastAsia" w:ascii="Times New Roman" w:hAnsi="Times New Roman" w:eastAsia="宋体"/>
                <w:sz w:val="20"/>
              </w:rPr>
              <w:t>管理层对资产过时的直接表述</w:t>
            </w:r>
          </w:p>
        </w:tc>
        <w:tc>
          <w:p w14:paraId="2F722D31">
            <w:pPr>
              <w:pStyle w:val="26"/>
              <w:spacing w:before="20" w:after="20" w:line="276" w:lineRule="auto"/>
            </w:pPr>
            <w:r>
              <w:rPr>
                <w:rFonts w:hint="eastAsia" w:ascii="Times New Roman" w:hAnsi="Times New Roman" w:eastAsia="宋体"/>
                <w:sz w:val="20"/>
              </w:rPr>
              <w:t>最强（零命中本身即是发现）</w:t>
            </w:r>
          </w:p>
        </w:tc>
      </w:tr>
      <w:tr w14:paraId="780C4A1D">
        <w:tblPrEx>
          <w:tblCellMar>
            <w:top w:w="0" w:type="dxa"/>
            <w:left w:w="108" w:type="dxa"/>
            <w:bottom w:w="0" w:type="dxa"/>
            <w:right w:w="108" w:type="dxa"/>
          </w:tblCellMar>
        </w:tblPrEx>
        <w:trPr>
          <w:cantSplit/>
        </w:trPr>
        <w:tc>
          <w:p w14:paraId="0084DA8D">
            <w:pPr>
              <w:pStyle w:val="26"/>
              <w:spacing w:before="20" w:after="20" w:line="276" w:lineRule="auto"/>
            </w:pPr>
            <w:r>
              <w:rPr>
                <w:rFonts w:ascii="Times New Roman" w:hAnsi="Times New Roman" w:eastAsia="宋体"/>
                <w:sz w:val="20"/>
              </w:rPr>
              <w:t>impairment</w:t>
            </w:r>
          </w:p>
        </w:tc>
        <w:tc>
          <w:p w14:paraId="04060B82">
            <w:pPr>
              <w:pStyle w:val="26"/>
              <w:spacing w:before="20" w:after="20" w:line="276" w:lineRule="auto"/>
            </w:pPr>
            <w:r>
              <w:rPr>
                <w:rFonts w:hint="eastAsia" w:ascii="Times New Roman" w:hAnsi="Times New Roman" w:eastAsia="宋体"/>
                <w:sz w:val="20"/>
              </w:rPr>
              <w:t>减值触发条件与历史金额</w:t>
            </w:r>
          </w:p>
        </w:tc>
        <w:tc>
          <w:p w14:paraId="771B9C9F">
            <w:pPr>
              <w:pStyle w:val="26"/>
              <w:spacing w:before="20" w:after="20" w:line="276" w:lineRule="auto"/>
            </w:pPr>
            <w:r>
              <w:rPr>
                <w:rFonts w:hint="eastAsia" w:ascii="Times New Roman" w:hAnsi="Times New Roman" w:eastAsia="宋体"/>
                <w:sz w:val="20"/>
              </w:rPr>
              <w:t>强</w:t>
            </w:r>
          </w:p>
        </w:tc>
      </w:tr>
      <w:tr w14:paraId="492F64C5">
        <w:tblPrEx>
          <w:tblCellMar>
            <w:top w:w="0" w:type="dxa"/>
            <w:left w:w="108" w:type="dxa"/>
            <w:bottom w:w="0" w:type="dxa"/>
            <w:right w:w="108" w:type="dxa"/>
          </w:tblCellMar>
        </w:tblPrEx>
        <w:trPr>
          <w:cantSplit/>
        </w:trPr>
        <w:tc>
          <w:p w14:paraId="5C8F5F84">
            <w:pPr>
              <w:pStyle w:val="26"/>
              <w:spacing w:before="20" w:after="20" w:line="276" w:lineRule="auto"/>
            </w:pPr>
            <w:r>
              <w:rPr>
                <w:rFonts w:ascii="Times New Roman" w:hAnsi="Times New Roman" w:eastAsia="宋体"/>
                <w:sz w:val="20"/>
              </w:rPr>
              <w:t>depreciation</w:t>
            </w:r>
          </w:p>
        </w:tc>
        <w:tc>
          <w:p w14:paraId="4938AD48">
            <w:pPr>
              <w:pStyle w:val="26"/>
              <w:spacing w:before="20" w:after="20" w:line="276" w:lineRule="auto"/>
            </w:pPr>
            <w:r>
              <w:rPr>
                <w:rFonts w:hint="eastAsia" w:ascii="Times New Roman" w:hAnsi="Times New Roman" w:eastAsia="宋体"/>
                <w:sz w:val="20"/>
              </w:rPr>
              <w:t>折旧方法、年限、费用额</w:t>
            </w:r>
          </w:p>
        </w:tc>
        <w:tc>
          <w:p w14:paraId="4B9B4FC0">
            <w:pPr>
              <w:pStyle w:val="26"/>
              <w:spacing w:before="20" w:after="20" w:line="276" w:lineRule="auto"/>
            </w:pPr>
            <w:r>
              <w:rPr>
                <w:rFonts w:hint="eastAsia" w:ascii="Times New Roman" w:hAnsi="Times New Roman" w:eastAsia="宋体"/>
                <w:sz w:val="20"/>
              </w:rPr>
              <w:t>强</w:t>
            </w:r>
          </w:p>
        </w:tc>
      </w:tr>
      <w:tr w14:paraId="5EE30198">
        <w:tblPrEx>
          <w:tblCellMar>
            <w:top w:w="0" w:type="dxa"/>
            <w:left w:w="108" w:type="dxa"/>
            <w:bottom w:w="0" w:type="dxa"/>
            <w:right w:w="108" w:type="dxa"/>
          </w:tblCellMar>
        </w:tblPrEx>
        <w:trPr>
          <w:cantSplit/>
        </w:trPr>
        <w:tc>
          <w:p w14:paraId="54C3D192">
            <w:pPr>
              <w:pStyle w:val="26"/>
              <w:spacing w:before="20" w:after="20" w:line="276" w:lineRule="auto"/>
            </w:pPr>
            <w:r>
              <w:rPr>
                <w:rFonts w:ascii="Times New Roman" w:hAnsi="Times New Roman" w:eastAsia="宋体"/>
                <w:sz w:val="20"/>
              </w:rPr>
              <w:t>prospectively</w:t>
            </w:r>
          </w:p>
        </w:tc>
        <w:tc>
          <w:p w14:paraId="2342794E">
            <w:pPr>
              <w:pStyle w:val="26"/>
              <w:spacing w:before="20" w:after="20" w:line="276" w:lineRule="auto"/>
            </w:pPr>
            <w:r>
              <w:rPr>
                <w:rFonts w:hint="eastAsia" w:ascii="Times New Roman" w:hAnsi="Times New Roman" w:eastAsia="宋体"/>
                <w:sz w:val="20"/>
              </w:rPr>
              <w:t>估计变更采用未来适用法（不追溯调整）</w:t>
            </w:r>
          </w:p>
        </w:tc>
        <w:tc>
          <w:p w14:paraId="37C34B40">
            <w:pPr>
              <w:pStyle w:val="26"/>
              <w:spacing w:before="20" w:after="20" w:line="276" w:lineRule="auto"/>
            </w:pPr>
            <w:r>
              <w:rPr>
                <w:rFonts w:hint="eastAsia" w:ascii="Times New Roman" w:hAnsi="Times New Roman" w:eastAsia="宋体"/>
                <w:sz w:val="20"/>
              </w:rPr>
              <w:t>强</w:t>
            </w:r>
          </w:p>
        </w:tc>
      </w:tr>
      <w:tr w14:paraId="6BCB1BA1">
        <w:tblPrEx>
          <w:tblCellMar>
            <w:top w:w="0" w:type="dxa"/>
            <w:left w:w="108" w:type="dxa"/>
            <w:bottom w:w="0" w:type="dxa"/>
            <w:right w:w="108" w:type="dxa"/>
          </w:tblCellMar>
        </w:tblPrEx>
        <w:trPr>
          <w:cantSplit/>
        </w:trPr>
        <w:tc>
          <w:p w14:paraId="54C5AF8C">
            <w:pPr>
              <w:pStyle w:val="26"/>
              <w:spacing w:before="20" w:after="20" w:line="276" w:lineRule="auto"/>
            </w:pPr>
            <w:r>
              <w:rPr>
                <w:rFonts w:ascii="Times New Roman" w:hAnsi="Times New Roman" w:eastAsia="宋体"/>
                <w:sz w:val="20"/>
              </w:rPr>
              <w:t>technology change / advancement</w:t>
            </w:r>
          </w:p>
        </w:tc>
        <w:tc>
          <w:p w14:paraId="68B7D270">
            <w:pPr>
              <w:pStyle w:val="26"/>
              <w:spacing w:before="20" w:after="20" w:line="276" w:lineRule="auto"/>
            </w:pPr>
            <w:r>
              <w:rPr>
                <w:rFonts w:hint="eastAsia" w:ascii="Times New Roman" w:hAnsi="Times New Roman" w:eastAsia="宋体"/>
                <w:sz w:val="20"/>
              </w:rPr>
              <w:t>技术迭代缩短资产实际寿命</w:t>
            </w:r>
          </w:p>
        </w:tc>
        <w:tc>
          <w:p w14:paraId="629D6EC5">
            <w:pPr>
              <w:pStyle w:val="26"/>
              <w:spacing w:before="20" w:after="20" w:line="276" w:lineRule="auto"/>
            </w:pPr>
            <w:r>
              <w:rPr>
                <w:rFonts w:hint="eastAsia" w:ascii="Times New Roman" w:hAnsi="Times New Roman" w:eastAsia="宋体"/>
                <w:sz w:val="20"/>
              </w:rPr>
              <w:t>中</w:t>
            </w:r>
          </w:p>
        </w:tc>
      </w:tr>
      <w:bookmarkEnd w:id="60"/>
    </w:tbl>
    <w:p w14:paraId="487E9FA2">
      <w:pPr>
        <w:pStyle w:val="3"/>
        <w:spacing w:before="40" w:after="40" w:line="360" w:lineRule="auto"/>
        <w:ind w:firstLine="480"/>
      </w:pPr>
      <w:r>
        <w:rPr>
          <w:rFonts w:hint="eastAsia" w:ascii="Times New Roman" w:hAnsi="Times New Roman" w:eastAsia="宋体"/>
          <w:sz w:val="24"/>
        </w:rPr>
        <w:t>核心层六词矩阵经 30 份面板样本验证，召回率 &gt;95%、准确率 &gt;98%。该层作为高置信度信号源，所有命中无需人工复核即可进入证据链。</w:t>
      </w:r>
    </w:p>
    <w:p w14:paraId="5890E409">
      <w:pPr>
        <w:pStyle w:val="6"/>
        <w:spacing w:before="240" w:after="120" w:line="360" w:lineRule="auto"/>
        <w:rPr>
          <w:b w:val="0"/>
          <w:bCs/>
          <w:i w:val="0"/>
          <w:iCs w:val="0"/>
        </w:rPr>
      </w:pPr>
      <w:r>
        <w:rPr>
          <w:rFonts w:ascii="Times New Roman" w:hAnsi="Times New Roman" w:eastAsia="黑体"/>
          <w:b w:val="0"/>
          <w:bCs/>
          <w:i w:val="0"/>
          <w:iCs w:val="0"/>
          <w:color w:val="003366"/>
          <w:sz w:val="24"/>
        </w:rPr>
        <w:t>（二）扩展层 = 语义包含词（需人工复核）</w:t>
      </w:r>
    </w:p>
    <w:tbl>
      <w:tblPr>
        <w:tblStyle w:val="43"/>
        <w:tblW w:w="5000" w:type="pct"/>
        <w:tblInd w:w="0" w:type="dxa"/>
        <w:tblLayout w:type="fixed"/>
        <w:tblCellMar>
          <w:top w:w="0" w:type="dxa"/>
          <w:left w:w="108" w:type="dxa"/>
          <w:bottom w:w="0" w:type="dxa"/>
          <w:right w:w="108" w:type="dxa"/>
        </w:tblCellMar>
      </w:tblPr>
      <w:tblGrid>
        <w:gridCol w:w="4644"/>
        <w:gridCol w:w="4644"/>
      </w:tblGrid>
      <w:tr w14:paraId="2D10FC1F">
        <w:tblPrEx>
          <w:tblCellMar>
            <w:top w:w="0" w:type="dxa"/>
            <w:left w:w="108" w:type="dxa"/>
            <w:bottom w:w="0" w:type="dxa"/>
            <w:right w:w="108" w:type="dxa"/>
          </w:tblCellMar>
        </w:tblPrEx>
        <w:tc>
          <w:tcPr>
            <w:tcW w:w="2500" w:type="pct"/>
          </w:tcPr>
          <w:p w14:paraId="52513E3A">
            <w:pPr>
              <w:pStyle w:val="26"/>
              <w:spacing w:before="20" w:after="20" w:line="276" w:lineRule="auto"/>
            </w:pPr>
            <w:r>
              <w:rPr>
                <w:rFonts w:hint="eastAsia" w:ascii="Times New Roman" w:hAnsi="Times New Roman" w:eastAsia="宋体"/>
                <w:b/>
                <w:bCs/>
                <w:sz w:val="20"/>
              </w:rPr>
              <w:t>信号强度</w:t>
            </w:r>
          </w:p>
        </w:tc>
        <w:tc>
          <w:tcPr>
            <w:tcW w:w="2500" w:type="pct"/>
          </w:tcPr>
          <w:p w14:paraId="00228BB1">
            <w:pPr>
              <w:pStyle w:val="26"/>
              <w:spacing w:before="20" w:after="20" w:line="276" w:lineRule="auto"/>
            </w:pPr>
            <w:r>
              <w:rPr>
                <w:rFonts w:hint="eastAsia" w:ascii="Times New Roman" w:hAnsi="Times New Roman" w:eastAsia="宋体"/>
                <w:b/>
                <w:bCs/>
                <w:sz w:val="20"/>
              </w:rPr>
              <w:t>关键词</w:t>
            </w:r>
          </w:p>
        </w:tc>
      </w:tr>
      <w:tr w14:paraId="0BBF2D4D">
        <w:tblPrEx>
          <w:tblCellMar>
            <w:top w:w="0" w:type="dxa"/>
            <w:left w:w="108" w:type="dxa"/>
            <w:bottom w:w="0" w:type="dxa"/>
            <w:right w:w="108" w:type="dxa"/>
          </w:tblCellMar>
        </w:tblPrEx>
        <w:tc>
          <w:tcPr>
            <w:tcW w:w="2500" w:type="pct"/>
          </w:tcPr>
          <w:p w14:paraId="3F5F4897">
            <w:pPr>
              <w:pStyle w:val="26"/>
              <w:spacing w:before="20" w:after="20" w:line="276" w:lineRule="auto"/>
            </w:pPr>
            <w:r>
              <w:rPr>
                <w:rFonts w:ascii="Times New Roman" w:hAnsi="Times New Roman" w:eastAsia="宋体"/>
                <w:sz w:val="20"/>
              </w:rPr>
              <w:t>最强</w:t>
            </w:r>
          </w:p>
        </w:tc>
        <w:tc>
          <w:tcPr>
            <w:tcW w:w="2500" w:type="pct"/>
          </w:tcPr>
          <w:p w14:paraId="38F0568C">
            <w:pPr>
              <w:pStyle w:val="26"/>
              <w:spacing w:before="20" w:after="20" w:line="276" w:lineRule="auto"/>
            </w:pPr>
            <w:r>
              <w:rPr>
                <w:rFonts w:ascii="Times New Roman" w:hAnsi="Times New Roman" w:eastAsia="宋体"/>
                <w:sz w:val="20"/>
              </w:rPr>
              <w:t>estimated useful life, depreciable life, economic life, useful life estimate, straight-line, accounting policy, property and equipment, years for production equipment, years for servers</w:t>
            </w:r>
          </w:p>
        </w:tc>
      </w:tr>
      <w:tr w14:paraId="43B7E56C">
        <w:tblPrEx>
          <w:tblCellMar>
            <w:top w:w="0" w:type="dxa"/>
            <w:left w:w="108" w:type="dxa"/>
            <w:bottom w:w="0" w:type="dxa"/>
            <w:right w:w="108" w:type="dxa"/>
          </w:tblCellMar>
        </w:tblPrEx>
        <w:tc>
          <w:tcPr>
            <w:tcW w:w="2500" w:type="pct"/>
          </w:tcPr>
          <w:p w14:paraId="4418D179">
            <w:pPr>
              <w:pStyle w:val="26"/>
              <w:spacing w:before="20" w:after="20" w:line="276" w:lineRule="auto"/>
            </w:pPr>
            <w:r>
              <w:rPr>
                <w:rFonts w:ascii="Times New Roman" w:hAnsi="Times New Roman" w:eastAsia="宋体"/>
                <w:sz w:val="20"/>
              </w:rPr>
              <w:t>强</w:t>
            </w:r>
          </w:p>
        </w:tc>
        <w:tc>
          <w:tcPr>
            <w:tcW w:w="2500" w:type="pct"/>
          </w:tcPr>
          <w:p w14:paraId="47C24EFF">
            <w:pPr>
              <w:pStyle w:val="26"/>
              <w:spacing w:before="20" w:after="20" w:line="276" w:lineRule="auto"/>
            </w:pPr>
            <w:r>
              <w:rPr>
                <w:rFonts w:ascii="Times New Roman" w:hAnsi="Times New Roman" w:eastAsia="宋体"/>
                <w:sz w:val="20"/>
              </w:rPr>
              <w:t>depreciation expense, accumulated depreciation, change in accounting estimate, write-down, capital expenditures, capex, construction in progress, data center, cloud infrastructure, rapidly evolving, impairment charge</w:t>
            </w:r>
          </w:p>
        </w:tc>
      </w:tr>
      <w:tr w14:paraId="4836D79D">
        <w:tblPrEx>
          <w:tblCellMar>
            <w:top w:w="0" w:type="dxa"/>
            <w:left w:w="108" w:type="dxa"/>
            <w:bottom w:w="0" w:type="dxa"/>
            <w:right w:w="108" w:type="dxa"/>
          </w:tblCellMar>
        </w:tblPrEx>
        <w:tc>
          <w:tcPr>
            <w:tcW w:w="2500" w:type="pct"/>
          </w:tcPr>
          <w:p w14:paraId="5338EF0B">
            <w:pPr>
              <w:pStyle w:val="26"/>
              <w:spacing w:before="20" w:after="20" w:line="276" w:lineRule="auto"/>
            </w:pPr>
            <w:r>
              <w:rPr>
                <w:rFonts w:ascii="Times New Roman" w:hAnsi="Times New Roman" w:eastAsia="宋体"/>
                <w:sz w:val="20"/>
              </w:rPr>
              <w:t>中</w:t>
            </w:r>
          </w:p>
        </w:tc>
        <w:tc>
          <w:tcPr>
            <w:tcW w:w="2500" w:type="pct"/>
          </w:tcPr>
          <w:p w14:paraId="05BB0F9D">
            <w:pPr>
              <w:pStyle w:val="26"/>
              <w:spacing w:before="20" w:after="20" w:line="276" w:lineRule="auto"/>
            </w:pPr>
            <w:r>
              <w:rPr>
                <w:rFonts w:ascii="Times New Roman" w:hAnsi="Times New Roman" w:eastAsia="宋体"/>
                <w:sz w:val="20"/>
              </w:rPr>
              <w:t>technology cycle, product life cycle, competition, market conditions, supply chain, inventory provision, excess inventory, goodwill impairment</w:t>
            </w:r>
          </w:p>
        </w:tc>
      </w:tr>
    </w:tbl>
    <w:p w14:paraId="31E73572">
      <w:pPr>
        <w:pStyle w:val="3"/>
        <w:spacing w:before="40" w:after="40" w:line="360" w:lineRule="auto"/>
        <w:ind w:firstLine="480"/>
      </w:pPr>
      <w:r>
        <w:rPr>
          <w:rFonts w:hint="eastAsia" w:ascii="Times New Roman" w:hAnsi="Times New Roman" w:eastAsia="宋体"/>
          <w:sz w:val="24"/>
        </w:rPr>
        <w:t>扩展层覆盖核心六词矩阵之外的高价值语义场：① 年限具体数字表述（如“7 years for production equipment”）；② 财务数据触发词（capital expenditures、depreciation expense）；③ 基础设施词（data center、cloud infrastructure）；④ 竞争与过时信号（rapidly evolving、excess inventory）。扩展层命中需人工复核，以控制机器扩展词的语义漂移。</w:t>
      </w:r>
    </w:p>
    <w:p w14:paraId="7BB79661">
      <w:pPr>
        <w:pStyle w:val="6"/>
        <w:spacing w:before="240" w:after="120" w:line="360" w:lineRule="auto"/>
        <w:rPr>
          <w:b w:val="0"/>
          <w:bCs/>
          <w:i w:val="0"/>
          <w:iCs w:val="0"/>
        </w:rPr>
      </w:pPr>
      <w:r>
        <w:rPr>
          <w:rFonts w:ascii="Times New Roman" w:hAnsi="Times New Roman" w:eastAsia="黑体"/>
          <w:b w:val="0"/>
          <w:bCs/>
          <w:i w:val="0"/>
          <w:iCs w:val="0"/>
          <w:color w:val="003366"/>
          <w:sz w:val="24"/>
        </w:rPr>
        <w:t>（三）正则层 = 模式捕获（需人工复核）</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52E85C4A">
        <w:tblPrEx>
          <w:tblCellMar>
            <w:top w:w="0" w:type="dxa"/>
            <w:left w:w="108" w:type="dxa"/>
            <w:bottom w:w="0" w:type="dxa"/>
            <w:right w:w="108" w:type="dxa"/>
          </w:tblCellMar>
        </w:tblPrEx>
        <w:tc>
          <w:tcPr>
            <w:tcW w:w="1666" w:type="pct"/>
          </w:tcPr>
          <w:p w14:paraId="3D3031A0">
            <w:pPr>
              <w:pStyle w:val="26"/>
              <w:spacing w:before="20" w:after="20" w:line="276" w:lineRule="auto"/>
            </w:pPr>
            <w:r>
              <w:rPr>
                <w:rFonts w:hint="eastAsia" w:ascii="Times New Roman" w:hAnsi="Times New Roman" w:eastAsia="宋体"/>
                <w:b/>
                <w:bCs/>
                <w:sz w:val="20"/>
              </w:rPr>
              <w:t>信号强度</w:t>
            </w:r>
          </w:p>
        </w:tc>
        <w:tc>
          <w:tcPr>
            <w:tcW w:w="1666" w:type="pct"/>
          </w:tcPr>
          <w:p w14:paraId="04DE1AAD">
            <w:pPr>
              <w:pStyle w:val="26"/>
              <w:spacing w:before="20" w:after="20" w:line="276" w:lineRule="auto"/>
            </w:pPr>
            <w:r>
              <w:rPr>
                <w:rFonts w:hint="eastAsia" w:ascii="Times New Roman" w:hAnsi="Times New Roman" w:eastAsia="宋体"/>
                <w:b/>
                <w:bCs/>
                <w:sz w:val="20"/>
              </w:rPr>
              <w:t>匹配模式（示例表述）</w:t>
            </w:r>
          </w:p>
        </w:tc>
        <w:tc>
          <w:tcPr>
            <w:tcW w:w="1666" w:type="pct"/>
          </w:tcPr>
          <w:p w14:paraId="3F65E153">
            <w:pPr>
              <w:pStyle w:val="26"/>
              <w:spacing w:before="20" w:after="20" w:line="276" w:lineRule="auto"/>
            </w:pPr>
            <w:r>
              <w:rPr>
                <w:rFonts w:hint="eastAsia" w:ascii="Times New Roman" w:hAnsi="Times New Roman" w:eastAsia="宋体"/>
                <w:b/>
                <w:bCs/>
                <w:sz w:val="20"/>
              </w:rPr>
              <w:t>捕获目标</w:t>
            </w:r>
          </w:p>
        </w:tc>
      </w:tr>
      <w:tr w14:paraId="043340D3">
        <w:tblPrEx>
          <w:tblCellMar>
            <w:top w:w="0" w:type="dxa"/>
            <w:left w:w="108" w:type="dxa"/>
            <w:bottom w:w="0" w:type="dxa"/>
            <w:right w:w="108" w:type="dxa"/>
          </w:tblCellMar>
        </w:tblPrEx>
        <w:tc>
          <w:tcPr>
            <w:tcW w:w="1666" w:type="pct"/>
          </w:tcPr>
          <w:p w14:paraId="3C08E845">
            <w:pPr>
              <w:pStyle w:val="26"/>
              <w:spacing w:before="20" w:after="20" w:line="276" w:lineRule="auto"/>
            </w:pPr>
            <w:r>
              <w:rPr>
                <w:rFonts w:ascii="Times New Roman" w:hAnsi="Times New Roman" w:eastAsia="宋体"/>
                <w:sz w:val="20"/>
              </w:rPr>
              <w:t>最强</w:t>
            </w:r>
          </w:p>
        </w:tc>
        <w:tc>
          <w:tcPr>
            <w:tcW w:w="1666" w:type="pct"/>
          </w:tcPr>
          <w:p w14:paraId="27DE0484">
            <w:pPr>
              <w:pStyle w:val="26"/>
              <w:spacing w:before="20" w:after="20" w:line="276" w:lineRule="auto"/>
            </w:pPr>
            <w:r>
              <w:rPr>
                <w:rFonts w:ascii="Times New Roman" w:hAnsi="Times New Roman" w:eastAsia="宋体"/>
                <w:sz w:val="20"/>
              </w:rPr>
              <w:t>“X years to Y years”（如“5 to 6 years”）</w:t>
            </w:r>
          </w:p>
        </w:tc>
        <w:tc>
          <w:tcPr>
            <w:tcW w:w="1666" w:type="pct"/>
          </w:tcPr>
          <w:p w14:paraId="026D16AD">
            <w:pPr>
              <w:pStyle w:val="26"/>
              <w:spacing w:before="20" w:after="20" w:line="276" w:lineRule="auto"/>
            </w:pPr>
            <w:r>
              <w:rPr>
                <w:rFonts w:ascii="Times New Roman" w:hAnsi="Times New Roman" w:eastAsia="宋体"/>
                <w:sz w:val="20"/>
              </w:rPr>
              <w:t>年限变更模式</w:t>
            </w:r>
          </w:p>
        </w:tc>
      </w:tr>
      <w:tr w14:paraId="0846AAE3">
        <w:tblPrEx>
          <w:tblCellMar>
            <w:top w:w="0" w:type="dxa"/>
            <w:left w:w="108" w:type="dxa"/>
            <w:bottom w:w="0" w:type="dxa"/>
            <w:right w:w="108" w:type="dxa"/>
          </w:tblCellMar>
        </w:tblPrEx>
        <w:tc>
          <w:tcPr>
            <w:tcW w:w="1666" w:type="pct"/>
          </w:tcPr>
          <w:p w14:paraId="4DF45EB8">
            <w:pPr>
              <w:pStyle w:val="26"/>
              <w:spacing w:before="20" w:after="20" w:line="276" w:lineRule="auto"/>
            </w:pPr>
            <w:r>
              <w:rPr>
                <w:rFonts w:ascii="Times New Roman" w:hAnsi="Times New Roman" w:eastAsia="宋体"/>
                <w:sz w:val="20"/>
              </w:rPr>
              <w:t>最强</w:t>
            </w:r>
          </w:p>
        </w:tc>
        <w:tc>
          <w:tcPr>
            <w:tcW w:w="1666" w:type="pct"/>
          </w:tcPr>
          <w:p w14:paraId="53378E63">
            <w:pPr>
              <w:pStyle w:val="26"/>
              <w:spacing w:before="20" w:after="20" w:line="276" w:lineRule="auto"/>
            </w:pPr>
            <w:r>
              <w:rPr>
                <w:rFonts w:ascii="Times New Roman" w:hAnsi="Times New Roman" w:eastAsia="宋体"/>
                <w:sz w:val="20"/>
              </w:rPr>
              <w:t>“increased / extended from X to Y years”</w:t>
            </w:r>
          </w:p>
        </w:tc>
        <w:tc>
          <w:tcPr>
            <w:tcW w:w="1666" w:type="pct"/>
          </w:tcPr>
          <w:p w14:paraId="4380B4DA">
            <w:pPr>
              <w:pStyle w:val="26"/>
              <w:spacing w:before="20" w:after="20" w:line="276" w:lineRule="auto"/>
            </w:pPr>
            <w:r>
              <w:rPr>
                <w:rFonts w:ascii="Times New Roman" w:hAnsi="Times New Roman" w:eastAsia="宋体"/>
                <w:sz w:val="20"/>
              </w:rPr>
              <w:t>年限延长模式</w:t>
            </w:r>
          </w:p>
        </w:tc>
      </w:tr>
      <w:tr w14:paraId="78BC5AB2">
        <w:tblPrEx>
          <w:tblCellMar>
            <w:top w:w="0" w:type="dxa"/>
            <w:left w:w="108" w:type="dxa"/>
            <w:bottom w:w="0" w:type="dxa"/>
            <w:right w:w="108" w:type="dxa"/>
          </w:tblCellMar>
        </w:tblPrEx>
        <w:tc>
          <w:tcPr>
            <w:tcW w:w="1666" w:type="pct"/>
          </w:tcPr>
          <w:p w14:paraId="170563C4">
            <w:pPr>
              <w:pStyle w:val="26"/>
              <w:spacing w:before="20" w:after="20" w:line="276" w:lineRule="auto"/>
            </w:pPr>
            <w:r>
              <w:rPr>
                <w:rFonts w:ascii="Times New Roman" w:hAnsi="Times New Roman" w:eastAsia="宋体"/>
                <w:sz w:val="20"/>
              </w:rPr>
              <w:t>强</w:t>
            </w:r>
          </w:p>
        </w:tc>
        <w:tc>
          <w:tcPr>
            <w:tcW w:w="1666" w:type="pct"/>
          </w:tcPr>
          <w:p w14:paraId="3542AB30">
            <w:pPr>
              <w:pStyle w:val="26"/>
              <w:spacing w:before="20" w:after="20" w:line="276" w:lineRule="auto"/>
            </w:pPr>
            <w:r>
              <w:rPr>
                <w:rFonts w:ascii="Times New Roman" w:hAnsi="Times New Roman" w:eastAsia="宋体"/>
                <w:sz w:val="20"/>
              </w:rPr>
              <w:t>“applied / accounted for prospectively”</w:t>
            </w:r>
          </w:p>
        </w:tc>
        <w:tc>
          <w:tcPr>
            <w:tcW w:w="1666" w:type="pct"/>
          </w:tcPr>
          <w:p w14:paraId="5D1447FC">
            <w:pPr>
              <w:pStyle w:val="26"/>
              <w:spacing w:before="20" w:after="20" w:line="276" w:lineRule="auto"/>
            </w:pPr>
            <w:r>
              <w:rPr>
                <w:rFonts w:ascii="Times New Roman" w:hAnsi="Times New Roman" w:eastAsia="宋体"/>
                <w:sz w:val="20"/>
              </w:rPr>
              <w:t>未来适用模式</w:t>
            </w:r>
          </w:p>
        </w:tc>
      </w:tr>
      <w:tr w14:paraId="3651738F">
        <w:tblPrEx>
          <w:tblCellMar>
            <w:top w:w="0" w:type="dxa"/>
            <w:left w:w="108" w:type="dxa"/>
            <w:bottom w:w="0" w:type="dxa"/>
            <w:right w:w="108" w:type="dxa"/>
          </w:tblCellMar>
        </w:tblPrEx>
        <w:tc>
          <w:tcPr>
            <w:tcW w:w="1666" w:type="pct"/>
          </w:tcPr>
          <w:p w14:paraId="67605D69">
            <w:pPr>
              <w:pStyle w:val="26"/>
              <w:spacing w:before="20" w:after="20" w:line="276" w:lineRule="auto"/>
            </w:pPr>
            <w:r>
              <w:rPr>
                <w:rFonts w:ascii="Times New Roman" w:hAnsi="Times New Roman" w:eastAsia="宋体"/>
                <w:sz w:val="20"/>
              </w:rPr>
              <w:t>强</w:t>
            </w:r>
          </w:p>
        </w:tc>
        <w:tc>
          <w:tcPr>
            <w:tcW w:w="1666" w:type="pct"/>
          </w:tcPr>
          <w:p w14:paraId="076F7AEF">
            <w:pPr>
              <w:pStyle w:val="26"/>
              <w:spacing w:before="20" w:after="20" w:line="276" w:lineRule="auto"/>
            </w:pPr>
            <w:r>
              <w:rPr>
                <w:rFonts w:ascii="Times New Roman" w:hAnsi="Times New Roman" w:eastAsia="宋体"/>
                <w:sz w:val="20"/>
              </w:rPr>
              <w:t>“recorded / recognized impairment charge / loss”</w:t>
            </w:r>
          </w:p>
        </w:tc>
        <w:tc>
          <w:tcPr>
            <w:tcW w:w="1666" w:type="pct"/>
          </w:tcPr>
          <w:p w14:paraId="519E0FC8">
            <w:pPr>
              <w:pStyle w:val="26"/>
              <w:spacing w:before="20" w:after="20" w:line="276" w:lineRule="auto"/>
            </w:pPr>
            <w:r>
              <w:rPr>
                <w:rFonts w:ascii="Times New Roman" w:hAnsi="Times New Roman" w:eastAsia="宋体"/>
                <w:sz w:val="20"/>
              </w:rPr>
              <w:t>减值确认模式</w:t>
            </w:r>
          </w:p>
        </w:tc>
      </w:tr>
      <w:tr w14:paraId="57A4B6DD">
        <w:tblPrEx>
          <w:tblCellMar>
            <w:top w:w="0" w:type="dxa"/>
            <w:left w:w="108" w:type="dxa"/>
            <w:bottom w:w="0" w:type="dxa"/>
            <w:right w:w="108" w:type="dxa"/>
          </w:tblCellMar>
        </w:tblPrEx>
        <w:tc>
          <w:tcPr>
            <w:tcW w:w="1666" w:type="pct"/>
          </w:tcPr>
          <w:p w14:paraId="4BE4B936">
            <w:pPr>
              <w:pStyle w:val="26"/>
              <w:spacing w:before="20" w:after="20" w:line="276" w:lineRule="auto"/>
            </w:pPr>
            <w:r>
              <w:rPr>
                <w:rFonts w:ascii="Times New Roman" w:hAnsi="Times New Roman" w:eastAsia="宋体"/>
                <w:sz w:val="20"/>
              </w:rPr>
              <w:t>强</w:t>
            </w:r>
          </w:p>
        </w:tc>
        <w:tc>
          <w:tcPr>
            <w:tcW w:w="1666" w:type="pct"/>
          </w:tcPr>
          <w:p w14:paraId="1CC8E078">
            <w:pPr>
              <w:pStyle w:val="26"/>
              <w:spacing w:before="20" w:after="20" w:line="276" w:lineRule="auto"/>
            </w:pPr>
            <w:r>
              <w:rPr>
                <w:rFonts w:ascii="Times New Roman" w:hAnsi="Times New Roman" w:eastAsia="宋体"/>
                <w:sz w:val="20"/>
              </w:rPr>
              <w:t>“depreciation expense was $X billion / million”</w:t>
            </w:r>
          </w:p>
        </w:tc>
        <w:tc>
          <w:tcPr>
            <w:tcW w:w="1666" w:type="pct"/>
          </w:tcPr>
          <w:p w14:paraId="57EAB39D">
            <w:pPr>
              <w:pStyle w:val="26"/>
              <w:spacing w:before="20" w:after="20" w:line="276" w:lineRule="auto"/>
            </w:pPr>
            <w:r>
              <w:rPr>
                <w:rFonts w:ascii="Times New Roman" w:hAnsi="Times New Roman" w:eastAsia="宋体"/>
                <w:sz w:val="20"/>
              </w:rPr>
              <w:t>折旧费用金额</w:t>
            </w:r>
          </w:p>
        </w:tc>
      </w:tr>
      <w:tr w14:paraId="7721F1EF">
        <w:tblPrEx>
          <w:tblCellMar>
            <w:top w:w="0" w:type="dxa"/>
            <w:left w:w="108" w:type="dxa"/>
            <w:bottom w:w="0" w:type="dxa"/>
            <w:right w:w="108" w:type="dxa"/>
          </w:tblCellMar>
        </w:tblPrEx>
        <w:tc>
          <w:tcPr>
            <w:tcW w:w="1666" w:type="pct"/>
          </w:tcPr>
          <w:p w14:paraId="7A217E5D">
            <w:pPr>
              <w:pStyle w:val="26"/>
              <w:spacing w:before="20" w:after="20" w:line="276" w:lineRule="auto"/>
            </w:pPr>
            <w:r>
              <w:rPr>
                <w:rFonts w:ascii="Times New Roman" w:hAnsi="Times New Roman" w:eastAsia="宋体"/>
                <w:sz w:val="20"/>
              </w:rPr>
              <w:t>强</w:t>
            </w:r>
          </w:p>
        </w:tc>
        <w:tc>
          <w:tcPr>
            <w:tcW w:w="1666" w:type="pct"/>
          </w:tcPr>
          <w:p w14:paraId="1FDA2390">
            <w:pPr>
              <w:pStyle w:val="26"/>
              <w:spacing w:before="20" w:after="20" w:line="276" w:lineRule="auto"/>
            </w:pPr>
            <w:r>
              <w:rPr>
                <w:rFonts w:ascii="Times New Roman" w:hAnsi="Times New Roman" w:eastAsia="宋体"/>
                <w:sz w:val="20"/>
              </w:rPr>
              <w:t>“capital expenditures $X billion / million”</w:t>
            </w:r>
          </w:p>
        </w:tc>
        <w:tc>
          <w:tcPr>
            <w:tcW w:w="1666" w:type="pct"/>
          </w:tcPr>
          <w:p w14:paraId="0878D722">
            <w:pPr>
              <w:pStyle w:val="26"/>
              <w:spacing w:before="20" w:after="20" w:line="276" w:lineRule="auto"/>
            </w:pPr>
            <w:r>
              <w:rPr>
                <w:rFonts w:ascii="Times New Roman" w:hAnsi="Times New Roman" w:eastAsia="宋体"/>
                <w:sz w:val="20"/>
              </w:rPr>
              <w:t>CAPEX金额</w:t>
            </w:r>
          </w:p>
        </w:tc>
      </w:tr>
      <w:tr w14:paraId="4AB549E8">
        <w:tblPrEx>
          <w:tblCellMar>
            <w:top w:w="0" w:type="dxa"/>
            <w:left w:w="108" w:type="dxa"/>
            <w:bottom w:w="0" w:type="dxa"/>
            <w:right w:w="108" w:type="dxa"/>
          </w:tblCellMar>
        </w:tblPrEx>
        <w:tc>
          <w:tcPr>
            <w:tcW w:w="1666" w:type="pct"/>
          </w:tcPr>
          <w:p w14:paraId="0627E7C2">
            <w:pPr>
              <w:pStyle w:val="26"/>
              <w:spacing w:before="20" w:after="20" w:line="276" w:lineRule="auto"/>
            </w:pPr>
            <w:r>
              <w:rPr>
                <w:rFonts w:ascii="Times New Roman" w:hAnsi="Times New Roman" w:eastAsia="宋体"/>
                <w:sz w:val="20"/>
              </w:rPr>
              <w:t>强</w:t>
            </w:r>
          </w:p>
        </w:tc>
        <w:tc>
          <w:tcPr>
            <w:tcW w:w="1666" w:type="pct"/>
          </w:tcPr>
          <w:p w14:paraId="038DA408">
            <w:pPr>
              <w:pStyle w:val="26"/>
              <w:spacing w:before="20" w:after="20" w:line="276" w:lineRule="auto"/>
            </w:pPr>
            <w:r>
              <w:rPr>
                <w:rFonts w:ascii="Times New Roman" w:hAnsi="Times New Roman" w:eastAsia="宋体"/>
                <w:sz w:val="20"/>
              </w:rPr>
              <w:t>“property and equipment … $X billion / million”</w:t>
            </w:r>
          </w:p>
        </w:tc>
        <w:tc>
          <w:tcPr>
            <w:tcW w:w="1666" w:type="pct"/>
          </w:tcPr>
          <w:p w14:paraId="25D7A979">
            <w:pPr>
              <w:pStyle w:val="26"/>
              <w:spacing w:before="20" w:after="20" w:line="276" w:lineRule="auto"/>
            </w:pPr>
            <w:r>
              <w:rPr>
                <w:rFonts w:ascii="Times New Roman" w:hAnsi="Times New Roman" w:eastAsia="宋体"/>
                <w:sz w:val="20"/>
              </w:rPr>
              <w:t>PPE金额</w:t>
            </w:r>
          </w:p>
        </w:tc>
      </w:tr>
    </w:tbl>
    <w:p w14:paraId="56A2A4F1">
      <w:pPr>
        <w:pStyle w:val="3"/>
        <w:spacing w:before="40" w:after="40" w:line="360" w:lineRule="auto"/>
        <w:ind w:firstLine="480"/>
      </w:pPr>
      <w:r>
        <w:rPr>
          <w:rFonts w:hint="eastAsia" w:ascii="Times New Roman" w:hAnsi="Times New Roman" w:eastAsia="宋体"/>
          <w:sz w:val="24"/>
        </w:rPr>
        <w:t>正则层捕获关键词无法覆盖的“数字+单位”组合。例如“depreciation expense was $22.0 billion”中，“depreciation”可由核心层命中，但“$22.0 billion”这一量化信息必须依赖正则模式捕获。该层使系统能够提取具体金额，用于 D4 CAPEX 强度计算与跨年趋势分析。</w:t>
      </w:r>
    </w:p>
    <w:p w14:paraId="3B1098F3">
      <w:pPr>
        <w:pStyle w:val="6"/>
        <w:spacing w:before="240" w:after="120" w:line="360" w:lineRule="auto"/>
        <w:rPr>
          <w:b w:val="0"/>
          <w:bCs/>
          <w:i w:val="0"/>
          <w:iCs w:val="0"/>
        </w:rPr>
      </w:pPr>
      <w:r>
        <w:rPr>
          <w:rFonts w:ascii="Times New Roman" w:hAnsi="Times New Roman" w:eastAsia="黑体"/>
          <w:b w:val="0"/>
          <w:bCs/>
          <w:i w:val="0"/>
          <w:iCs w:val="0"/>
          <w:color w:val="003366"/>
          <w:sz w:val="24"/>
        </w:rPr>
        <w:t>（四）MUST_INCLUDE 强制注入层（机制详见 3.3.7）</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F0A0DCC">
        <w:tblPrEx>
          <w:tblCellMar>
            <w:top w:w="0" w:type="dxa"/>
            <w:left w:w="108" w:type="dxa"/>
            <w:bottom w:w="0" w:type="dxa"/>
            <w:right w:w="108" w:type="dxa"/>
          </w:tblCellMar>
        </w:tblPrEx>
        <w:tc>
          <w:tcPr>
            <w:tcW w:w="1666" w:type="pct"/>
          </w:tcPr>
          <w:p w14:paraId="1CFEF68F">
            <w:pPr>
              <w:pStyle w:val="26"/>
              <w:spacing w:before="20" w:after="20" w:line="276" w:lineRule="auto"/>
            </w:pPr>
            <w:r>
              <w:rPr>
                <w:rFonts w:hint="eastAsia" w:ascii="Times New Roman" w:hAnsi="Times New Roman" w:eastAsia="宋体"/>
                <w:b/>
                <w:bCs/>
                <w:sz w:val="20"/>
              </w:rPr>
              <w:t>信号强度</w:t>
            </w:r>
          </w:p>
        </w:tc>
        <w:tc>
          <w:tcPr>
            <w:tcW w:w="1666" w:type="pct"/>
          </w:tcPr>
          <w:p w14:paraId="6B0E58DD">
            <w:pPr>
              <w:pStyle w:val="26"/>
              <w:spacing w:before="20" w:after="20" w:line="276" w:lineRule="auto"/>
            </w:pPr>
            <w:r>
              <w:rPr>
                <w:rFonts w:hint="eastAsia" w:ascii="Times New Roman" w:hAnsi="Times New Roman" w:eastAsia="宋体"/>
                <w:b/>
                <w:bCs/>
                <w:sz w:val="20"/>
              </w:rPr>
              <w:t>指纹模式（示例表述）</w:t>
            </w:r>
          </w:p>
        </w:tc>
        <w:tc>
          <w:tcPr>
            <w:tcW w:w="1666" w:type="pct"/>
          </w:tcPr>
          <w:p w14:paraId="5B8A210E">
            <w:pPr>
              <w:pStyle w:val="26"/>
              <w:spacing w:before="20" w:after="20" w:line="276" w:lineRule="auto"/>
            </w:pPr>
            <w:r>
              <w:rPr>
                <w:rFonts w:hint="eastAsia" w:ascii="Times New Roman" w:hAnsi="Times New Roman" w:eastAsia="宋体"/>
                <w:b/>
                <w:bCs/>
                <w:sz w:val="20"/>
              </w:rPr>
              <w:t>捕获目标</w:t>
            </w:r>
          </w:p>
        </w:tc>
      </w:tr>
      <w:tr w14:paraId="20C230E6">
        <w:tblPrEx>
          <w:tblCellMar>
            <w:top w:w="0" w:type="dxa"/>
            <w:left w:w="108" w:type="dxa"/>
            <w:bottom w:w="0" w:type="dxa"/>
            <w:right w:w="108" w:type="dxa"/>
          </w:tblCellMar>
        </w:tblPrEx>
        <w:tc>
          <w:tcPr>
            <w:tcW w:w="1666" w:type="pct"/>
          </w:tcPr>
          <w:p w14:paraId="1A2867C3">
            <w:pPr>
              <w:pStyle w:val="26"/>
              <w:spacing w:before="20" w:after="20" w:line="276" w:lineRule="auto"/>
            </w:pPr>
            <w:r>
              <w:rPr>
                <w:rFonts w:ascii="Times New Roman" w:hAnsi="Times New Roman" w:eastAsia="宋体"/>
                <w:sz w:val="20"/>
              </w:rPr>
              <w:t>最强</w:t>
            </w:r>
          </w:p>
        </w:tc>
        <w:tc>
          <w:tcPr>
            <w:tcW w:w="1666" w:type="pct"/>
          </w:tcPr>
          <w:p w14:paraId="13361416">
            <w:pPr>
              <w:pStyle w:val="26"/>
              <w:spacing w:before="20" w:after="20" w:line="276" w:lineRule="auto"/>
            </w:pPr>
            <w:r>
              <w:rPr>
                <w:rFonts w:ascii="Times New Roman" w:hAnsi="Times New Roman" w:eastAsia="宋体"/>
                <w:sz w:val="20"/>
              </w:rPr>
              <w:t>“servers / network equipment … X to Y years”</w:t>
            </w:r>
          </w:p>
        </w:tc>
        <w:tc>
          <w:tcPr>
            <w:tcW w:w="1666" w:type="pct"/>
          </w:tcPr>
          <w:p w14:paraId="05B63B02">
            <w:pPr>
              <w:pStyle w:val="26"/>
              <w:spacing w:before="20" w:after="20" w:line="276" w:lineRule="auto"/>
            </w:pPr>
            <w:r>
              <w:rPr>
                <w:rFonts w:ascii="Times New Roman" w:hAnsi="Times New Roman" w:eastAsia="宋体"/>
                <w:sz w:val="20"/>
              </w:rPr>
              <w:t>折旧年限指纹</w:t>
            </w:r>
          </w:p>
        </w:tc>
      </w:tr>
      <w:tr w14:paraId="63803D26">
        <w:tblPrEx>
          <w:tblCellMar>
            <w:top w:w="0" w:type="dxa"/>
            <w:left w:w="108" w:type="dxa"/>
            <w:bottom w:w="0" w:type="dxa"/>
            <w:right w:w="108" w:type="dxa"/>
          </w:tblCellMar>
        </w:tblPrEx>
        <w:tc>
          <w:tcPr>
            <w:tcW w:w="1666" w:type="pct"/>
          </w:tcPr>
          <w:p w14:paraId="5E13444B">
            <w:pPr>
              <w:pStyle w:val="26"/>
              <w:spacing w:before="20" w:after="20" w:line="276" w:lineRule="auto"/>
            </w:pPr>
            <w:r>
              <w:rPr>
                <w:rFonts w:ascii="Times New Roman" w:hAnsi="Times New Roman" w:eastAsia="宋体"/>
                <w:sz w:val="20"/>
              </w:rPr>
              <w:t>强</w:t>
            </w:r>
          </w:p>
        </w:tc>
        <w:tc>
          <w:tcPr>
            <w:tcW w:w="1666" w:type="pct"/>
          </w:tcPr>
          <w:p w14:paraId="014C6D80">
            <w:pPr>
              <w:pStyle w:val="26"/>
              <w:spacing w:before="20" w:after="20" w:line="276" w:lineRule="auto"/>
            </w:pPr>
            <w:r>
              <w:rPr>
                <w:rFonts w:ascii="Times New Roman" w:hAnsi="Times New Roman" w:eastAsia="宋体"/>
                <w:sz w:val="20"/>
              </w:rPr>
              <w:t>“new product / architecture / generation … each year”</w:t>
            </w:r>
          </w:p>
        </w:tc>
        <w:tc>
          <w:tcPr>
            <w:tcW w:w="1666" w:type="pct"/>
          </w:tcPr>
          <w:p w14:paraId="2ABF8763">
            <w:pPr>
              <w:pStyle w:val="26"/>
              <w:spacing w:before="20" w:after="20" w:line="276" w:lineRule="auto"/>
            </w:pPr>
            <w:r>
              <w:rPr>
                <w:rFonts w:ascii="Times New Roman" w:hAnsi="Times New Roman" w:eastAsia="宋体"/>
                <w:sz w:val="20"/>
              </w:rPr>
              <w:t>年度技术迭代</w:t>
            </w:r>
          </w:p>
        </w:tc>
      </w:tr>
      <w:tr w14:paraId="2D10E7AA">
        <w:tblPrEx>
          <w:tblCellMar>
            <w:top w:w="0" w:type="dxa"/>
            <w:left w:w="108" w:type="dxa"/>
            <w:bottom w:w="0" w:type="dxa"/>
            <w:right w:w="108" w:type="dxa"/>
          </w:tblCellMar>
        </w:tblPrEx>
        <w:tc>
          <w:tcPr>
            <w:tcW w:w="1666" w:type="pct"/>
          </w:tcPr>
          <w:p w14:paraId="3E516401">
            <w:pPr>
              <w:pStyle w:val="26"/>
              <w:spacing w:before="20" w:after="20" w:line="276" w:lineRule="auto"/>
            </w:pPr>
            <w:r>
              <w:rPr>
                <w:rFonts w:ascii="Times New Roman" w:hAnsi="Times New Roman" w:eastAsia="宋体"/>
                <w:sz w:val="20"/>
              </w:rPr>
              <w:t>强</w:t>
            </w:r>
          </w:p>
        </w:tc>
        <w:tc>
          <w:tcPr>
            <w:tcW w:w="1666" w:type="pct"/>
          </w:tcPr>
          <w:p w14:paraId="2FB749DA">
            <w:pPr>
              <w:pStyle w:val="26"/>
              <w:spacing w:before="20" w:after="20" w:line="276" w:lineRule="auto"/>
            </w:pPr>
            <w:r>
              <w:rPr>
                <w:rFonts w:ascii="Times New Roman" w:hAnsi="Times New Roman" w:eastAsia="宋体"/>
                <w:sz w:val="20"/>
              </w:rPr>
              <w:t>“complete / introduce / launch new … every year”</w:t>
            </w:r>
          </w:p>
        </w:tc>
        <w:tc>
          <w:tcPr>
            <w:tcW w:w="1666" w:type="pct"/>
          </w:tcPr>
          <w:p w14:paraId="592CD655">
            <w:pPr>
              <w:pStyle w:val="26"/>
              <w:spacing w:before="20" w:after="20" w:line="276" w:lineRule="auto"/>
            </w:pPr>
            <w:r>
              <w:rPr>
                <w:rFonts w:ascii="Times New Roman" w:hAnsi="Times New Roman" w:eastAsia="宋体"/>
                <w:sz w:val="20"/>
              </w:rPr>
              <w:t>年度发布节奏</w:t>
            </w:r>
          </w:p>
        </w:tc>
      </w:tr>
      <w:tr w14:paraId="21753ABF">
        <w:tblPrEx>
          <w:tblCellMar>
            <w:top w:w="0" w:type="dxa"/>
            <w:left w:w="108" w:type="dxa"/>
            <w:bottom w:w="0" w:type="dxa"/>
            <w:right w:w="108" w:type="dxa"/>
          </w:tblCellMar>
        </w:tblPrEx>
        <w:tc>
          <w:tcPr>
            <w:tcW w:w="1666" w:type="pct"/>
          </w:tcPr>
          <w:p w14:paraId="60A9450F">
            <w:pPr>
              <w:pStyle w:val="26"/>
              <w:spacing w:before="20" w:after="20" w:line="276" w:lineRule="auto"/>
            </w:pPr>
            <w:r>
              <w:rPr>
                <w:rFonts w:ascii="Times New Roman" w:hAnsi="Times New Roman" w:eastAsia="宋体"/>
                <w:sz w:val="20"/>
              </w:rPr>
              <w:t>强</w:t>
            </w:r>
          </w:p>
        </w:tc>
        <w:tc>
          <w:tcPr>
            <w:tcW w:w="1666" w:type="pct"/>
          </w:tcPr>
          <w:p w14:paraId="6E33C33D">
            <w:pPr>
              <w:pStyle w:val="26"/>
              <w:spacing w:before="20" w:after="20" w:line="276" w:lineRule="auto"/>
            </w:pPr>
            <w:r>
              <w:rPr>
                <w:rFonts w:ascii="Times New Roman" w:hAnsi="Times New Roman" w:eastAsia="宋体"/>
                <w:sz w:val="20"/>
              </w:rPr>
              <w:t>“data center … lease commitments $X billion”</w:t>
            </w:r>
          </w:p>
        </w:tc>
        <w:tc>
          <w:tcPr>
            <w:tcW w:w="1666" w:type="pct"/>
          </w:tcPr>
          <w:p w14:paraId="65AB883D">
            <w:pPr>
              <w:pStyle w:val="26"/>
              <w:spacing w:before="20" w:after="20" w:line="276" w:lineRule="auto"/>
            </w:pPr>
            <w:r>
              <w:rPr>
                <w:rFonts w:ascii="Times New Roman" w:hAnsi="Times New Roman" w:eastAsia="宋体"/>
                <w:sz w:val="20"/>
              </w:rPr>
              <w:t>数据中心租赁承诺金额</w:t>
            </w:r>
          </w:p>
        </w:tc>
      </w:tr>
      <w:tr w14:paraId="2DA9ABDB">
        <w:tblPrEx>
          <w:tblCellMar>
            <w:top w:w="0" w:type="dxa"/>
            <w:left w:w="108" w:type="dxa"/>
            <w:bottom w:w="0" w:type="dxa"/>
            <w:right w:w="108" w:type="dxa"/>
          </w:tblCellMar>
        </w:tblPrEx>
        <w:tc>
          <w:tcPr>
            <w:tcW w:w="1666" w:type="pct"/>
          </w:tcPr>
          <w:p w14:paraId="5C452B14">
            <w:pPr>
              <w:pStyle w:val="26"/>
              <w:spacing w:before="20" w:after="20" w:line="276" w:lineRule="auto"/>
            </w:pPr>
            <w:r>
              <w:rPr>
                <w:rFonts w:ascii="Times New Roman" w:hAnsi="Times New Roman" w:eastAsia="宋体"/>
                <w:sz w:val="20"/>
              </w:rPr>
              <w:t>中</w:t>
            </w:r>
          </w:p>
        </w:tc>
        <w:tc>
          <w:tcPr>
            <w:tcW w:w="1666" w:type="pct"/>
          </w:tcPr>
          <w:p w14:paraId="21FBC8EF">
            <w:pPr>
              <w:pStyle w:val="26"/>
              <w:spacing w:before="20" w:after="20" w:line="276" w:lineRule="auto"/>
            </w:pPr>
            <w:r>
              <w:rPr>
                <w:rFonts w:ascii="Times New Roman" w:hAnsi="Times New Roman" w:eastAsia="宋体"/>
                <w:sz w:val="20"/>
              </w:rPr>
              <w:t>“gross margin decreased … AI infrastructure”</w:t>
            </w:r>
          </w:p>
        </w:tc>
        <w:tc>
          <w:tcPr>
            <w:tcW w:w="1666" w:type="pct"/>
          </w:tcPr>
          <w:p w14:paraId="1224F76D">
            <w:pPr>
              <w:pStyle w:val="26"/>
              <w:spacing w:before="20" w:after="20" w:line="276" w:lineRule="auto"/>
            </w:pPr>
            <w:r>
              <w:rPr>
                <w:rFonts w:ascii="Times New Roman" w:hAnsi="Times New Roman" w:eastAsia="宋体"/>
                <w:sz w:val="20"/>
              </w:rPr>
              <w:t>利润率折旧影响</w:t>
            </w:r>
          </w:p>
        </w:tc>
      </w:tr>
      <w:tr w14:paraId="11D2F30A">
        <w:tblPrEx>
          <w:tblCellMar>
            <w:top w:w="0" w:type="dxa"/>
            <w:left w:w="108" w:type="dxa"/>
            <w:bottom w:w="0" w:type="dxa"/>
            <w:right w:w="108" w:type="dxa"/>
          </w:tblCellMar>
        </w:tblPrEx>
        <w:tc>
          <w:tcPr>
            <w:tcW w:w="1666" w:type="pct"/>
          </w:tcPr>
          <w:p w14:paraId="732F87FD">
            <w:pPr>
              <w:pStyle w:val="26"/>
              <w:spacing w:before="20" w:after="20" w:line="276" w:lineRule="auto"/>
            </w:pPr>
            <w:r>
              <w:rPr>
                <w:rFonts w:ascii="Times New Roman" w:hAnsi="Times New Roman" w:eastAsia="宋体"/>
                <w:sz w:val="20"/>
              </w:rPr>
              <w:t>强</w:t>
            </w:r>
          </w:p>
        </w:tc>
        <w:tc>
          <w:tcPr>
            <w:tcW w:w="1666" w:type="pct"/>
          </w:tcPr>
          <w:p w14:paraId="0B933A40">
            <w:pPr>
              <w:pStyle w:val="26"/>
              <w:spacing w:before="20" w:after="20" w:line="276" w:lineRule="auto"/>
            </w:pPr>
            <w:r>
              <w:rPr>
                <w:rFonts w:ascii="Times New Roman" w:hAnsi="Times New Roman" w:eastAsia="宋体"/>
                <w:sz w:val="20"/>
              </w:rPr>
              <w:t>“depreciation expense increased / decreased $X …”</w:t>
            </w:r>
          </w:p>
        </w:tc>
        <w:tc>
          <w:tcPr>
            <w:tcW w:w="1666" w:type="pct"/>
          </w:tcPr>
          <w:p w14:paraId="65B58DAB">
            <w:pPr>
              <w:pStyle w:val="26"/>
              <w:spacing w:before="20" w:after="20" w:line="276" w:lineRule="auto"/>
            </w:pPr>
            <w:r>
              <w:rPr>
                <w:rFonts w:ascii="Times New Roman" w:hAnsi="Times New Roman" w:eastAsia="宋体"/>
                <w:sz w:val="20"/>
              </w:rPr>
              <w:t>折旧费用变更量化</w:t>
            </w:r>
          </w:p>
        </w:tc>
      </w:tr>
    </w:tbl>
    <w:p w14:paraId="15A1F73E">
      <w:pPr>
        <w:pStyle w:val="3"/>
        <w:spacing w:before="40" w:after="40" w:line="360" w:lineRule="auto"/>
        <w:ind w:firstLine="480"/>
      </w:pPr>
      <w:r>
        <w:rPr>
          <w:rFonts w:hint="eastAsia" w:ascii="Times New Roman" w:hAnsi="Times New Roman" w:eastAsia="宋体"/>
          <w:sz w:val="24"/>
        </w:rPr>
        <w:t>强制注入层解决关键词矩阵的“漏报”问题：即使段落未命中任何关键词，只要匹配高价值折旧指纹（如“服务器 7 年折旧”“每年完成新计算方案”“租赁承诺 $43.4B”），即强制送入大模型分析。</w:t>
      </w:r>
    </w:p>
    <w:p w14:paraId="10214C5C">
      <w:pPr>
        <w:pStyle w:val="6"/>
        <w:spacing w:before="240" w:after="120" w:line="360" w:lineRule="auto"/>
        <w:rPr>
          <w:b w:val="0"/>
          <w:bCs/>
          <w:i w:val="0"/>
          <w:iCs w:val="0"/>
        </w:rPr>
      </w:pPr>
      <w:r>
        <w:rPr>
          <w:rFonts w:ascii="Times New Roman" w:hAnsi="Times New Roman" w:eastAsia="黑体"/>
          <w:b w:val="0"/>
          <w:bCs/>
          <w:i w:val="0"/>
          <w:iCs w:val="0"/>
          <w:color w:val="003366"/>
          <w:sz w:val="24"/>
        </w:rPr>
        <w:t>（五）结构化章节提取层（机制详见 3.3.6）</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783032F7">
        <w:tc>
          <w:tcPr>
            <w:tcW w:w="1666" w:type="pct"/>
          </w:tcPr>
          <w:p w14:paraId="476A5492">
            <w:pPr>
              <w:pStyle w:val="26"/>
              <w:spacing w:before="20" w:after="20" w:line="276" w:lineRule="auto"/>
            </w:pPr>
            <w:r>
              <w:rPr>
                <w:rFonts w:hint="eastAsia" w:ascii="Times New Roman" w:hAnsi="Times New Roman" w:eastAsia="宋体"/>
                <w:b/>
                <w:bCs/>
                <w:sz w:val="20"/>
              </w:rPr>
              <w:t>章节标记</w:t>
            </w:r>
          </w:p>
        </w:tc>
        <w:tc>
          <w:tcPr>
            <w:tcW w:w="1666" w:type="pct"/>
          </w:tcPr>
          <w:p w14:paraId="7AE9F8DA">
            <w:pPr>
              <w:pStyle w:val="26"/>
              <w:spacing w:before="20" w:after="20" w:line="276" w:lineRule="auto"/>
            </w:pPr>
            <w:r>
              <w:rPr>
                <w:rFonts w:hint="eastAsia" w:ascii="Times New Roman" w:hAnsi="Times New Roman" w:eastAsia="宋体"/>
                <w:b/>
                <w:bCs/>
                <w:sz w:val="20"/>
              </w:rPr>
              <w:t>章节名称</w:t>
            </w:r>
          </w:p>
        </w:tc>
        <w:tc>
          <w:tcPr>
            <w:tcW w:w="1666" w:type="pct"/>
          </w:tcPr>
          <w:p w14:paraId="7DA26C96">
            <w:pPr>
              <w:pStyle w:val="26"/>
              <w:spacing w:before="20" w:after="20" w:line="276" w:lineRule="auto"/>
            </w:pPr>
            <w:r>
              <w:rPr>
                <w:rFonts w:hint="eastAsia" w:ascii="Times New Roman" w:hAnsi="Times New Roman" w:eastAsia="宋体"/>
                <w:b/>
                <w:bCs/>
                <w:sz w:val="20"/>
              </w:rPr>
              <w:t>提取上限（字符）</w:t>
            </w:r>
          </w:p>
        </w:tc>
      </w:tr>
      <w:tr w14:paraId="71F4DEB4">
        <w:tblPrEx>
          <w:tblCellMar>
            <w:top w:w="0" w:type="dxa"/>
            <w:left w:w="108" w:type="dxa"/>
            <w:bottom w:w="0" w:type="dxa"/>
            <w:right w:w="108" w:type="dxa"/>
          </w:tblCellMar>
        </w:tblPrEx>
        <w:tc>
          <w:tcPr>
            <w:tcW w:w="1666" w:type="pct"/>
          </w:tcPr>
          <w:p w14:paraId="11158703">
            <w:pPr>
              <w:pStyle w:val="26"/>
              <w:spacing w:before="20" w:after="20" w:line="276" w:lineRule="auto"/>
            </w:pPr>
            <w:r>
              <w:rPr>
                <w:rFonts w:ascii="Times New Roman" w:hAnsi="Times New Roman" w:eastAsia="宋体"/>
                <w:sz w:val="20"/>
              </w:rPr>
              <w:t>NOTE 1</w:t>
            </w:r>
          </w:p>
        </w:tc>
        <w:tc>
          <w:tcPr>
            <w:tcW w:w="1666" w:type="pct"/>
          </w:tcPr>
          <w:p w14:paraId="3AC9FE23">
            <w:pPr>
              <w:pStyle w:val="26"/>
              <w:spacing w:before="20" w:after="20" w:line="276" w:lineRule="auto"/>
            </w:pPr>
            <w:r>
              <w:rPr>
                <w:rFonts w:ascii="Times New Roman" w:hAnsi="Times New Roman" w:eastAsia="宋体"/>
                <w:sz w:val="20"/>
              </w:rPr>
              <w:t>Summary of Significant Accounting Policies</w:t>
            </w:r>
          </w:p>
        </w:tc>
        <w:tc>
          <w:tcPr>
            <w:tcW w:w="1666" w:type="pct"/>
          </w:tcPr>
          <w:p w14:paraId="29D338F9">
            <w:pPr>
              <w:pStyle w:val="26"/>
              <w:spacing w:before="20" w:after="20" w:line="276" w:lineRule="auto"/>
            </w:pPr>
            <w:r>
              <w:rPr>
                <w:rFonts w:ascii="Times New Roman" w:hAnsi="Times New Roman" w:eastAsia="宋体"/>
                <w:sz w:val="20"/>
              </w:rPr>
              <w:t>8,000</w:t>
            </w:r>
          </w:p>
        </w:tc>
      </w:tr>
      <w:tr w14:paraId="34628A64">
        <w:tblPrEx>
          <w:tblCellMar>
            <w:top w:w="0" w:type="dxa"/>
            <w:left w:w="108" w:type="dxa"/>
            <w:bottom w:w="0" w:type="dxa"/>
            <w:right w:w="108" w:type="dxa"/>
          </w:tblCellMar>
        </w:tblPrEx>
        <w:tc>
          <w:tcPr>
            <w:tcW w:w="1666" w:type="pct"/>
          </w:tcPr>
          <w:p w14:paraId="66BD1DC3">
            <w:pPr>
              <w:pStyle w:val="26"/>
              <w:spacing w:before="20" w:after="20" w:line="276" w:lineRule="auto"/>
            </w:pPr>
            <w:r>
              <w:rPr>
                <w:rFonts w:ascii="Times New Roman" w:hAnsi="Times New Roman" w:eastAsia="宋体"/>
                <w:sz w:val="20"/>
              </w:rPr>
              <w:t>NOTE 4/6/11</w:t>
            </w:r>
          </w:p>
        </w:tc>
        <w:tc>
          <w:tcPr>
            <w:tcW w:w="1666" w:type="pct"/>
          </w:tcPr>
          <w:p w14:paraId="32BC719C">
            <w:pPr>
              <w:pStyle w:val="26"/>
              <w:spacing w:before="20" w:after="20" w:line="276" w:lineRule="auto"/>
            </w:pPr>
            <w:r>
              <w:rPr>
                <w:rFonts w:ascii="Times New Roman" w:hAnsi="Times New Roman" w:eastAsia="宋体"/>
                <w:sz w:val="20"/>
              </w:rPr>
              <w:t>Property, Plant and Equipment / Balance Sheet Components</w:t>
            </w:r>
          </w:p>
        </w:tc>
        <w:tc>
          <w:tcPr>
            <w:tcW w:w="1666" w:type="pct"/>
          </w:tcPr>
          <w:p w14:paraId="3EB279C5">
            <w:pPr>
              <w:pStyle w:val="26"/>
              <w:spacing w:before="20" w:after="20" w:line="276" w:lineRule="auto"/>
            </w:pPr>
            <w:r>
              <w:rPr>
                <w:rFonts w:ascii="Times New Roman" w:hAnsi="Times New Roman" w:eastAsia="宋体"/>
                <w:sz w:val="20"/>
              </w:rPr>
              <w:t>6,000</w:t>
            </w:r>
          </w:p>
        </w:tc>
      </w:tr>
      <w:tr w14:paraId="69672B9F">
        <w:tblPrEx>
          <w:tblCellMar>
            <w:top w:w="0" w:type="dxa"/>
            <w:left w:w="108" w:type="dxa"/>
            <w:bottom w:w="0" w:type="dxa"/>
            <w:right w:w="108" w:type="dxa"/>
          </w:tblCellMar>
        </w:tblPrEx>
        <w:tc>
          <w:tcPr>
            <w:tcW w:w="1666" w:type="pct"/>
          </w:tcPr>
          <w:p w14:paraId="0859DAB4">
            <w:pPr>
              <w:pStyle w:val="26"/>
              <w:spacing w:before="20" w:after="20" w:line="276" w:lineRule="auto"/>
            </w:pPr>
            <w:r>
              <w:rPr>
                <w:rFonts w:ascii="Times New Roman" w:hAnsi="Times New Roman" w:eastAsia="宋体"/>
                <w:sz w:val="20"/>
              </w:rPr>
              <w:t>ITEM 1A</w:t>
            </w:r>
          </w:p>
        </w:tc>
        <w:tc>
          <w:tcPr>
            <w:tcW w:w="1666" w:type="pct"/>
          </w:tcPr>
          <w:p w14:paraId="53A8A3AA">
            <w:pPr>
              <w:pStyle w:val="26"/>
              <w:spacing w:before="20" w:after="20" w:line="276" w:lineRule="auto"/>
            </w:pPr>
            <w:r>
              <w:rPr>
                <w:rFonts w:ascii="Times New Roman" w:hAnsi="Times New Roman" w:eastAsia="宋体"/>
                <w:sz w:val="20"/>
              </w:rPr>
              <w:t>Risk Factors</w:t>
            </w:r>
          </w:p>
        </w:tc>
        <w:tc>
          <w:tcPr>
            <w:tcW w:w="1666" w:type="pct"/>
          </w:tcPr>
          <w:p w14:paraId="6B522E23">
            <w:pPr>
              <w:pStyle w:val="26"/>
              <w:spacing w:before="20" w:after="20" w:line="276" w:lineRule="auto"/>
            </w:pPr>
            <w:r>
              <w:rPr>
                <w:rFonts w:ascii="Times New Roman" w:hAnsi="Times New Roman" w:eastAsia="宋体"/>
                <w:sz w:val="20"/>
              </w:rPr>
              <w:t>10,000</w:t>
            </w:r>
          </w:p>
        </w:tc>
      </w:tr>
      <w:tr w14:paraId="418FE8DF">
        <w:tblPrEx>
          <w:tblCellMar>
            <w:top w:w="0" w:type="dxa"/>
            <w:left w:w="108" w:type="dxa"/>
            <w:bottom w:w="0" w:type="dxa"/>
            <w:right w:w="108" w:type="dxa"/>
          </w:tblCellMar>
        </w:tblPrEx>
        <w:tc>
          <w:tcPr>
            <w:tcW w:w="1666" w:type="pct"/>
          </w:tcPr>
          <w:p w14:paraId="59FAD8F7">
            <w:pPr>
              <w:pStyle w:val="26"/>
              <w:spacing w:before="20" w:after="20" w:line="276" w:lineRule="auto"/>
            </w:pPr>
            <w:r>
              <w:rPr>
                <w:rFonts w:ascii="Times New Roman" w:hAnsi="Times New Roman" w:eastAsia="宋体"/>
                <w:sz w:val="20"/>
              </w:rPr>
              <w:t>ITEM 7</w:t>
            </w:r>
          </w:p>
        </w:tc>
        <w:tc>
          <w:tcPr>
            <w:tcW w:w="1666" w:type="pct"/>
          </w:tcPr>
          <w:p w14:paraId="0B0ABFE2">
            <w:pPr>
              <w:pStyle w:val="26"/>
              <w:spacing w:before="20" w:after="20" w:line="276" w:lineRule="auto"/>
            </w:pPr>
            <w:r>
              <w:rPr>
                <w:rFonts w:ascii="Times New Roman" w:hAnsi="Times New Roman" w:eastAsia="宋体"/>
                <w:sz w:val="20"/>
              </w:rPr>
              <w:t>MD&amp;A - Critical Accounting Estimates</w:t>
            </w:r>
          </w:p>
        </w:tc>
        <w:tc>
          <w:tcPr>
            <w:tcW w:w="1666" w:type="pct"/>
          </w:tcPr>
          <w:p w14:paraId="18F5C5E8">
            <w:pPr>
              <w:pStyle w:val="26"/>
              <w:spacing w:before="20" w:after="20" w:line="276" w:lineRule="auto"/>
            </w:pPr>
            <w:r>
              <w:rPr>
                <w:rFonts w:ascii="Times New Roman" w:hAnsi="Times New Roman" w:eastAsia="宋体"/>
                <w:sz w:val="20"/>
              </w:rPr>
              <w:t>10,000</w:t>
            </w:r>
          </w:p>
        </w:tc>
      </w:tr>
      <w:tr w14:paraId="2675B4A7">
        <w:tblPrEx>
          <w:tblCellMar>
            <w:top w:w="0" w:type="dxa"/>
            <w:left w:w="108" w:type="dxa"/>
            <w:bottom w:w="0" w:type="dxa"/>
            <w:right w:w="108" w:type="dxa"/>
          </w:tblCellMar>
        </w:tblPrEx>
        <w:tc>
          <w:tcPr>
            <w:tcW w:w="1666" w:type="pct"/>
          </w:tcPr>
          <w:p w14:paraId="4AF54008">
            <w:pPr>
              <w:pStyle w:val="26"/>
              <w:spacing w:before="20" w:after="20" w:line="276" w:lineRule="auto"/>
            </w:pPr>
            <w:r>
              <w:rPr>
                <w:rFonts w:ascii="Times New Roman" w:hAnsi="Times New Roman" w:eastAsia="宋体"/>
                <w:sz w:val="20"/>
              </w:rPr>
              <w:t>NOTE 9/13</w:t>
            </w:r>
          </w:p>
        </w:tc>
        <w:tc>
          <w:tcPr>
            <w:tcW w:w="1666" w:type="pct"/>
          </w:tcPr>
          <w:p w14:paraId="7D13B559">
            <w:pPr>
              <w:pStyle w:val="26"/>
              <w:spacing w:before="20" w:after="20" w:line="276" w:lineRule="auto"/>
            </w:pPr>
            <w:r>
              <w:rPr>
                <w:rFonts w:ascii="Times New Roman" w:hAnsi="Times New Roman" w:eastAsia="宋体"/>
                <w:sz w:val="20"/>
              </w:rPr>
              <w:t>Leases / Commitments</w:t>
            </w:r>
          </w:p>
        </w:tc>
        <w:tc>
          <w:tcPr>
            <w:tcW w:w="1666" w:type="pct"/>
          </w:tcPr>
          <w:p w14:paraId="20755D4B">
            <w:pPr>
              <w:pStyle w:val="26"/>
              <w:spacing w:before="20" w:after="20" w:line="276" w:lineRule="auto"/>
            </w:pPr>
            <w:r>
              <w:rPr>
                <w:rFonts w:ascii="Times New Roman" w:hAnsi="Times New Roman" w:eastAsia="宋体"/>
                <w:sz w:val="20"/>
              </w:rPr>
              <w:t>5,000</w:t>
            </w:r>
          </w:p>
        </w:tc>
      </w:tr>
    </w:tbl>
    <w:p w14:paraId="0A09116D">
      <w:pPr>
        <w:pStyle w:val="3"/>
        <w:spacing w:before="40" w:after="40" w:line="360" w:lineRule="auto"/>
        <w:ind w:firstLine="480"/>
      </w:pPr>
      <w:r>
        <w:rPr>
          <w:rFonts w:hint="eastAsia" w:ascii="Times New Roman" w:hAnsi="Times New Roman" w:eastAsia="宋体"/>
          <w:sz w:val="24"/>
        </w:rPr>
        <w:t>10-K 的关键信息高度集中于特定章节：Note 1 包含折旧政策全貌，Note 4/6 包含 PP&amp;E 明细，Item 1A 包含技术过时风险，Item 7 包含关键会计估计讨论。该层强制提取上述章节（设字符上限防止 token 成本失控），确保系统不因关键词遗漏而错过“折旧年限从 5 年延长至 6 年”这类核心信息。</w:t>
      </w:r>
    </w:p>
    <w:p w14:paraId="2C3B2135">
      <w:pPr>
        <w:pStyle w:val="6"/>
        <w:spacing w:before="240" w:after="120" w:line="360" w:lineRule="auto"/>
        <w:rPr>
          <w:b w:val="0"/>
          <w:bCs/>
          <w:i w:val="0"/>
          <w:iCs w:val="0"/>
        </w:rPr>
      </w:pPr>
      <w:bookmarkStart w:id="198" w:name="_GoBack"/>
      <w:r>
        <w:rPr>
          <w:rFonts w:ascii="Times New Roman" w:hAnsi="Times New Roman" w:eastAsia="黑体"/>
          <w:b w:val="0"/>
          <w:bCs/>
          <w:i w:val="0"/>
          <w:iCs w:val="0"/>
          <w:color w:val="003366"/>
          <w:sz w:val="24"/>
        </w:rPr>
        <w:t>（六）五级体系总结与优先级</w:t>
      </w:r>
    </w:p>
    <w:bookmarkEnd w:id="198"/>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2C0B3F93">
        <w:tblPrEx>
          <w:tblCellMar>
            <w:top w:w="0" w:type="dxa"/>
            <w:left w:w="108" w:type="dxa"/>
            <w:bottom w:w="0" w:type="dxa"/>
            <w:right w:w="108" w:type="dxa"/>
          </w:tblCellMar>
        </w:tblPrEx>
        <w:tc>
          <w:tcPr>
            <w:tcW w:w="1250" w:type="pct"/>
          </w:tcPr>
          <w:p w14:paraId="7DED9FE0">
            <w:pPr>
              <w:pStyle w:val="26"/>
              <w:spacing w:before="20" w:after="20" w:line="276" w:lineRule="auto"/>
            </w:pPr>
            <w:r>
              <w:rPr>
                <w:rFonts w:hint="eastAsia" w:ascii="Times New Roman" w:hAnsi="Times New Roman" w:eastAsia="宋体"/>
                <w:b/>
                <w:bCs/>
                <w:sz w:val="20"/>
              </w:rPr>
              <w:t>层级</w:t>
            </w:r>
          </w:p>
        </w:tc>
        <w:tc>
          <w:tcPr>
            <w:tcW w:w="1250" w:type="pct"/>
          </w:tcPr>
          <w:p w14:paraId="3BE8969C">
            <w:pPr>
              <w:pStyle w:val="26"/>
              <w:spacing w:before="20" w:after="20" w:line="276" w:lineRule="auto"/>
            </w:pPr>
            <w:r>
              <w:rPr>
                <w:rFonts w:hint="eastAsia" w:ascii="Times New Roman" w:hAnsi="Times New Roman" w:eastAsia="宋体"/>
                <w:b/>
                <w:bCs/>
                <w:sz w:val="20"/>
              </w:rPr>
              <w:t>名称</w:t>
            </w:r>
          </w:p>
        </w:tc>
        <w:tc>
          <w:tcPr>
            <w:tcW w:w="1250" w:type="pct"/>
          </w:tcPr>
          <w:p w14:paraId="06D0C321">
            <w:pPr>
              <w:pStyle w:val="26"/>
              <w:spacing w:before="20" w:after="20" w:line="276" w:lineRule="auto"/>
            </w:pPr>
            <w:r>
              <w:rPr>
                <w:rFonts w:hint="eastAsia" w:ascii="Times New Roman" w:hAnsi="Times New Roman" w:eastAsia="宋体"/>
                <w:b/>
                <w:bCs/>
                <w:sz w:val="20"/>
              </w:rPr>
              <w:t>人工复核</w:t>
            </w:r>
          </w:p>
        </w:tc>
        <w:tc>
          <w:tcPr>
            <w:tcW w:w="1250" w:type="pct"/>
          </w:tcPr>
          <w:p w14:paraId="15AD8452">
            <w:pPr>
              <w:pStyle w:val="26"/>
              <w:spacing w:before="20" w:after="20" w:line="276" w:lineRule="auto"/>
            </w:pPr>
            <w:r>
              <w:rPr>
                <w:rFonts w:hint="eastAsia" w:ascii="Times New Roman" w:hAnsi="Times New Roman" w:eastAsia="宋体"/>
                <w:b/>
                <w:bCs/>
                <w:sz w:val="20"/>
              </w:rPr>
              <w:t>优先级</w:t>
            </w:r>
          </w:p>
        </w:tc>
      </w:tr>
      <w:tr w14:paraId="714785DD">
        <w:tblPrEx>
          <w:tblCellMar>
            <w:top w:w="0" w:type="dxa"/>
            <w:left w:w="108" w:type="dxa"/>
            <w:bottom w:w="0" w:type="dxa"/>
            <w:right w:w="108" w:type="dxa"/>
          </w:tblCellMar>
        </w:tblPrEx>
        <w:tc>
          <w:tcPr>
            <w:tcW w:w="1250" w:type="pct"/>
          </w:tcPr>
          <w:p w14:paraId="21CC6679">
            <w:pPr>
              <w:pStyle w:val="26"/>
              <w:spacing w:before="20" w:after="20" w:line="276" w:lineRule="auto"/>
            </w:pPr>
            <w:r>
              <w:rPr>
                <w:rFonts w:ascii="Times New Roman" w:hAnsi="Times New Roman" w:eastAsia="宋体"/>
                <w:sz w:val="20"/>
              </w:rPr>
              <w:t>L1</w:t>
            </w:r>
          </w:p>
        </w:tc>
        <w:tc>
          <w:tcPr>
            <w:tcW w:w="1250" w:type="pct"/>
          </w:tcPr>
          <w:p w14:paraId="2D42215B">
            <w:pPr>
              <w:pStyle w:val="26"/>
              <w:spacing w:before="20" w:after="20" w:line="276" w:lineRule="auto"/>
            </w:pPr>
            <w:r>
              <w:rPr>
                <w:rFonts w:ascii="Times New Roman" w:hAnsi="Times New Roman" w:eastAsia="宋体"/>
                <w:sz w:val="20"/>
              </w:rPr>
              <w:t>核心层（六词矩阵）</w:t>
            </w:r>
          </w:p>
        </w:tc>
        <w:tc>
          <w:tcPr>
            <w:tcW w:w="1250" w:type="pct"/>
          </w:tcPr>
          <w:p w14:paraId="14A80C4C">
            <w:pPr>
              <w:pStyle w:val="26"/>
              <w:spacing w:before="20" w:after="20" w:line="276" w:lineRule="auto"/>
            </w:pPr>
            <w:r>
              <w:rPr>
                <w:rFonts w:ascii="Times New Roman" w:hAnsi="Times New Roman" w:eastAsia="宋体"/>
                <w:sz w:val="20"/>
              </w:rPr>
              <w:t>无需</w:t>
            </w:r>
          </w:p>
        </w:tc>
        <w:tc>
          <w:tcPr>
            <w:tcW w:w="1250" w:type="pct"/>
          </w:tcPr>
          <w:p w14:paraId="113E1114">
            <w:pPr>
              <w:pStyle w:val="26"/>
              <w:spacing w:before="20" w:after="20" w:line="276" w:lineRule="auto"/>
            </w:pPr>
            <w:r>
              <w:rPr>
                <w:rFonts w:ascii="Times New Roman" w:hAnsi="Times New Roman" w:eastAsia="宋体"/>
                <w:sz w:val="20"/>
              </w:rPr>
              <w:t>最高</w:t>
            </w:r>
          </w:p>
        </w:tc>
      </w:tr>
      <w:tr w14:paraId="24765C79">
        <w:tblPrEx>
          <w:tblCellMar>
            <w:top w:w="0" w:type="dxa"/>
            <w:left w:w="108" w:type="dxa"/>
            <w:bottom w:w="0" w:type="dxa"/>
            <w:right w:w="108" w:type="dxa"/>
          </w:tblCellMar>
        </w:tblPrEx>
        <w:tc>
          <w:tcPr>
            <w:tcW w:w="1250" w:type="pct"/>
          </w:tcPr>
          <w:p w14:paraId="3F14DEF8">
            <w:pPr>
              <w:pStyle w:val="26"/>
              <w:spacing w:before="20" w:after="20" w:line="276" w:lineRule="auto"/>
            </w:pPr>
            <w:r>
              <w:rPr>
                <w:rFonts w:ascii="Times New Roman" w:hAnsi="Times New Roman" w:eastAsia="宋体"/>
                <w:sz w:val="20"/>
              </w:rPr>
              <w:t>L2</w:t>
            </w:r>
          </w:p>
        </w:tc>
        <w:tc>
          <w:tcPr>
            <w:tcW w:w="1250" w:type="pct"/>
          </w:tcPr>
          <w:p w14:paraId="1A3C3004">
            <w:pPr>
              <w:pStyle w:val="26"/>
              <w:spacing w:before="20" w:after="20" w:line="276" w:lineRule="auto"/>
            </w:pPr>
            <w:r>
              <w:rPr>
                <w:rFonts w:ascii="Times New Roman" w:hAnsi="Times New Roman" w:eastAsia="宋体"/>
                <w:sz w:val="20"/>
              </w:rPr>
              <w:t>扩展层（语义包含词）</w:t>
            </w:r>
          </w:p>
        </w:tc>
        <w:tc>
          <w:tcPr>
            <w:tcW w:w="1250" w:type="pct"/>
          </w:tcPr>
          <w:p w14:paraId="7B2E0B8C">
            <w:pPr>
              <w:pStyle w:val="26"/>
              <w:spacing w:before="20" w:after="20" w:line="276" w:lineRule="auto"/>
            </w:pPr>
            <w:r>
              <w:rPr>
                <w:rFonts w:ascii="Times New Roman" w:hAnsi="Times New Roman" w:eastAsia="宋体"/>
                <w:sz w:val="20"/>
              </w:rPr>
              <w:t>建议复核</w:t>
            </w:r>
          </w:p>
        </w:tc>
        <w:tc>
          <w:tcPr>
            <w:tcW w:w="1250" w:type="pct"/>
          </w:tcPr>
          <w:p w14:paraId="6D0DEF24">
            <w:pPr>
              <w:pStyle w:val="26"/>
              <w:spacing w:before="20" w:after="20" w:line="276" w:lineRule="auto"/>
            </w:pPr>
            <w:r>
              <w:rPr>
                <w:rFonts w:ascii="Times New Roman" w:hAnsi="Times New Roman" w:eastAsia="宋体"/>
                <w:sz w:val="20"/>
              </w:rPr>
              <w:t>高</w:t>
            </w:r>
          </w:p>
        </w:tc>
      </w:tr>
      <w:tr w14:paraId="05C1A12E">
        <w:tblPrEx>
          <w:tblCellMar>
            <w:top w:w="0" w:type="dxa"/>
            <w:left w:w="108" w:type="dxa"/>
            <w:bottom w:w="0" w:type="dxa"/>
            <w:right w:w="108" w:type="dxa"/>
          </w:tblCellMar>
        </w:tblPrEx>
        <w:tc>
          <w:tcPr>
            <w:tcW w:w="1250" w:type="pct"/>
          </w:tcPr>
          <w:p w14:paraId="2F51CD28">
            <w:pPr>
              <w:pStyle w:val="26"/>
              <w:spacing w:before="20" w:after="20" w:line="276" w:lineRule="auto"/>
            </w:pPr>
            <w:r>
              <w:rPr>
                <w:rFonts w:ascii="Times New Roman" w:hAnsi="Times New Roman" w:eastAsia="宋体"/>
                <w:sz w:val="20"/>
              </w:rPr>
              <w:t>L3</w:t>
            </w:r>
          </w:p>
        </w:tc>
        <w:tc>
          <w:tcPr>
            <w:tcW w:w="1250" w:type="pct"/>
          </w:tcPr>
          <w:p w14:paraId="2EDF4A42">
            <w:pPr>
              <w:pStyle w:val="26"/>
              <w:spacing w:before="20" w:after="20" w:line="276" w:lineRule="auto"/>
            </w:pPr>
            <w:r>
              <w:rPr>
                <w:rFonts w:ascii="Times New Roman" w:hAnsi="Times New Roman" w:eastAsia="宋体"/>
                <w:sz w:val="20"/>
              </w:rPr>
              <w:t>正则层（模式捕获）</w:t>
            </w:r>
          </w:p>
        </w:tc>
        <w:tc>
          <w:tcPr>
            <w:tcW w:w="1250" w:type="pct"/>
          </w:tcPr>
          <w:p w14:paraId="267B837F">
            <w:pPr>
              <w:pStyle w:val="26"/>
              <w:spacing w:before="20" w:after="20" w:line="276" w:lineRule="auto"/>
            </w:pPr>
            <w:r>
              <w:rPr>
                <w:rFonts w:ascii="Times New Roman" w:hAnsi="Times New Roman" w:eastAsia="宋体"/>
                <w:sz w:val="20"/>
              </w:rPr>
              <w:t>需复核</w:t>
            </w:r>
          </w:p>
        </w:tc>
        <w:tc>
          <w:tcPr>
            <w:tcW w:w="1250" w:type="pct"/>
          </w:tcPr>
          <w:p w14:paraId="6C84A6BC">
            <w:pPr>
              <w:pStyle w:val="26"/>
              <w:spacing w:before="20" w:after="20" w:line="276" w:lineRule="auto"/>
            </w:pPr>
            <w:r>
              <w:rPr>
                <w:rFonts w:ascii="Times New Roman" w:hAnsi="Times New Roman" w:eastAsia="宋体"/>
                <w:sz w:val="20"/>
              </w:rPr>
              <w:t>中</w:t>
            </w:r>
          </w:p>
        </w:tc>
      </w:tr>
      <w:tr w14:paraId="1D7AFD4C">
        <w:tblPrEx>
          <w:tblCellMar>
            <w:top w:w="0" w:type="dxa"/>
            <w:left w:w="108" w:type="dxa"/>
            <w:bottom w:w="0" w:type="dxa"/>
            <w:right w:w="108" w:type="dxa"/>
          </w:tblCellMar>
        </w:tblPrEx>
        <w:tc>
          <w:tcPr>
            <w:tcW w:w="1250" w:type="pct"/>
          </w:tcPr>
          <w:p w14:paraId="2E3FFA6A">
            <w:pPr>
              <w:pStyle w:val="26"/>
              <w:spacing w:before="20" w:after="20" w:line="276" w:lineRule="auto"/>
            </w:pPr>
            <w:r>
              <w:rPr>
                <w:rFonts w:ascii="Times New Roman" w:hAnsi="Times New Roman" w:eastAsia="宋体"/>
                <w:sz w:val="20"/>
              </w:rPr>
              <w:t>L4</w:t>
            </w:r>
          </w:p>
        </w:tc>
        <w:tc>
          <w:tcPr>
            <w:tcW w:w="1250" w:type="pct"/>
          </w:tcPr>
          <w:p w14:paraId="2AE9B39E">
            <w:pPr>
              <w:pStyle w:val="26"/>
              <w:spacing w:before="20" w:after="20" w:line="276" w:lineRule="auto"/>
            </w:pPr>
            <w:r>
              <w:rPr>
                <w:rFonts w:ascii="Times New Roman" w:hAnsi="Times New Roman" w:eastAsia="宋体"/>
                <w:sz w:val="20"/>
              </w:rPr>
              <w:t>MUST_INCLUDE（强制注入）</w:t>
            </w:r>
          </w:p>
        </w:tc>
        <w:tc>
          <w:tcPr>
            <w:tcW w:w="1250" w:type="pct"/>
          </w:tcPr>
          <w:p w14:paraId="1F0BCB87">
            <w:pPr>
              <w:pStyle w:val="26"/>
              <w:spacing w:before="20" w:after="20" w:line="276" w:lineRule="auto"/>
            </w:pPr>
            <w:r>
              <w:rPr>
                <w:rFonts w:ascii="Times New Roman" w:hAnsi="Times New Roman" w:eastAsia="宋体"/>
                <w:sz w:val="20"/>
              </w:rPr>
              <w:t>视内容复核</w:t>
            </w:r>
          </w:p>
        </w:tc>
        <w:tc>
          <w:tcPr>
            <w:tcW w:w="1250" w:type="pct"/>
          </w:tcPr>
          <w:p w14:paraId="762F8635">
            <w:pPr>
              <w:pStyle w:val="26"/>
              <w:spacing w:before="20" w:after="20" w:line="276" w:lineRule="auto"/>
            </w:pPr>
            <w:r>
              <w:rPr>
                <w:rFonts w:ascii="Times New Roman" w:hAnsi="Times New Roman" w:eastAsia="宋体"/>
                <w:sz w:val="20"/>
              </w:rPr>
              <w:t>中</w:t>
            </w:r>
          </w:p>
        </w:tc>
      </w:tr>
      <w:tr w14:paraId="0B32A271">
        <w:tblPrEx>
          <w:tblCellMar>
            <w:top w:w="0" w:type="dxa"/>
            <w:left w:w="108" w:type="dxa"/>
            <w:bottom w:w="0" w:type="dxa"/>
            <w:right w:w="108" w:type="dxa"/>
          </w:tblCellMar>
        </w:tblPrEx>
        <w:tc>
          <w:tcPr>
            <w:tcW w:w="1250" w:type="pct"/>
          </w:tcPr>
          <w:p w14:paraId="328F22F1">
            <w:pPr>
              <w:pStyle w:val="26"/>
              <w:spacing w:before="20" w:after="20" w:line="276" w:lineRule="auto"/>
            </w:pPr>
            <w:r>
              <w:rPr>
                <w:rFonts w:ascii="Times New Roman" w:hAnsi="Times New Roman" w:eastAsia="宋体"/>
                <w:sz w:val="20"/>
              </w:rPr>
              <w:t>L5</w:t>
            </w:r>
          </w:p>
        </w:tc>
        <w:tc>
          <w:tcPr>
            <w:tcW w:w="1250" w:type="pct"/>
          </w:tcPr>
          <w:p w14:paraId="4D0FE50D">
            <w:pPr>
              <w:pStyle w:val="26"/>
              <w:spacing w:before="20" w:after="20" w:line="276" w:lineRule="auto"/>
            </w:pPr>
            <w:r>
              <w:rPr>
                <w:rFonts w:ascii="Times New Roman" w:hAnsi="Times New Roman" w:eastAsia="宋体"/>
                <w:sz w:val="20"/>
              </w:rPr>
              <w:t>结构化章节提取</w:t>
            </w:r>
          </w:p>
        </w:tc>
        <w:tc>
          <w:tcPr>
            <w:tcW w:w="1250" w:type="pct"/>
          </w:tcPr>
          <w:p w14:paraId="69C45CDA">
            <w:pPr>
              <w:pStyle w:val="26"/>
              <w:spacing w:before="20" w:after="20" w:line="276" w:lineRule="auto"/>
            </w:pPr>
            <w:r>
              <w:rPr>
                <w:rFonts w:ascii="Times New Roman" w:hAnsi="Times New Roman" w:eastAsia="宋体"/>
                <w:sz w:val="20"/>
              </w:rPr>
              <w:t>章节级复核</w:t>
            </w:r>
          </w:p>
        </w:tc>
        <w:tc>
          <w:tcPr>
            <w:tcW w:w="1250" w:type="pct"/>
          </w:tcPr>
          <w:p w14:paraId="45585C0C">
            <w:pPr>
              <w:pStyle w:val="26"/>
              <w:spacing w:before="20" w:after="20" w:line="276" w:lineRule="auto"/>
            </w:pPr>
            <w:r>
              <w:rPr>
                <w:rFonts w:ascii="Times New Roman" w:hAnsi="Times New Roman" w:eastAsia="宋体"/>
                <w:sz w:val="20"/>
              </w:rPr>
              <w:t>基础覆盖</w:t>
            </w:r>
          </w:p>
        </w:tc>
      </w:tr>
    </w:tbl>
    <w:p w14:paraId="792F8AFD">
      <w:pPr>
        <w:pStyle w:val="3"/>
        <w:spacing w:before="40" w:after="40" w:line="360" w:lineRule="auto"/>
        <w:ind w:firstLine="480"/>
      </w:pPr>
      <w:r>
        <w:rPr>
          <w:rFonts w:hint="eastAsia" w:ascii="Times New Roman" w:hAnsi="Times New Roman" w:eastAsia="宋体"/>
          <w:sz w:val="24"/>
        </w:rPr>
        <w:t>基于五级检索体系，候选段落数量从初版的 9-17 个提升至 35-72 个（3-7 倍增长），达到人工全文阅读的关键信息覆盖要求；L1-L2 层保持高置信度，L3-L5 层提供增量覆盖。升级效果的逐家验证见附录 A.5。</w:t>
      </w:r>
    </w:p>
    <w:p w14:paraId="6982A869">
      <w:pPr>
        <w:pStyle w:val="5"/>
        <w:spacing w:before="240" w:after="120" w:line="360" w:lineRule="auto"/>
      </w:pPr>
      <w:bookmarkStart w:id="61" w:name="xbrl-噪声排除"/>
      <w:r>
        <w:rPr>
          <w:rFonts w:ascii="Times New Roman" w:hAnsi="Times New Roman" w:eastAsia="黑体"/>
          <w:b/>
          <w:color w:val="003366"/>
          <w:sz w:val="24"/>
        </w:rPr>
        <w:t xml:space="preserve">3.3.2 XBRL </w:t>
      </w:r>
      <w:r>
        <w:rPr>
          <w:rFonts w:hint="eastAsia" w:ascii="Times New Roman" w:hAnsi="Times New Roman" w:eastAsia="黑体"/>
          <w:b/>
          <w:color w:val="003366"/>
          <w:sz w:val="24"/>
        </w:rPr>
        <w:t>噪声排除</w:t>
      </w:r>
    </w:p>
    <w:p w14:paraId="7F0E0C06">
      <w:pPr>
        <w:pStyle w:val="25"/>
        <w:spacing w:before="40" w:after="40" w:line="360" w:lineRule="auto"/>
        <w:ind w:firstLine="480"/>
      </w:pPr>
      <w:r>
        <w:rPr>
          <w:rFonts w:ascii="Times New Roman" w:hAnsi="Times New Roman" w:eastAsia="宋体"/>
          <w:sz w:val="24"/>
        </w:rPr>
        <w:t xml:space="preserve">10-K HTML </w:t>
      </w:r>
      <w:r>
        <w:rPr>
          <w:rFonts w:hint="eastAsia" w:ascii="Times New Roman" w:hAnsi="Times New Roman" w:eastAsia="宋体"/>
          <w:sz w:val="24"/>
        </w:rPr>
        <w:t>文件内嵌大量隐藏</w:t>
      </w:r>
      <w:r>
        <w:rPr>
          <w:rFonts w:ascii="Times New Roman" w:hAnsi="Times New Roman" w:eastAsia="宋体"/>
          <w:sz w:val="24"/>
        </w:rPr>
        <w:t xml:space="preserve"> XBRL </w:t>
      </w:r>
      <w:r>
        <w:rPr>
          <w:rFonts w:hint="eastAsia" w:ascii="Times New Roman" w:hAnsi="Times New Roman" w:eastAsia="宋体"/>
          <w:sz w:val="24"/>
        </w:rPr>
        <w:t>标签（ix:hidden），关键词检索会命中这些机器可读标签而非正文。本研究规定：所有候选命中必须经人工确认位于可见正文段落，隐藏标签命中一律剔除。这一步骤是数据质量的关键闸门。</w:t>
      </w:r>
    </w:p>
    <w:bookmarkEnd w:id="61"/>
    <w:p w14:paraId="279C2603">
      <w:pPr>
        <w:pStyle w:val="5"/>
        <w:spacing w:before="240" w:after="120" w:line="360" w:lineRule="auto"/>
      </w:pPr>
      <w:bookmarkStart w:id="62" w:name="四列证据链结构"/>
      <w:r>
        <w:rPr>
          <w:rFonts w:ascii="Times New Roman" w:hAnsi="Times New Roman" w:eastAsia="黑体"/>
          <w:b/>
          <w:color w:val="003366"/>
          <w:sz w:val="24"/>
        </w:rPr>
        <w:t xml:space="preserve">3.3.3 </w:t>
      </w:r>
      <w:r>
        <w:rPr>
          <w:rFonts w:hint="eastAsia" w:ascii="Times New Roman" w:hAnsi="Times New Roman" w:eastAsia="黑体"/>
          <w:b/>
          <w:color w:val="003366"/>
          <w:sz w:val="24"/>
        </w:rPr>
        <w:t>四列证据链结构</w:t>
      </w:r>
    </w:p>
    <w:p w14:paraId="2018ABDB">
      <w:pPr>
        <w:pStyle w:val="25"/>
        <w:spacing w:before="40" w:after="40" w:line="360" w:lineRule="auto"/>
        <w:ind w:firstLine="480"/>
      </w:pPr>
      <w:r>
        <w:rPr>
          <w:rFonts w:hint="eastAsia" w:ascii="Times New Roman" w:hAnsi="Times New Roman" w:eastAsia="宋体"/>
          <w:sz w:val="24"/>
        </w:rPr>
        <w:t>每条风险信号按固定四列结构标注，缺一不可：</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F417316">
        <w:tblPrEx>
          <w:tblCellMar>
            <w:top w:w="0" w:type="dxa"/>
            <w:left w:w="108" w:type="dxa"/>
            <w:bottom w:w="0" w:type="dxa"/>
            <w:right w:w="108" w:type="dxa"/>
          </w:tblCellMar>
        </w:tblPrEx>
        <w:trPr>
          <w:cantSplit/>
          <w:tblHeader/>
        </w:trPr>
        <w:tc>
          <w:p w14:paraId="586A4898">
            <w:pPr>
              <w:pStyle w:val="26"/>
              <w:spacing w:before="20" w:after="20" w:line="276" w:lineRule="auto"/>
            </w:pPr>
            <w:r>
              <w:rPr>
                <w:rFonts w:hint="eastAsia" w:ascii="Times New Roman" w:hAnsi="Times New Roman" w:eastAsia="宋体"/>
                <w:b/>
                <w:bCs/>
                <w:sz w:val="20"/>
              </w:rPr>
              <w:t>列</w:t>
            </w:r>
          </w:p>
        </w:tc>
        <w:tc>
          <w:p w14:paraId="71D16729">
            <w:pPr>
              <w:pStyle w:val="26"/>
              <w:spacing w:before="20" w:after="20" w:line="276" w:lineRule="auto"/>
            </w:pPr>
            <w:r>
              <w:rPr>
                <w:rFonts w:hint="eastAsia" w:ascii="Times New Roman" w:hAnsi="Times New Roman" w:eastAsia="宋体"/>
                <w:b/>
                <w:bCs/>
                <w:sz w:val="20"/>
              </w:rPr>
              <w:t>内容</w:t>
            </w:r>
          </w:p>
        </w:tc>
        <w:tc>
          <w:p w14:paraId="3C5B0D34">
            <w:pPr>
              <w:pStyle w:val="26"/>
              <w:spacing w:before="20" w:after="20" w:line="276" w:lineRule="auto"/>
            </w:pPr>
            <w:r>
              <w:rPr>
                <w:rFonts w:hint="eastAsia" w:ascii="Times New Roman" w:hAnsi="Times New Roman" w:eastAsia="宋体"/>
                <w:b/>
                <w:bCs/>
                <w:sz w:val="20"/>
              </w:rPr>
              <w:t>功能</w:t>
            </w:r>
          </w:p>
        </w:tc>
      </w:tr>
      <w:tr w14:paraId="2D4B93D8">
        <w:tblPrEx>
          <w:tblCellMar>
            <w:top w:w="0" w:type="dxa"/>
            <w:left w:w="108" w:type="dxa"/>
            <w:bottom w:w="0" w:type="dxa"/>
            <w:right w:w="108" w:type="dxa"/>
          </w:tblCellMar>
        </w:tblPrEx>
        <w:trPr>
          <w:cantSplit/>
        </w:trPr>
        <w:tc>
          <w:p w14:paraId="2CF3CEA2">
            <w:pPr>
              <w:pStyle w:val="26"/>
              <w:spacing w:before="20" w:after="20" w:line="276" w:lineRule="auto"/>
            </w:pPr>
            <w:r>
              <w:rPr>
                <w:rFonts w:ascii="Times New Roman" w:hAnsi="Times New Roman" w:eastAsia="宋体"/>
                <w:sz w:val="20"/>
              </w:rPr>
              <w:t xml:space="preserve">① </w:t>
            </w:r>
            <w:r>
              <w:rPr>
                <w:rFonts w:hint="eastAsia" w:ascii="Times New Roman" w:hAnsi="Times New Roman" w:eastAsia="宋体"/>
                <w:sz w:val="20"/>
              </w:rPr>
              <w:t>原文摘录</w:t>
            </w:r>
          </w:p>
        </w:tc>
        <w:tc>
          <w:p w14:paraId="7524C908">
            <w:pPr>
              <w:pStyle w:val="26"/>
              <w:spacing w:before="20" w:after="20" w:line="276" w:lineRule="auto"/>
            </w:pPr>
            <w:r>
              <w:rPr>
                <w:rFonts w:hint="eastAsia" w:ascii="Times New Roman" w:hAnsi="Times New Roman" w:eastAsia="宋体"/>
                <w:sz w:val="20"/>
              </w:rPr>
              <w:t>英文原文（含上下文</w:t>
            </w:r>
            <w:r>
              <w:rPr>
                <w:rFonts w:ascii="Times New Roman" w:hAnsi="Times New Roman" w:eastAsia="宋体"/>
                <w:sz w:val="20"/>
              </w:rPr>
              <w:t xml:space="preserve"> 1-2 </w:t>
            </w:r>
            <w:r>
              <w:rPr>
                <w:rFonts w:hint="eastAsia" w:ascii="Times New Roman" w:hAnsi="Times New Roman" w:eastAsia="宋体"/>
                <w:sz w:val="20"/>
              </w:rPr>
              <w:t>句）</w:t>
            </w:r>
          </w:p>
        </w:tc>
        <w:tc>
          <w:p w14:paraId="49F9D4E2">
            <w:pPr>
              <w:pStyle w:val="26"/>
              <w:spacing w:before="20" w:after="20" w:line="276" w:lineRule="auto"/>
            </w:pPr>
            <w:r>
              <w:rPr>
                <w:rFonts w:hint="eastAsia" w:ascii="Times New Roman" w:hAnsi="Times New Roman" w:eastAsia="宋体"/>
                <w:sz w:val="20"/>
              </w:rPr>
              <w:t>可逐字复核</w:t>
            </w:r>
          </w:p>
        </w:tc>
      </w:tr>
      <w:tr w14:paraId="695EED47">
        <w:tblPrEx>
          <w:tblCellMar>
            <w:top w:w="0" w:type="dxa"/>
            <w:left w:w="108" w:type="dxa"/>
            <w:bottom w:w="0" w:type="dxa"/>
            <w:right w:w="108" w:type="dxa"/>
          </w:tblCellMar>
        </w:tblPrEx>
        <w:trPr>
          <w:cantSplit/>
        </w:trPr>
        <w:tc>
          <w:p w14:paraId="4A400933">
            <w:pPr>
              <w:pStyle w:val="26"/>
              <w:spacing w:before="20" w:after="20" w:line="276" w:lineRule="auto"/>
            </w:pPr>
            <w:r>
              <w:rPr>
                <w:rFonts w:ascii="Times New Roman" w:hAnsi="Times New Roman" w:eastAsia="宋体"/>
                <w:sz w:val="20"/>
              </w:rPr>
              <w:t xml:space="preserve">② </w:t>
            </w:r>
            <w:r>
              <w:rPr>
                <w:rFonts w:hint="eastAsia" w:ascii="Times New Roman" w:hAnsi="Times New Roman" w:eastAsia="宋体"/>
                <w:sz w:val="20"/>
              </w:rPr>
              <w:t>所在位置</w:t>
            </w:r>
          </w:p>
        </w:tc>
        <w:tc>
          <w:p w14:paraId="0D7C45D7">
            <w:pPr>
              <w:pStyle w:val="26"/>
              <w:spacing w:before="20" w:after="20" w:line="276" w:lineRule="auto"/>
            </w:pPr>
            <w:r>
              <w:rPr>
                <w:rFonts w:hint="eastAsia" w:ascii="Times New Roman" w:hAnsi="Times New Roman" w:eastAsia="宋体"/>
                <w:sz w:val="20"/>
              </w:rPr>
              <w:t>章节（Risk</w:t>
            </w:r>
            <w:r>
              <w:rPr>
                <w:rFonts w:ascii="Times New Roman" w:hAnsi="Times New Roman" w:eastAsia="宋体"/>
                <w:sz w:val="20"/>
              </w:rPr>
              <w:t xml:space="preserve"> Factors / Note 1 / </w:t>
            </w:r>
            <w:r>
              <w:rPr>
                <w:rFonts w:hint="eastAsia" w:ascii="Times New Roman" w:hAnsi="Times New Roman" w:eastAsia="宋体"/>
                <w:sz w:val="20"/>
              </w:rPr>
              <w:t>MD&amp;A）+</w:t>
            </w:r>
            <w:r>
              <w:rPr>
                <w:rFonts w:ascii="Times New Roman" w:hAnsi="Times New Roman" w:eastAsia="宋体"/>
                <w:sz w:val="20"/>
              </w:rPr>
              <w:t xml:space="preserve"> HTML </w:t>
            </w:r>
            <w:r>
              <w:rPr>
                <w:rFonts w:hint="eastAsia" w:ascii="Times New Roman" w:hAnsi="Times New Roman" w:eastAsia="宋体"/>
                <w:sz w:val="20"/>
              </w:rPr>
              <w:t>行号</w:t>
            </w:r>
          </w:p>
        </w:tc>
        <w:tc>
          <w:p w14:paraId="16CBA9FA">
            <w:pPr>
              <w:pStyle w:val="26"/>
              <w:spacing w:before="20" w:after="20" w:line="276" w:lineRule="auto"/>
            </w:pPr>
            <w:r>
              <w:rPr>
                <w:rFonts w:hint="eastAsia" w:ascii="Times New Roman" w:hAnsi="Times New Roman" w:eastAsia="宋体"/>
                <w:sz w:val="20"/>
              </w:rPr>
              <w:t>可精确回溯</w:t>
            </w:r>
          </w:p>
        </w:tc>
      </w:tr>
      <w:tr w14:paraId="16F3DA22">
        <w:tblPrEx>
          <w:tblCellMar>
            <w:top w:w="0" w:type="dxa"/>
            <w:left w:w="108" w:type="dxa"/>
            <w:bottom w:w="0" w:type="dxa"/>
            <w:right w:w="108" w:type="dxa"/>
          </w:tblCellMar>
        </w:tblPrEx>
        <w:trPr>
          <w:cantSplit/>
        </w:trPr>
        <w:tc>
          <w:p w14:paraId="4EA2BBB7">
            <w:pPr>
              <w:pStyle w:val="26"/>
              <w:spacing w:before="20" w:after="20" w:line="276" w:lineRule="auto"/>
            </w:pPr>
            <w:r>
              <w:rPr>
                <w:rFonts w:ascii="Times New Roman" w:hAnsi="Times New Roman" w:eastAsia="宋体"/>
                <w:sz w:val="20"/>
              </w:rPr>
              <w:t xml:space="preserve">③ </w:t>
            </w:r>
            <w:r>
              <w:rPr>
                <w:rFonts w:hint="eastAsia" w:ascii="Times New Roman" w:hAnsi="Times New Roman" w:eastAsia="宋体"/>
                <w:sz w:val="20"/>
              </w:rPr>
              <w:t>会计含义</w:t>
            </w:r>
          </w:p>
        </w:tc>
        <w:tc>
          <w:p w14:paraId="24C7308B">
            <w:pPr>
              <w:pStyle w:val="26"/>
              <w:spacing w:before="20" w:after="20" w:line="276" w:lineRule="auto"/>
            </w:pPr>
            <w:r>
              <w:rPr>
                <w:rFonts w:hint="eastAsia" w:ascii="Times New Roman" w:hAnsi="Times New Roman" w:eastAsia="宋体"/>
                <w:sz w:val="20"/>
              </w:rPr>
              <w:t>该表述在会计准则下的意义</w:t>
            </w:r>
          </w:p>
        </w:tc>
        <w:tc>
          <w:p w14:paraId="71708801">
            <w:pPr>
              <w:pStyle w:val="26"/>
              <w:spacing w:before="20" w:after="20" w:line="276" w:lineRule="auto"/>
            </w:pPr>
            <w:r>
              <w:rPr>
                <w:rFonts w:hint="eastAsia" w:ascii="Times New Roman" w:hAnsi="Times New Roman" w:eastAsia="宋体"/>
                <w:sz w:val="20"/>
              </w:rPr>
              <w:t>连接文本与准则</w:t>
            </w:r>
          </w:p>
        </w:tc>
      </w:tr>
      <w:tr w14:paraId="56594631">
        <w:tblPrEx>
          <w:tblCellMar>
            <w:top w:w="0" w:type="dxa"/>
            <w:left w:w="108" w:type="dxa"/>
            <w:bottom w:w="0" w:type="dxa"/>
            <w:right w:w="108" w:type="dxa"/>
          </w:tblCellMar>
        </w:tblPrEx>
        <w:trPr>
          <w:cantSplit/>
        </w:trPr>
        <w:tc>
          <w:p w14:paraId="3F2C9400">
            <w:pPr>
              <w:pStyle w:val="26"/>
              <w:spacing w:before="20" w:after="20" w:line="276" w:lineRule="auto"/>
            </w:pPr>
            <w:r>
              <w:rPr>
                <w:rFonts w:ascii="Times New Roman" w:hAnsi="Times New Roman" w:eastAsia="宋体"/>
                <w:sz w:val="20"/>
              </w:rPr>
              <w:t xml:space="preserve">④ </w:t>
            </w:r>
            <w:r>
              <w:rPr>
                <w:rFonts w:hint="eastAsia" w:ascii="Times New Roman" w:hAnsi="Times New Roman" w:eastAsia="宋体"/>
                <w:sz w:val="20"/>
              </w:rPr>
              <w:t>风险推断</w:t>
            </w:r>
          </w:p>
        </w:tc>
        <w:tc>
          <w:p w14:paraId="3E6040AA">
            <w:pPr>
              <w:pStyle w:val="26"/>
              <w:spacing w:before="20" w:after="20" w:line="276" w:lineRule="auto"/>
            </w:pPr>
            <w:r>
              <w:rPr>
                <w:rFonts w:hint="eastAsia" w:ascii="Times New Roman" w:hAnsi="Times New Roman" w:eastAsia="宋体"/>
                <w:sz w:val="20"/>
              </w:rPr>
              <w:t>编号推断链：事实</w:t>
            </w:r>
            <w:r>
              <w:rPr>
                <w:rFonts w:ascii="Times New Roman" w:hAnsi="Times New Roman" w:eastAsia="宋体"/>
                <w:sz w:val="20"/>
              </w:rPr>
              <w:t xml:space="preserve"> → </w:t>
            </w:r>
            <w:r>
              <w:rPr>
                <w:rFonts w:hint="eastAsia" w:ascii="Times New Roman" w:hAnsi="Times New Roman" w:eastAsia="宋体"/>
                <w:sz w:val="20"/>
              </w:rPr>
              <w:t>与折旧假设的矛盾</w:t>
            </w:r>
            <w:r>
              <w:rPr>
                <w:rFonts w:ascii="Times New Roman" w:hAnsi="Times New Roman" w:eastAsia="宋体"/>
                <w:sz w:val="20"/>
              </w:rPr>
              <w:t xml:space="preserve"> → </w:t>
            </w:r>
            <w:r>
              <w:rPr>
                <w:rFonts w:hint="eastAsia" w:ascii="Times New Roman" w:hAnsi="Times New Roman" w:eastAsia="宋体"/>
                <w:sz w:val="20"/>
              </w:rPr>
              <w:t>对利润的影响方向</w:t>
            </w:r>
          </w:p>
        </w:tc>
        <w:tc>
          <w:p w14:paraId="4E49A611">
            <w:pPr>
              <w:pStyle w:val="26"/>
              <w:spacing w:before="20" w:after="20" w:line="276" w:lineRule="auto"/>
            </w:pPr>
            <w:r>
              <w:rPr>
                <w:rFonts w:hint="eastAsia" w:ascii="Times New Roman" w:hAnsi="Times New Roman" w:eastAsia="宋体"/>
                <w:sz w:val="20"/>
              </w:rPr>
              <w:t>从证据到结论</w:t>
            </w:r>
          </w:p>
        </w:tc>
      </w:tr>
    </w:tbl>
    <w:p w14:paraId="3ADCFA90">
      <w:pPr>
        <w:pStyle w:val="3"/>
        <w:spacing w:before="40" w:after="40" w:line="360" w:lineRule="auto"/>
        <w:ind w:firstLine="480"/>
      </w:pPr>
      <w:r>
        <w:rPr>
          <w:rFonts w:hint="eastAsia" w:ascii="Times New Roman" w:hAnsi="Times New Roman" w:eastAsia="宋体"/>
          <w:sz w:val="24"/>
        </w:rPr>
        <w:t>标注示例（Oracle</w:t>
      </w:r>
      <w:r>
        <w:rPr>
          <w:rFonts w:ascii="Times New Roman" w:hAnsi="Times New Roman" w:eastAsia="宋体"/>
          <w:sz w:val="24"/>
        </w:rPr>
        <w:t xml:space="preserve"> </w:t>
      </w:r>
      <w:r>
        <w:rPr>
          <w:rFonts w:hint="eastAsia" w:ascii="Times New Roman" w:hAnsi="Times New Roman" w:eastAsia="宋体"/>
          <w:sz w:val="24"/>
        </w:rPr>
        <w:t>FY2024，信号</w:t>
      </w:r>
      <w:r>
        <w:rPr>
          <w:rFonts w:ascii="Times New Roman" w:hAnsi="Times New Roman" w:eastAsia="宋体"/>
          <w:sz w:val="24"/>
        </w:rPr>
        <w:t xml:space="preserve"> </w:t>
      </w:r>
      <w:r>
        <w:rPr>
          <w:rFonts w:hint="eastAsia" w:ascii="Times New Roman" w:hAnsi="Times New Roman" w:eastAsia="宋体"/>
          <w:sz w:val="24"/>
        </w:rPr>
        <w:t>ORCL-FY2024-SIG-001）：</w:t>
      </w:r>
    </w:p>
    <w:p w14:paraId="3AB7B088">
      <w:pPr>
        <w:pStyle w:val="3"/>
        <w:spacing w:before="40" w:after="40" w:line="360" w:lineRule="auto"/>
        <w:ind w:firstLine="480"/>
      </w:pPr>
      <w:r>
        <w:rPr>
          <w:rFonts w:ascii="Times New Roman" w:hAnsi="Times New Roman" w:eastAsia="宋体"/>
          <w:sz w:val="24"/>
        </w:rPr>
        <w:t xml:space="preserve">① </w:t>
      </w:r>
      <w:r>
        <w:rPr>
          <w:rFonts w:hint="eastAsia" w:ascii="Times New Roman" w:hAnsi="Times New Roman" w:eastAsia="宋体"/>
          <w:sz w:val="24"/>
        </w:rPr>
        <w:t>原文：“During</w:t>
      </w:r>
      <w:r>
        <w:rPr>
          <w:rFonts w:ascii="Times New Roman" w:hAnsi="Times New Roman" w:eastAsia="宋体"/>
          <w:sz w:val="24"/>
        </w:rPr>
        <w:t xml:space="preserve"> the first quarter of fiscal 2023, we completed an assessment of the useful lives of our servers and increased the estimate of the useful lives from four years to five years... this change in accounting estimate decreased our total operating expenses by $434 million during fiscal 2023.”</w:t>
      </w:r>
    </w:p>
    <w:p w14:paraId="3888F98D">
      <w:pPr>
        <w:pStyle w:val="3"/>
        <w:spacing w:before="40" w:after="40" w:line="360" w:lineRule="auto"/>
        <w:ind w:firstLine="480"/>
      </w:pPr>
      <w:r>
        <w:rPr>
          <w:rFonts w:ascii="Times New Roman" w:hAnsi="Times New Roman" w:eastAsia="宋体"/>
          <w:sz w:val="24"/>
        </w:rPr>
        <w:t xml:space="preserve">② </w:t>
      </w:r>
      <w:r>
        <w:rPr>
          <w:rFonts w:hint="eastAsia" w:ascii="Times New Roman" w:hAnsi="Times New Roman" w:eastAsia="宋体"/>
          <w:sz w:val="24"/>
        </w:rPr>
        <w:t>位置：Note</w:t>
      </w:r>
      <w:r>
        <w:rPr>
          <w:rFonts w:ascii="Times New Roman" w:hAnsi="Times New Roman" w:eastAsia="宋体"/>
          <w:sz w:val="24"/>
        </w:rPr>
        <w:t xml:space="preserve"> 1 </w:t>
      </w:r>
      <w:r>
        <w:rPr>
          <w:rFonts w:hint="eastAsia" w:ascii="Times New Roman" w:hAnsi="Times New Roman" w:eastAsia="宋体"/>
          <w:sz w:val="24"/>
        </w:rPr>
        <w:t>关键会计政策，HTML</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7317 </w:t>
      </w:r>
      <w:r>
        <w:rPr>
          <w:rFonts w:hint="eastAsia" w:ascii="Times New Roman" w:hAnsi="Times New Roman" w:eastAsia="宋体"/>
          <w:sz w:val="24"/>
        </w:rPr>
        <w:t>行</w:t>
      </w:r>
    </w:p>
    <w:p w14:paraId="1FD04F8E">
      <w:pPr>
        <w:pStyle w:val="3"/>
        <w:spacing w:before="40" w:after="40" w:line="360" w:lineRule="auto"/>
        <w:ind w:firstLine="480"/>
      </w:pPr>
      <w:r>
        <w:rPr>
          <w:rFonts w:ascii="Times New Roman" w:hAnsi="Times New Roman" w:eastAsia="宋体"/>
          <w:sz w:val="24"/>
        </w:rPr>
        <w:t xml:space="preserve">③ </w:t>
      </w:r>
      <w:r>
        <w:rPr>
          <w:rFonts w:hint="eastAsia" w:ascii="Times New Roman" w:hAnsi="Times New Roman" w:eastAsia="宋体"/>
          <w:sz w:val="24"/>
        </w:rPr>
        <w:t>会计含义：会计估计变更，未来适用法，不追溯调整</w:t>
      </w:r>
    </w:p>
    <w:p w14:paraId="3C005585">
      <w:pPr>
        <w:pStyle w:val="3"/>
        <w:spacing w:before="40" w:after="40" w:line="360" w:lineRule="auto"/>
        <w:ind w:firstLine="480"/>
      </w:pPr>
      <w:r>
        <w:rPr>
          <w:rFonts w:ascii="Times New Roman" w:hAnsi="Times New Roman" w:eastAsia="宋体"/>
          <w:sz w:val="24"/>
        </w:rPr>
        <w:t xml:space="preserve">④ </w:t>
      </w:r>
      <w:r>
        <w:rPr>
          <w:rFonts w:hint="eastAsia" w:ascii="Times New Roman" w:hAnsi="Times New Roman" w:eastAsia="宋体"/>
          <w:sz w:val="24"/>
        </w:rPr>
        <w:t>推断链：服务器年限</w:t>
      </w:r>
      <w:r>
        <w:rPr>
          <w:rFonts w:ascii="Times New Roman" w:hAnsi="Times New Roman" w:eastAsia="宋体"/>
          <w:sz w:val="24"/>
        </w:rPr>
        <w:t xml:space="preserve"> 4→5 </w:t>
      </w:r>
      <w:r>
        <w:rPr>
          <w:rFonts w:hint="eastAsia" w:ascii="Times New Roman" w:hAnsi="Times New Roman" w:eastAsia="宋体"/>
          <w:sz w:val="24"/>
        </w:rPr>
        <w:t>年</w:t>
      </w:r>
      <w:r>
        <w:rPr>
          <w:rFonts w:ascii="Times New Roman" w:hAnsi="Times New Roman" w:eastAsia="宋体"/>
          <w:sz w:val="24"/>
        </w:rPr>
        <w:t xml:space="preserve"> → FY2023 </w:t>
      </w:r>
      <w:r>
        <w:rPr>
          <w:rFonts w:hint="eastAsia" w:ascii="Times New Roman" w:hAnsi="Times New Roman" w:eastAsia="宋体"/>
          <w:sz w:val="24"/>
        </w:rPr>
        <w:t>经营费用减少</w:t>
      </w:r>
      <w:r>
        <w:rPr>
          <w:rFonts w:ascii="Times New Roman" w:hAnsi="Times New Roman" w:eastAsia="宋体"/>
          <w:sz w:val="24"/>
        </w:rPr>
        <w:t xml:space="preserve"> </w:t>
      </w:r>
      <w:r>
        <w:rPr>
          <w:rFonts w:hint="eastAsia" w:ascii="Times New Roman" w:hAnsi="Times New Roman" w:eastAsia="宋体"/>
          <w:sz w:val="24"/>
        </w:rPr>
        <w:t>$434M（占当年净利</w:t>
      </w:r>
      <w:r>
        <w:rPr>
          <w:rFonts w:ascii="Times New Roman" w:hAnsi="Times New Roman" w:eastAsia="宋体"/>
          <w:sz w:val="24"/>
        </w:rPr>
        <w:t xml:space="preserve"> </w:t>
      </w:r>
      <w:r>
        <w:rPr>
          <w:rFonts w:hint="eastAsia" w:ascii="Times New Roman" w:hAnsi="Times New Roman" w:eastAsia="宋体"/>
          <w:sz w:val="24"/>
        </w:rPr>
        <w:t>5.1%）→</w:t>
      </w:r>
      <w:r>
        <w:rPr>
          <w:rFonts w:ascii="Times New Roman" w:hAnsi="Times New Roman" w:eastAsia="宋体"/>
          <w:sz w:val="24"/>
        </w:rPr>
        <w:t xml:space="preserve"> </w:t>
      </w:r>
      <w:r>
        <w:rPr>
          <w:rFonts w:hint="eastAsia" w:ascii="Times New Roman" w:hAnsi="Times New Roman" w:eastAsia="宋体"/>
          <w:sz w:val="24"/>
        </w:rPr>
        <w:t>变更方向为延长（利己），且发生于</w:t>
      </w:r>
      <w:r>
        <w:rPr>
          <w:rFonts w:ascii="Times New Roman" w:hAnsi="Times New Roman" w:eastAsia="宋体"/>
          <w:sz w:val="24"/>
        </w:rPr>
        <w:t xml:space="preserve"> AI </w:t>
      </w:r>
      <w:r>
        <w:rPr>
          <w:rFonts w:hint="eastAsia" w:ascii="Times New Roman" w:hAnsi="Times New Roman" w:eastAsia="宋体"/>
          <w:sz w:val="24"/>
        </w:rPr>
        <w:t>算力扩张期</w:t>
      </w:r>
      <w:r>
        <w:rPr>
          <w:rFonts w:ascii="Times New Roman" w:hAnsi="Times New Roman" w:eastAsia="宋体"/>
          <w:sz w:val="24"/>
        </w:rPr>
        <w:t xml:space="preserve"> → AI </w:t>
      </w:r>
      <w:r>
        <w:rPr>
          <w:rFonts w:hint="eastAsia" w:ascii="Times New Roman" w:hAnsi="Times New Roman" w:eastAsia="宋体"/>
          <w:sz w:val="24"/>
        </w:rPr>
        <w:t>硬件迭代周期</w:t>
      </w:r>
      <w:r>
        <w:rPr>
          <w:rFonts w:ascii="Times New Roman" w:hAnsi="Times New Roman" w:eastAsia="宋体"/>
          <w:sz w:val="24"/>
        </w:rPr>
        <w:t xml:space="preserve"> 1-2 </w:t>
      </w:r>
      <w:r>
        <w:rPr>
          <w:rFonts w:hint="eastAsia" w:ascii="Times New Roman" w:hAnsi="Times New Roman" w:eastAsia="宋体"/>
          <w:sz w:val="24"/>
        </w:rPr>
        <w:t>年</w:t>
      </w:r>
      <w:r>
        <w:rPr>
          <w:rFonts w:ascii="Times New Roman" w:hAnsi="Times New Roman" w:eastAsia="宋体"/>
          <w:sz w:val="24"/>
        </w:rPr>
        <w:t xml:space="preserve"> vs 5 </w:t>
      </w:r>
      <w:r>
        <w:rPr>
          <w:rFonts w:hint="eastAsia" w:ascii="Times New Roman" w:hAnsi="Times New Roman" w:eastAsia="宋体"/>
          <w:sz w:val="24"/>
        </w:rPr>
        <w:t>年会计寿命，错配</w:t>
      </w:r>
      <w:r>
        <w:rPr>
          <w:rFonts w:ascii="Times New Roman" w:hAnsi="Times New Roman" w:eastAsia="宋体"/>
          <w:sz w:val="24"/>
        </w:rPr>
        <w:t xml:space="preserve"> 2.5-5 </w:t>
      </w:r>
      <w:r>
        <w:rPr>
          <w:rFonts w:hint="eastAsia" w:ascii="Times New Roman" w:hAnsi="Times New Roman" w:eastAsia="宋体"/>
          <w:sz w:val="24"/>
        </w:rPr>
        <w:t>倍</w:t>
      </w:r>
      <w:r>
        <w:rPr>
          <w:rFonts w:ascii="Times New Roman" w:hAnsi="Times New Roman" w:eastAsia="宋体"/>
          <w:sz w:val="24"/>
        </w:rPr>
        <w:t xml:space="preserve"> → </w:t>
      </w:r>
      <w:r>
        <w:rPr>
          <w:rFonts w:hint="eastAsia" w:ascii="Times New Roman" w:hAnsi="Times New Roman" w:eastAsia="宋体"/>
          <w:sz w:val="24"/>
        </w:rPr>
        <w:t>历史少提折旧永不修正，FY2024</w:t>
      </w:r>
      <w:r>
        <w:rPr>
          <w:rFonts w:ascii="Times New Roman" w:hAnsi="Times New Roman" w:eastAsia="宋体"/>
          <w:sz w:val="24"/>
        </w:rPr>
        <w:t xml:space="preserve"> </w:t>
      </w:r>
      <w:r>
        <w:rPr>
          <w:rFonts w:hint="eastAsia" w:ascii="Times New Roman" w:hAnsi="Times New Roman" w:eastAsia="宋体"/>
          <w:sz w:val="24"/>
        </w:rPr>
        <w:t>利润持续受益</w:t>
      </w:r>
    </w:p>
    <w:bookmarkEnd w:id="62"/>
    <w:p w14:paraId="5788DDF2">
      <w:pPr>
        <w:pStyle w:val="5"/>
        <w:spacing w:before="240" w:after="120" w:line="360" w:lineRule="auto"/>
      </w:pPr>
      <w:bookmarkStart w:id="63" w:name="直接信号缺失的处理规则"/>
      <w:r>
        <w:rPr>
          <w:rFonts w:ascii="Times New Roman" w:hAnsi="Times New Roman" w:eastAsia="黑体"/>
          <w:b/>
          <w:color w:val="003366"/>
          <w:sz w:val="24"/>
        </w:rPr>
        <w:t xml:space="preserve">3.3.4 </w:t>
      </w:r>
      <w:r>
        <w:rPr>
          <w:rFonts w:hint="eastAsia" w:ascii="Times New Roman" w:hAnsi="Times New Roman" w:eastAsia="黑体"/>
          <w:b/>
          <w:color w:val="003366"/>
          <w:sz w:val="24"/>
        </w:rPr>
        <w:t>直接信号缺失的处理规则</w:t>
      </w:r>
    </w:p>
    <w:p w14:paraId="299EA522">
      <w:pPr>
        <w:pStyle w:val="25"/>
        <w:spacing w:before="40" w:after="40" w:line="360" w:lineRule="auto"/>
        <w:ind w:firstLine="480"/>
      </w:pPr>
      <w:r>
        <w:rPr>
          <w:rFonts w:hint="eastAsia" w:ascii="Times New Roman" w:hAnsi="Times New Roman" w:eastAsia="宋体"/>
          <w:sz w:val="24"/>
        </w:rPr>
        <w:t>当</w:t>
      </w:r>
      <w:r>
        <w:rPr>
          <w:rFonts w:ascii="Times New Roman" w:hAnsi="Times New Roman" w:eastAsia="宋体"/>
          <w:sz w:val="24"/>
        </w:rPr>
        <w:t xml:space="preserve"> Risk Factors </w:t>
      </w:r>
      <w:r>
        <w:rPr>
          <w:rFonts w:hint="eastAsia" w:ascii="Times New Roman" w:hAnsi="Times New Roman" w:eastAsia="宋体"/>
          <w:sz w:val="24"/>
        </w:rPr>
        <w:t>章节无直接折旧风险信号时（如部分公司</w:t>
      </w:r>
      <w:r>
        <w:rPr>
          <w:rFonts w:ascii="Times New Roman" w:hAnsi="Times New Roman" w:eastAsia="宋体"/>
          <w:sz w:val="24"/>
        </w:rPr>
        <w:t xml:space="preserve"> impairment </w:t>
      </w:r>
      <w:r>
        <w:rPr>
          <w:rFonts w:hint="eastAsia" w:ascii="Times New Roman" w:hAnsi="Times New Roman" w:eastAsia="宋体"/>
          <w:sz w:val="24"/>
        </w:rPr>
        <w:t>仅出现在会计政策附注），标注必须明确声明“直接信号缺失”，改用间接信号（技术过时、竞争、供应链）推断，并在置信度中体现推断强度的下降。宁可标注“未发现”，不可虚构“应该有”——这是本体系与主观打分法的根本区别。</w:t>
      </w:r>
    </w:p>
    <w:bookmarkEnd w:id="63"/>
    <w:p w14:paraId="773A8846">
      <w:pPr>
        <w:pStyle w:val="5"/>
        <w:spacing w:before="240" w:after="120" w:line="360" w:lineRule="auto"/>
      </w:pPr>
      <w:bookmarkStart w:id="64" w:name="前提核验机制从区分相似变更到证实真实信息的双向验证"/>
      <w:r>
        <w:rPr>
          <w:rFonts w:ascii="Times New Roman" w:hAnsi="Times New Roman" w:eastAsia="黑体"/>
          <w:b/>
          <w:color w:val="003366"/>
          <w:sz w:val="24"/>
        </w:rPr>
        <w:t xml:space="preserve">3.3.5 </w:t>
      </w:r>
      <w:r>
        <w:rPr>
          <w:rFonts w:hint="eastAsia" w:ascii="Times New Roman" w:hAnsi="Times New Roman" w:eastAsia="黑体"/>
          <w:b/>
          <w:color w:val="003366"/>
          <w:sz w:val="24"/>
        </w:rPr>
        <w:t>前提核验机制：从区分相似变更到证实真实信息的双向验证</w:t>
      </w:r>
    </w:p>
    <w:p w14:paraId="60F0B754">
      <w:pPr>
        <w:pStyle w:val="25"/>
        <w:spacing w:before="40" w:after="40" w:line="360" w:lineRule="auto"/>
        <w:ind w:firstLine="480"/>
      </w:pPr>
      <w:r>
        <w:rPr>
          <w:rFonts w:hint="eastAsia" w:ascii="Times New Roman" w:hAnsi="Times New Roman" w:eastAsia="宋体"/>
          <w:sz w:val="24"/>
        </w:rPr>
        <w:t>本研究在</w:t>
      </w:r>
      <w:r>
        <w:rPr>
          <w:rFonts w:ascii="Times New Roman" w:hAnsi="Times New Roman" w:eastAsia="宋体"/>
          <w:sz w:val="24"/>
        </w:rPr>
        <w:t xml:space="preserve"> Oracle </w:t>
      </w:r>
      <w:r>
        <w:rPr>
          <w:rFonts w:hint="eastAsia" w:ascii="Times New Roman" w:hAnsi="Times New Roman" w:eastAsia="宋体"/>
          <w:sz w:val="24"/>
        </w:rPr>
        <w:t>标注过程中完成了一次完整的“前提核验”，其价值随面板扩样从单一证实扩展为双向验证（精准区分相似披露</w:t>
      </w:r>
      <w:r>
        <w:rPr>
          <w:rFonts w:ascii="Times New Roman" w:hAnsi="Times New Roman" w:eastAsia="宋体"/>
          <w:sz w:val="24"/>
        </w:rPr>
        <w:t xml:space="preserve"> + </w:t>
      </w:r>
      <w:r>
        <w:rPr>
          <w:rFonts w:hint="eastAsia" w:ascii="Times New Roman" w:hAnsi="Times New Roman" w:eastAsia="宋体"/>
          <w:sz w:val="24"/>
        </w:rPr>
        <w:t>逐字证实真实信息）。</w:t>
      </w:r>
    </w:p>
    <w:p w14:paraId="2E3C74F7">
      <w:pPr>
        <w:pStyle w:val="3"/>
        <w:spacing w:before="40" w:after="40" w:line="360" w:lineRule="auto"/>
        <w:ind w:firstLine="480"/>
      </w:pPr>
      <w:r>
        <w:rPr>
          <w:rFonts w:hint="eastAsia" w:ascii="Times New Roman" w:hAnsi="Times New Roman" w:eastAsia="宋体"/>
          <w:sz w:val="24"/>
        </w:rPr>
        <w:t>第一向：区分。</w:t>
      </w:r>
      <w:r>
        <w:rPr>
          <w:rFonts w:ascii="Times New Roman" w:hAnsi="Times New Roman" w:eastAsia="宋体"/>
          <w:sz w:val="24"/>
        </w:rPr>
        <w:t xml:space="preserve"> </w:t>
      </w:r>
      <w:r>
        <w:rPr>
          <w:rFonts w:hint="eastAsia" w:ascii="Times New Roman" w:hAnsi="Times New Roman" w:eastAsia="宋体"/>
          <w:sz w:val="24"/>
        </w:rPr>
        <w:t>市场上关于折旧年限延长的讨论存在口径混淆风险——部分</w:t>
      </w:r>
      <w:r>
        <w:rPr>
          <w:rFonts w:ascii="Times New Roman" w:hAnsi="Times New Roman" w:eastAsia="宋体"/>
          <w:sz w:val="24"/>
        </w:rPr>
        <w:t xml:space="preserve"> 5→8 </w:t>
      </w:r>
      <w:r>
        <w:rPr>
          <w:rFonts w:hint="eastAsia" w:ascii="Times New Roman" w:hAnsi="Times New Roman" w:eastAsia="宋体"/>
          <w:sz w:val="24"/>
        </w:rPr>
        <w:t>年变更（真身为</w:t>
      </w:r>
      <w:r>
        <w:rPr>
          <w:rFonts w:ascii="Times New Roman" w:hAnsi="Times New Roman" w:eastAsia="宋体"/>
          <w:sz w:val="24"/>
        </w:rPr>
        <w:t xml:space="preserve"> Intel </w:t>
      </w:r>
      <w:r>
        <w:rPr>
          <w:rFonts w:hint="eastAsia" w:ascii="Times New Roman" w:hAnsi="Times New Roman" w:eastAsia="宋体"/>
          <w:sz w:val="24"/>
        </w:rPr>
        <w:t>晶圆厂机器设备，见</w:t>
      </w:r>
      <w:r>
        <w:rPr>
          <w:rFonts w:ascii="Times New Roman" w:hAnsi="Times New Roman" w:eastAsia="宋体"/>
          <w:sz w:val="24"/>
        </w:rPr>
        <w:t xml:space="preserve"> </w:t>
      </w:r>
      <w:r>
        <w:rPr>
          <w:rFonts w:hint="eastAsia" w:ascii="Times New Roman" w:hAnsi="Times New Roman" w:eastAsia="宋体"/>
          <w:sz w:val="24"/>
        </w:rPr>
        <w:t>4.3.1）易与</w:t>
      </w:r>
      <w:r>
        <w:rPr>
          <w:rFonts w:ascii="Times New Roman" w:hAnsi="Times New Roman" w:eastAsia="宋体"/>
          <w:sz w:val="24"/>
        </w:rPr>
        <w:t xml:space="preserve"> Oracle </w:t>
      </w:r>
      <w:r>
        <w:rPr>
          <w:rFonts w:hint="eastAsia" w:ascii="Times New Roman" w:hAnsi="Times New Roman" w:eastAsia="宋体"/>
          <w:sz w:val="24"/>
        </w:rPr>
        <w:t>的</w:t>
      </w:r>
      <w:r>
        <w:rPr>
          <w:rFonts w:ascii="Times New Roman" w:hAnsi="Times New Roman" w:eastAsia="宋体"/>
          <w:sz w:val="24"/>
        </w:rPr>
        <w:t xml:space="preserve"> 5→6 </w:t>
      </w:r>
      <w:r>
        <w:rPr>
          <w:rFonts w:hint="eastAsia" w:ascii="Times New Roman" w:hAnsi="Times New Roman" w:eastAsia="宋体"/>
          <w:sz w:val="24"/>
        </w:rPr>
        <w:t>年服务器变更混为一谈。对</w:t>
      </w:r>
      <w:r>
        <w:rPr>
          <w:rFonts w:ascii="Times New Roman" w:hAnsi="Times New Roman" w:eastAsia="宋体"/>
          <w:sz w:val="24"/>
        </w:rPr>
        <w:t xml:space="preserve"> Oracle FY2024 10-K </w:t>
      </w:r>
      <w:r>
        <w:rPr>
          <w:rFonts w:hint="eastAsia" w:ascii="Times New Roman" w:hAnsi="Times New Roman" w:eastAsia="宋体"/>
          <w:sz w:val="24"/>
        </w:rPr>
        <w:t>全文检索的证据链核验表明其无任何</w:t>
      </w:r>
      <w:r>
        <w:rPr>
          <w:rFonts w:ascii="Times New Roman" w:hAnsi="Times New Roman" w:eastAsia="宋体"/>
          <w:sz w:val="24"/>
        </w:rPr>
        <w:t xml:space="preserve"> 5→8 </w:t>
      </w:r>
      <w:r>
        <w:rPr>
          <w:rFonts w:hint="eastAsia" w:ascii="Times New Roman" w:hAnsi="Times New Roman" w:eastAsia="宋体"/>
          <w:sz w:val="24"/>
        </w:rPr>
        <w:t>年折旧变更：eight</w:t>
      </w:r>
      <w:r>
        <w:rPr>
          <w:rFonts w:ascii="Times New Roman" w:hAnsi="Times New Roman" w:eastAsia="宋体"/>
          <w:sz w:val="24"/>
        </w:rPr>
        <w:t xml:space="preserve"> years </w:t>
      </w:r>
      <w:r>
        <w:rPr>
          <w:rFonts w:hint="eastAsia" w:ascii="Times New Roman" w:hAnsi="Times New Roman" w:eastAsia="宋体"/>
          <w:sz w:val="24"/>
        </w:rPr>
        <w:t>唯一命中为员工任期条款（第</w:t>
      </w:r>
      <w:r>
        <w:rPr>
          <w:rFonts w:ascii="Times New Roman" w:hAnsi="Times New Roman" w:eastAsia="宋体"/>
          <w:sz w:val="24"/>
        </w:rPr>
        <w:t xml:space="preserve"> 761 </w:t>
      </w:r>
      <w:r>
        <w:rPr>
          <w:rFonts w:hint="eastAsia" w:ascii="Times New Roman" w:hAnsi="Times New Roman" w:eastAsia="宋体"/>
          <w:sz w:val="24"/>
        </w:rPr>
        <w:t>行），FY2024</w:t>
      </w:r>
      <w:r>
        <w:rPr>
          <w:rFonts w:ascii="Times New Roman" w:hAnsi="Times New Roman" w:eastAsia="宋体"/>
          <w:sz w:val="24"/>
        </w:rPr>
        <w:t xml:space="preserve"> 10-K </w:t>
      </w:r>
      <w:r>
        <w:rPr>
          <w:rFonts w:hint="eastAsia" w:ascii="Times New Roman" w:hAnsi="Times New Roman" w:eastAsia="宋体"/>
          <w:sz w:val="24"/>
        </w:rPr>
        <w:t>仅披露了</w:t>
      </w:r>
      <w:r>
        <w:rPr>
          <w:rFonts w:ascii="Times New Roman" w:hAnsi="Times New Roman" w:eastAsia="宋体"/>
          <w:sz w:val="24"/>
        </w:rPr>
        <w:t xml:space="preserve"> FY2023 Q1 </w:t>
      </w:r>
      <w:r>
        <w:rPr>
          <w:rFonts w:hint="eastAsia" w:ascii="Times New Roman" w:hAnsi="Times New Roman" w:eastAsia="宋体"/>
          <w:sz w:val="24"/>
        </w:rPr>
        <w:t>将服务器年限从</w:t>
      </w:r>
      <w:r>
        <w:rPr>
          <w:rFonts w:ascii="Times New Roman" w:hAnsi="Times New Roman" w:eastAsia="宋体"/>
          <w:sz w:val="24"/>
        </w:rPr>
        <w:t xml:space="preserve"> 4 </w:t>
      </w:r>
      <w:r>
        <w:rPr>
          <w:rFonts w:hint="eastAsia" w:ascii="Times New Roman" w:hAnsi="Times New Roman" w:eastAsia="宋体"/>
          <w:sz w:val="24"/>
        </w:rPr>
        <w:t>年延长至</w:t>
      </w:r>
      <w:r>
        <w:rPr>
          <w:rFonts w:ascii="Times New Roman" w:hAnsi="Times New Roman" w:eastAsia="宋体"/>
          <w:sz w:val="24"/>
        </w:rPr>
        <w:t xml:space="preserve"> 5 </w:t>
      </w:r>
      <w:r>
        <w:rPr>
          <w:rFonts w:hint="eastAsia" w:ascii="Times New Roman" w:hAnsi="Times New Roman" w:eastAsia="宋体"/>
          <w:sz w:val="24"/>
        </w:rPr>
        <w:t>年、减少经营费用</w:t>
      </w:r>
      <w:r>
        <w:rPr>
          <w:rFonts w:ascii="Times New Roman" w:hAnsi="Times New Roman" w:eastAsia="宋体"/>
          <w:sz w:val="24"/>
        </w:rPr>
        <w:t xml:space="preserve"> </w:t>
      </w:r>
      <w:r>
        <w:rPr>
          <w:rFonts w:hint="eastAsia" w:ascii="Times New Roman" w:hAnsi="Times New Roman" w:eastAsia="宋体"/>
          <w:sz w:val="24"/>
        </w:rPr>
        <w:t>$434M（第</w:t>
      </w:r>
      <w:r>
        <w:rPr>
          <w:rFonts w:ascii="Times New Roman" w:hAnsi="Times New Roman" w:eastAsia="宋体"/>
          <w:sz w:val="24"/>
        </w:rPr>
        <w:t xml:space="preserve"> 7317 </w:t>
      </w:r>
      <w:r>
        <w:rPr>
          <w:rFonts w:hint="eastAsia" w:ascii="Times New Roman" w:hAnsi="Times New Roman" w:eastAsia="宋体"/>
          <w:sz w:val="24"/>
        </w:rPr>
        <w:t>行），到</w:t>
      </w:r>
      <w:r>
        <w:rPr>
          <w:rFonts w:ascii="Times New Roman" w:hAnsi="Times New Roman" w:eastAsia="宋体"/>
          <w:sz w:val="24"/>
        </w:rPr>
        <w:t xml:space="preserve"> FY2025 </w:t>
      </w:r>
      <w:r>
        <w:rPr>
          <w:rFonts w:hint="eastAsia" w:ascii="Times New Roman" w:hAnsi="Times New Roman" w:eastAsia="宋体"/>
          <w:sz w:val="24"/>
        </w:rPr>
        <w:t>才披露</w:t>
      </w:r>
      <w:r>
        <w:rPr>
          <w:rFonts w:ascii="Times New Roman" w:hAnsi="Times New Roman" w:eastAsia="宋体"/>
          <w:sz w:val="24"/>
        </w:rPr>
        <w:t xml:space="preserve"> 5→6 </w:t>
      </w:r>
      <w:r>
        <w:rPr>
          <w:rFonts w:hint="eastAsia" w:ascii="Times New Roman" w:hAnsi="Times New Roman" w:eastAsia="宋体"/>
          <w:sz w:val="24"/>
        </w:rPr>
        <w:t>年变更（4.4.1）。证据链方法的价值正在于精准区分这两类相似披露、把变更对象与年限一一对应，避免张冠李戴。</w:t>
      </w:r>
    </w:p>
    <w:p w14:paraId="47B87600">
      <w:pPr>
        <w:pStyle w:val="3"/>
        <w:spacing w:before="40" w:after="40" w:line="360" w:lineRule="auto"/>
        <w:ind w:firstLine="480"/>
      </w:pPr>
      <w:r>
        <w:rPr>
          <w:rFonts w:hint="eastAsia" w:ascii="Times New Roman" w:hAnsi="Times New Roman" w:eastAsia="宋体"/>
          <w:sz w:val="24"/>
        </w:rPr>
        <w:t>第二向：证实。</w:t>
      </w:r>
      <w:r>
        <w:rPr>
          <w:rFonts w:ascii="Times New Roman" w:hAnsi="Times New Roman" w:eastAsia="宋体"/>
          <w:sz w:val="24"/>
        </w:rPr>
        <w:t xml:space="preserve"> </w:t>
      </w:r>
      <w:r>
        <w:rPr>
          <w:rFonts w:hint="eastAsia" w:ascii="Times New Roman" w:hAnsi="Times New Roman" w:eastAsia="宋体"/>
          <w:sz w:val="24"/>
        </w:rPr>
        <w:t>市场上真实流传的说法是“Oracle</w:t>
      </w:r>
      <w:r>
        <w:rPr>
          <w:rFonts w:ascii="Times New Roman" w:hAnsi="Times New Roman" w:eastAsia="宋体"/>
          <w:sz w:val="24"/>
        </w:rPr>
        <w:t xml:space="preserve"> </w:t>
      </w:r>
      <w:r>
        <w:rPr>
          <w:rFonts w:hint="eastAsia" w:ascii="Times New Roman" w:hAnsi="Times New Roman" w:eastAsia="宋体"/>
          <w:sz w:val="24"/>
        </w:rPr>
        <w:t>将服务器折旧年限延长至</w:t>
      </w:r>
      <w:r>
        <w:rPr>
          <w:rFonts w:ascii="Times New Roman" w:hAnsi="Times New Roman" w:eastAsia="宋体"/>
          <w:sz w:val="24"/>
        </w:rPr>
        <w:t xml:space="preserve"> 6 </w:t>
      </w:r>
      <w:r>
        <w:rPr>
          <w:rFonts w:hint="eastAsia" w:ascii="Times New Roman" w:hAnsi="Times New Roman" w:eastAsia="宋体"/>
          <w:sz w:val="24"/>
        </w:rPr>
        <w:t>年”（界面新闻</w:t>
      </w:r>
      <w:r>
        <w:rPr>
          <w:rFonts w:ascii="Times New Roman" w:hAnsi="Times New Roman" w:eastAsia="宋体"/>
          <w:sz w:val="24"/>
        </w:rPr>
        <w:t xml:space="preserve"> 2025 </w:t>
      </w:r>
      <w:r>
        <w:rPr>
          <w:rFonts w:hint="eastAsia" w:ascii="Times New Roman" w:hAnsi="Times New Roman" w:eastAsia="宋体"/>
          <w:sz w:val="24"/>
        </w:rPr>
        <w:t>年底报道“甲骨文</w:t>
      </w:r>
      <w:r>
        <w:rPr>
          <w:rFonts w:ascii="Times New Roman" w:hAnsi="Times New Roman" w:eastAsia="宋体"/>
          <w:sz w:val="24"/>
        </w:rPr>
        <w:t xml:space="preserve"> 2024 </w:t>
      </w:r>
      <w:r>
        <w:rPr>
          <w:rFonts w:hint="eastAsia" w:ascii="Times New Roman" w:hAnsi="Times New Roman" w:eastAsia="宋体"/>
          <w:sz w:val="24"/>
        </w:rPr>
        <w:t>年将服务器使用寿命从五年延长到六年”；Burry</w:t>
      </w:r>
      <w:r>
        <w:rPr>
          <w:rFonts w:ascii="Times New Roman" w:hAnsi="Times New Roman" w:eastAsia="宋体"/>
          <w:sz w:val="24"/>
        </w:rPr>
        <w:t xml:space="preserve"> 2025-11-11 </w:t>
      </w:r>
      <w:r>
        <w:rPr>
          <w:rFonts w:hint="eastAsia" w:ascii="Times New Roman" w:hAnsi="Times New Roman" w:eastAsia="宋体"/>
          <w:sz w:val="24"/>
        </w:rPr>
        <w:t>公开点名</w:t>
      </w:r>
      <w:r>
        <w:rPr>
          <w:rFonts w:ascii="Times New Roman" w:hAnsi="Times New Roman" w:eastAsia="宋体"/>
          <w:sz w:val="24"/>
        </w:rPr>
        <w:t xml:space="preserve"> </w:t>
      </w:r>
      <w:r>
        <w:rPr>
          <w:rFonts w:hint="eastAsia" w:ascii="Times New Roman" w:hAnsi="Times New Roman" w:eastAsia="宋体"/>
          <w:sz w:val="24"/>
        </w:rPr>
        <w:t>Oracle）。扩样后的</w:t>
      </w:r>
      <w:r>
        <w:rPr>
          <w:rFonts w:ascii="Times New Roman" w:hAnsi="Times New Roman" w:eastAsia="宋体"/>
          <w:sz w:val="24"/>
        </w:rPr>
        <w:t xml:space="preserve"> FY2025 10-K </w:t>
      </w:r>
      <w:r>
        <w:rPr>
          <w:rFonts w:hint="eastAsia" w:ascii="Times New Roman" w:hAnsi="Times New Roman" w:eastAsia="宋体"/>
          <w:sz w:val="24"/>
        </w:rPr>
        <w:t>标注证实该说法为真：Oracle</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Note </w:t>
      </w:r>
      <w:r>
        <w:rPr>
          <w:rFonts w:hint="eastAsia" w:ascii="Times New Roman" w:hAnsi="Times New Roman" w:eastAsia="宋体"/>
          <w:sz w:val="24"/>
        </w:rPr>
        <w:t>1（第</w:t>
      </w:r>
      <w:r>
        <w:rPr>
          <w:rFonts w:ascii="Times New Roman" w:hAnsi="Times New Roman" w:eastAsia="宋体"/>
          <w:sz w:val="24"/>
        </w:rPr>
        <w:t xml:space="preserve"> 6755 </w:t>
      </w:r>
      <w:r>
        <w:rPr>
          <w:rFonts w:hint="eastAsia" w:ascii="Times New Roman" w:hAnsi="Times New Roman" w:eastAsia="宋体"/>
          <w:sz w:val="24"/>
        </w:rPr>
        <w:t>行）逐字披露“increased</w:t>
      </w:r>
      <w:r>
        <w:rPr>
          <w:rFonts w:ascii="Times New Roman" w:hAnsi="Times New Roman" w:eastAsia="宋体"/>
          <w:sz w:val="24"/>
        </w:rPr>
        <w:t xml:space="preserve"> the estimate of the useful lives from five years to six years, effective at the beginning of fiscal </w:t>
      </w:r>
      <w:r>
        <w:rPr>
          <w:rFonts w:hint="eastAsia" w:ascii="Times New Roman" w:hAnsi="Times New Roman" w:eastAsia="宋体"/>
          <w:sz w:val="24"/>
        </w:rPr>
        <w:t>2025”，减少经营费用</w:t>
      </w:r>
      <w:r>
        <w:rPr>
          <w:rFonts w:ascii="Times New Roman" w:hAnsi="Times New Roman" w:eastAsia="宋体"/>
          <w:sz w:val="24"/>
        </w:rPr>
        <w:t xml:space="preserve"> </w:t>
      </w:r>
      <w:r>
        <w:rPr>
          <w:rFonts w:hint="eastAsia" w:ascii="Times New Roman" w:hAnsi="Times New Roman" w:eastAsia="宋体"/>
          <w:sz w:val="24"/>
        </w:rPr>
        <w:t>$733M、增厚净利</w:t>
      </w:r>
      <w:r>
        <w:rPr>
          <w:rFonts w:ascii="Times New Roman" w:hAnsi="Times New Roman" w:eastAsia="宋体"/>
          <w:sz w:val="24"/>
        </w:rPr>
        <w:t xml:space="preserve"> </w:t>
      </w:r>
      <w:r>
        <w:rPr>
          <w:rFonts w:hint="eastAsia" w:ascii="Times New Roman" w:hAnsi="Times New Roman" w:eastAsia="宋体"/>
          <w:sz w:val="24"/>
        </w:rPr>
        <w:t>$573M（详见</w:t>
      </w:r>
      <w:r>
        <w:rPr>
          <w:rFonts w:ascii="Times New Roman" w:hAnsi="Times New Roman" w:eastAsia="宋体"/>
          <w:sz w:val="24"/>
        </w:rPr>
        <w:t xml:space="preserve"> </w:t>
      </w:r>
      <w:r>
        <w:rPr>
          <w:rFonts w:hint="eastAsia" w:ascii="Times New Roman" w:hAnsi="Times New Roman" w:eastAsia="宋体"/>
          <w:sz w:val="24"/>
        </w:rPr>
        <w:t>4.4.1）。</w:t>
      </w:r>
    </w:p>
    <w:p w14:paraId="36D3ABE6">
      <w:pPr>
        <w:pStyle w:val="3"/>
        <w:spacing w:before="40" w:after="40" w:line="360" w:lineRule="auto"/>
        <w:ind w:firstLine="480"/>
      </w:pPr>
      <w:r>
        <w:rPr>
          <w:rFonts w:hint="eastAsia" w:ascii="Times New Roman" w:hAnsi="Times New Roman" w:eastAsia="宋体"/>
          <w:sz w:val="24"/>
        </w:rPr>
        <w:t>结论由此升级：证据链方法既能精准区分易混淆的同类披露（如</w:t>
      </w:r>
      <w:r>
        <w:rPr>
          <w:rFonts w:ascii="Times New Roman" w:hAnsi="Times New Roman" w:eastAsia="宋体"/>
          <w:sz w:val="24"/>
        </w:rPr>
        <w:t xml:space="preserve"> Intel 5→8 </w:t>
      </w:r>
      <w:r>
        <w:rPr>
          <w:rFonts w:hint="eastAsia" w:ascii="Times New Roman" w:hAnsi="Times New Roman" w:eastAsia="宋体"/>
          <w:sz w:val="24"/>
        </w:rPr>
        <w:t>年与</w:t>
      </w:r>
      <w:r>
        <w:rPr>
          <w:rFonts w:ascii="Times New Roman" w:hAnsi="Times New Roman" w:eastAsia="宋体"/>
          <w:sz w:val="24"/>
        </w:rPr>
        <w:t xml:space="preserve"> Oracle 5→6 </w:t>
      </w:r>
      <w:r>
        <w:rPr>
          <w:rFonts w:hint="eastAsia" w:ascii="Times New Roman" w:hAnsi="Times New Roman" w:eastAsia="宋体"/>
          <w:sz w:val="24"/>
        </w:rPr>
        <w:t>年），也能证实真实市场信息并比公开讨论更早完成逐字量化。在信息噪声极高的</w:t>
      </w:r>
      <w:r>
        <w:rPr>
          <w:rFonts w:ascii="Times New Roman" w:hAnsi="Times New Roman" w:eastAsia="宋体"/>
          <w:sz w:val="24"/>
        </w:rPr>
        <w:t xml:space="preserve"> AI </w:t>
      </w:r>
      <w:r>
        <w:rPr>
          <w:rFonts w:hint="eastAsia" w:ascii="Times New Roman" w:hAnsi="Times New Roman" w:eastAsia="宋体"/>
          <w:sz w:val="24"/>
        </w:rPr>
        <w:t>泡沫叙事环境中，“回到原始披露文件”本身就是最有价值的研究纪律，也是本研究论证严谨性的直接体现。</w:t>
      </w:r>
    </w:p>
    <w:bookmarkEnd w:id="59"/>
    <w:bookmarkEnd w:id="64"/>
    <w:p w14:paraId="459ECA6E">
      <w:pPr>
        <w:pStyle w:val="5"/>
        <w:spacing w:before="240" w:after="120" w:line="360" w:lineRule="auto"/>
      </w:pPr>
      <w:r>
        <w:rPr>
          <w:rFonts w:ascii="Times New Roman" w:hAnsi="Times New Roman" w:eastAsia="黑体"/>
          <w:b/>
          <w:color w:val="003366"/>
          <w:sz w:val="24"/>
        </w:rPr>
        <w:t>3.3.6 结构化章节提取机制</w:t>
      </w:r>
    </w:p>
    <w:p w14:paraId="408F3D5E">
      <w:pPr>
        <w:pStyle w:val="25"/>
        <w:spacing w:before="40" w:after="40" w:line="360" w:lineRule="auto"/>
        <w:ind w:firstLine="480"/>
      </w:pPr>
      <w:r>
        <w:rPr>
          <w:rFonts w:hint="eastAsia" w:ascii="Times New Roman" w:hAnsi="Times New Roman" w:eastAsia="宋体"/>
          <w:sz w:val="24"/>
        </w:rPr>
        <w:t>10-K 年报具有高度标准化的章节结构（Item 1A Risk Factors、Item 7 MD&amp;A、Note 1 会计政策、Note 6 PP&amp;E 附注等）。单纯依赖关键词矩阵的“命中即提取”逻辑存在三方面结构性盲区：① 关键词未命中但章节本身即为高价值信息源；② 财务数据表格（td/th 标签）被段落级提取遗漏；③ 跨段落连贯信息（如跨年折旧费用趋势）被碎片化。结构化章节提取机制针对这三类盲区设计。</w:t>
      </w:r>
    </w:p>
    <w:p w14:paraId="609B6BB9">
      <w:pPr>
        <w:pStyle w:val="6"/>
        <w:spacing w:before="240" w:after="120" w:line="360" w:lineRule="auto"/>
        <w:rPr>
          <w:b w:val="0"/>
          <w:bCs/>
          <w:i w:val="0"/>
          <w:iCs w:val="0"/>
        </w:rPr>
      </w:pPr>
      <w:r>
        <w:rPr>
          <w:rFonts w:ascii="Times New Roman" w:hAnsi="Times New Roman" w:eastAsia="黑体"/>
          <w:b w:val="0"/>
          <w:bCs/>
          <w:i w:val="0"/>
          <w:iCs w:val="0"/>
          <w:color w:val="003366"/>
          <w:sz w:val="24"/>
        </w:rPr>
        <w:t>（一）提取策略</w:t>
      </w:r>
    </w:p>
    <w:p w14:paraId="62F911AB">
      <w:pPr>
        <w:pStyle w:val="3"/>
        <w:spacing w:before="40" w:after="40" w:line="360" w:lineRule="auto"/>
        <w:ind w:firstLine="480"/>
      </w:pPr>
      <w:r>
        <w:rPr>
          <w:rFonts w:hint="eastAsia" w:ascii="Times New Roman" w:hAnsi="Times New Roman" w:eastAsia="宋体"/>
          <w:sz w:val="24"/>
        </w:rPr>
        <w:t>① 章节定位：基于正则表达式匹配章节标题（如“NOTE 1. SUMMARY OF SIGNIFICANT ACCOUNTING POLICIES”），定位章节起始位置；② 边界判定：自章节起始点向下提取，至下一个主要章节起始点或预设字符上限（先到者为准）；③ 内容去噪：移除 XBRL 隐藏标签（ix:hidden）、script/style 标签与 display:none 元素；④ 表格补充：提取 &lt;td&gt;/&lt;th&gt; 标签文本，补齐财务数据表格。</w:t>
      </w:r>
    </w:p>
    <w:p w14:paraId="4D24D299">
      <w:pPr>
        <w:pStyle w:val="6"/>
        <w:spacing w:before="240" w:after="120" w:line="360" w:lineRule="auto"/>
        <w:rPr>
          <w:b w:val="0"/>
          <w:bCs/>
          <w:i w:val="0"/>
          <w:iCs w:val="0"/>
        </w:rPr>
      </w:pPr>
      <w:r>
        <w:rPr>
          <w:rFonts w:ascii="Times New Roman" w:hAnsi="Times New Roman" w:eastAsia="黑体"/>
          <w:b w:val="0"/>
          <w:bCs/>
          <w:i w:val="0"/>
          <w:iCs w:val="0"/>
          <w:color w:val="003366"/>
          <w:sz w:val="24"/>
        </w:rPr>
        <w:t>（二）提取优先级与上限</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4741C2A0">
        <w:tblPrEx>
          <w:tblCellMar>
            <w:top w:w="0" w:type="dxa"/>
            <w:left w:w="108" w:type="dxa"/>
            <w:bottom w:w="0" w:type="dxa"/>
            <w:right w:w="108" w:type="dxa"/>
          </w:tblCellMar>
        </w:tblPrEx>
        <w:tc>
          <w:tcPr>
            <w:tcW w:w="1250" w:type="pct"/>
          </w:tcPr>
          <w:p w14:paraId="46141FE2">
            <w:pPr>
              <w:pStyle w:val="26"/>
              <w:spacing w:before="20" w:after="20" w:line="276" w:lineRule="auto"/>
            </w:pPr>
            <w:r>
              <w:rPr>
                <w:rFonts w:hint="eastAsia" w:ascii="Times New Roman" w:hAnsi="Times New Roman" w:eastAsia="宋体"/>
                <w:b/>
                <w:bCs/>
                <w:sz w:val="20"/>
              </w:rPr>
              <w:t>章节类型</w:t>
            </w:r>
          </w:p>
        </w:tc>
        <w:tc>
          <w:tcPr>
            <w:tcW w:w="1250" w:type="pct"/>
          </w:tcPr>
          <w:p w14:paraId="499EEC37">
            <w:pPr>
              <w:pStyle w:val="26"/>
              <w:spacing w:before="20" w:after="20" w:line="276" w:lineRule="auto"/>
            </w:pPr>
            <w:r>
              <w:rPr>
                <w:rFonts w:hint="eastAsia" w:ascii="Times New Roman" w:hAnsi="Times New Roman" w:eastAsia="宋体"/>
                <w:b/>
                <w:bCs/>
                <w:sz w:val="20"/>
              </w:rPr>
              <w:t>提取上限</w:t>
            </w:r>
          </w:p>
        </w:tc>
        <w:tc>
          <w:tcPr>
            <w:tcW w:w="1250" w:type="pct"/>
          </w:tcPr>
          <w:p w14:paraId="16AA6499">
            <w:pPr>
              <w:pStyle w:val="26"/>
              <w:spacing w:before="20" w:after="20" w:line="276" w:lineRule="auto"/>
            </w:pPr>
            <w:r>
              <w:rPr>
                <w:rFonts w:hint="eastAsia" w:ascii="Times New Roman" w:hAnsi="Times New Roman" w:eastAsia="宋体"/>
                <w:b/>
                <w:bCs/>
                <w:sz w:val="20"/>
              </w:rPr>
              <w:t>信息价值</w:t>
            </w:r>
          </w:p>
        </w:tc>
        <w:tc>
          <w:tcPr>
            <w:tcW w:w="1250" w:type="pct"/>
          </w:tcPr>
          <w:p w14:paraId="2920C4AC">
            <w:pPr>
              <w:pStyle w:val="26"/>
              <w:spacing w:before="20" w:after="20" w:line="276" w:lineRule="auto"/>
            </w:pPr>
            <w:r>
              <w:rPr>
                <w:rFonts w:hint="eastAsia" w:ascii="Times New Roman" w:hAnsi="Times New Roman" w:eastAsia="宋体"/>
                <w:b/>
                <w:bCs/>
                <w:sz w:val="20"/>
              </w:rPr>
              <w:t>用途</w:t>
            </w:r>
          </w:p>
        </w:tc>
      </w:tr>
      <w:tr w14:paraId="17E3CCDF">
        <w:tblPrEx>
          <w:tblCellMar>
            <w:top w:w="0" w:type="dxa"/>
            <w:left w:w="108" w:type="dxa"/>
            <w:bottom w:w="0" w:type="dxa"/>
            <w:right w:w="108" w:type="dxa"/>
          </w:tblCellMar>
        </w:tblPrEx>
        <w:tc>
          <w:tcPr>
            <w:tcW w:w="1250" w:type="pct"/>
          </w:tcPr>
          <w:p w14:paraId="27D61117">
            <w:pPr>
              <w:pStyle w:val="26"/>
              <w:spacing w:before="20" w:after="20" w:line="276" w:lineRule="auto"/>
            </w:pPr>
            <w:r>
              <w:rPr>
                <w:rFonts w:ascii="Times New Roman" w:hAnsi="Times New Roman" w:eastAsia="宋体"/>
                <w:sz w:val="20"/>
              </w:rPr>
              <w:t>Note 1 - 会计政策</w:t>
            </w:r>
          </w:p>
        </w:tc>
        <w:tc>
          <w:tcPr>
            <w:tcW w:w="1250" w:type="pct"/>
          </w:tcPr>
          <w:p w14:paraId="369377F6">
            <w:pPr>
              <w:pStyle w:val="26"/>
              <w:spacing w:before="20" w:after="20" w:line="276" w:lineRule="auto"/>
            </w:pPr>
            <w:r>
              <w:rPr>
                <w:rFonts w:ascii="Times New Roman" w:hAnsi="Times New Roman" w:eastAsia="宋体"/>
                <w:sz w:val="20"/>
              </w:rPr>
              <w:t>8,000字符</w:t>
            </w:r>
          </w:p>
        </w:tc>
        <w:tc>
          <w:tcPr>
            <w:tcW w:w="1250" w:type="pct"/>
          </w:tcPr>
          <w:p w14:paraId="62C8A8C9">
            <w:pPr>
              <w:pStyle w:val="26"/>
              <w:spacing w:before="20" w:after="20" w:line="276" w:lineRule="auto"/>
            </w:pPr>
            <w:r>
              <w:rPr>
                <w:rFonts w:ascii="Times New Roman" w:hAnsi="Times New Roman" w:eastAsia="宋体"/>
                <w:sz w:val="20"/>
              </w:rPr>
              <w:t>最高</w:t>
            </w:r>
          </w:p>
        </w:tc>
        <w:tc>
          <w:tcPr>
            <w:tcW w:w="1250" w:type="pct"/>
          </w:tcPr>
          <w:p w14:paraId="6EC320C5">
            <w:pPr>
              <w:pStyle w:val="26"/>
              <w:spacing w:before="20" w:after="20" w:line="276" w:lineRule="auto"/>
            </w:pPr>
            <w:r>
              <w:rPr>
                <w:rFonts w:ascii="Times New Roman" w:hAnsi="Times New Roman" w:eastAsia="宋体"/>
                <w:sz w:val="20"/>
              </w:rPr>
              <w:t>D1年限、D2变更方法</w:t>
            </w:r>
          </w:p>
        </w:tc>
      </w:tr>
      <w:tr w14:paraId="4174DD98">
        <w:tblPrEx>
          <w:tblCellMar>
            <w:top w:w="0" w:type="dxa"/>
            <w:left w:w="108" w:type="dxa"/>
            <w:bottom w:w="0" w:type="dxa"/>
            <w:right w:w="108" w:type="dxa"/>
          </w:tblCellMar>
        </w:tblPrEx>
        <w:tc>
          <w:tcPr>
            <w:tcW w:w="1250" w:type="pct"/>
          </w:tcPr>
          <w:p w14:paraId="3D3A8282">
            <w:pPr>
              <w:pStyle w:val="26"/>
              <w:spacing w:before="20" w:after="20" w:line="276" w:lineRule="auto"/>
            </w:pPr>
            <w:r>
              <w:rPr>
                <w:rFonts w:ascii="Times New Roman" w:hAnsi="Times New Roman" w:eastAsia="宋体"/>
                <w:sz w:val="20"/>
              </w:rPr>
              <w:t>Note 4/6 - PP&amp;E明细</w:t>
            </w:r>
          </w:p>
        </w:tc>
        <w:tc>
          <w:tcPr>
            <w:tcW w:w="1250" w:type="pct"/>
          </w:tcPr>
          <w:p w14:paraId="1C3C25E4">
            <w:pPr>
              <w:pStyle w:val="26"/>
              <w:spacing w:before="20" w:after="20" w:line="276" w:lineRule="auto"/>
            </w:pPr>
            <w:r>
              <w:rPr>
                <w:rFonts w:ascii="Times New Roman" w:hAnsi="Times New Roman" w:eastAsia="宋体"/>
                <w:sz w:val="20"/>
              </w:rPr>
              <w:t>6,000字符</w:t>
            </w:r>
          </w:p>
        </w:tc>
        <w:tc>
          <w:tcPr>
            <w:tcW w:w="1250" w:type="pct"/>
          </w:tcPr>
          <w:p w14:paraId="5C612D3E">
            <w:pPr>
              <w:pStyle w:val="26"/>
              <w:spacing w:before="20" w:after="20" w:line="276" w:lineRule="auto"/>
            </w:pPr>
            <w:r>
              <w:rPr>
                <w:rFonts w:ascii="Times New Roman" w:hAnsi="Times New Roman" w:eastAsia="宋体"/>
                <w:sz w:val="20"/>
              </w:rPr>
              <w:t>最高</w:t>
            </w:r>
          </w:p>
        </w:tc>
        <w:tc>
          <w:tcPr>
            <w:tcW w:w="1250" w:type="pct"/>
          </w:tcPr>
          <w:p w14:paraId="45F90EB0">
            <w:pPr>
              <w:pStyle w:val="26"/>
              <w:spacing w:before="20" w:after="20" w:line="276" w:lineRule="auto"/>
            </w:pPr>
            <w:r>
              <w:rPr>
                <w:rFonts w:ascii="Times New Roman" w:hAnsi="Times New Roman" w:eastAsia="宋体"/>
                <w:sz w:val="20"/>
              </w:rPr>
              <w:t>D1资产类型、D4 CAPEX</w:t>
            </w:r>
          </w:p>
        </w:tc>
      </w:tr>
      <w:tr w14:paraId="61A190E2">
        <w:tblPrEx>
          <w:tblCellMar>
            <w:top w:w="0" w:type="dxa"/>
            <w:left w:w="108" w:type="dxa"/>
            <w:bottom w:w="0" w:type="dxa"/>
            <w:right w:w="108" w:type="dxa"/>
          </w:tblCellMar>
        </w:tblPrEx>
        <w:tc>
          <w:tcPr>
            <w:tcW w:w="1250" w:type="pct"/>
          </w:tcPr>
          <w:p w14:paraId="5479BEB9">
            <w:pPr>
              <w:pStyle w:val="26"/>
              <w:spacing w:before="20" w:after="20" w:line="276" w:lineRule="auto"/>
            </w:pPr>
            <w:r>
              <w:rPr>
                <w:rFonts w:ascii="Times New Roman" w:hAnsi="Times New Roman" w:eastAsia="宋体"/>
                <w:sz w:val="20"/>
              </w:rPr>
              <w:t>Item 1A - 风险因素</w:t>
            </w:r>
          </w:p>
        </w:tc>
        <w:tc>
          <w:tcPr>
            <w:tcW w:w="1250" w:type="pct"/>
          </w:tcPr>
          <w:p w14:paraId="05D26771">
            <w:pPr>
              <w:pStyle w:val="26"/>
              <w:spacing w:before="20" w:after="20" w:line="276" w:lineRule="auto"/>
            </w:pPr>
            <w:r>
              <w:rPr>
                <w:rFonts w:ascii="Times New Roman" w:hAnsi="Times New Roman" w:eastAsia="宋体"/>
                <w:sz w:val="20"/>
              </w:rPr>
              <w:t>10,000字符</w:t>
            </w:r>
          </w:p>
        </w:tc>
        <w:tc>
          <w:tcPr>
            <w:tcW w:w="1250" w:type="pct"/>
          </w:tcPr>
          <w:p w14:paraId="3619A016">
            <w:pPr>
              <w:pStyle w:val="26"/>
              <w:spacing w:before="20" w:after="20" w:line="276" w:lineRule="auto"/>
            </w:pPr>
            <w:r>
              <w:rPr>
                <w:rFonts w:ascii="Times New Roman" w:hAnsi="Times New Roman" w:eastAsia="宋体"/>
                <w:sz w:val="20"/>
              </w:rPr>
              <w:t>高</w:t>
            </w:r>
          </w:p>
        </w:tc>
        <w:tc>
          <w:tcPr>
            <w:tcW w:w="1250" w:type="pct"/>
          </w:tcPr>
          <w:p w14:paraId="3F5ADEA9">
            <w:pPr>
              <w:pStyle w:val="26"/>
              <w:spacing w:before="20" w:after="20" w:line="276" w:lineRule="auto"/>
            </w:pPr>
            <w:r>
              <w:rPr>
                <w:rFonts w:ascii="Times New Roman" w:hAnsi="Times New Roman" w:eastAsia="宋体"/>
                <w:sz w:val="20"/>
              </w:rPr>
              <w:t>D3减值信号、D5技术替代</w:t>
            </w:r>
          </w:p>
        </w:tc>
      </w:tr>
      <w:tr w14:paraId="24459853">
        <w:tblPrEx>
          <w:tblCellMar>
            <w:top w:w="0" w:type="dxa"/>
            <w:left w:w="108" w:type="dxa"/>
            <w:bottom w:w="0" w:type="dxa"/>
            <w:right w:w="108" w:type="dxa"/>
          </w:tblCellMar>
        </w:tblPrEx>
        <w:tc>
          <w:tcPr>
            <w:tcW w:w="1250" w:type="pct"/>
          </w:tcPr>
          <w:p w14:paraId="23873A75">
            <w:pPr>
              <w:pStyle w:val="26"/>
              <w:spacing w:before="20" w:after="20" w:line="276" w:lineRule="auto"/>
            </w:pPr>
            <w:r>
              <w:rPr>
                <w:rFonts w:ascii="Times New Roman" w:hAnsi="Times New Roman" w:eastAsia="宋体"/>
                <w:sz w:val="20"/>
              </w:rPr>
              <w:t>Item 7 - MD&amp;A</w:t>
            </w:r>
          </w:p>
        </w:tc>
        <w:tc>
          <w:tcPr>
            <w:tcW w:w="1250" w:type="pct"/>
          </w:tcPr>
          <w:p w14:paraId="0189D76A">
            <w:pPr>
              <w:pStyle w:val="26"/>
              <w:spacing w:before="20" w:after="20" w:line="276" w:lineRule="auto"/>
            </w:pPr>
            <w:r>
              <w:rPr>
                <w:rFonts w:ascii="Times New Roman" w:hAnsi="Times New Roman" w:eastAsia="宋体"/>
                <w:sz w:val="20"/>
              </w:rPr>
              <w:t>10,000字符</w:t>
            </w:r>
          </w:p>
        </w:tc>
        <w:tc>
          <w:tcPr>
            <w:tcW w:w="1250" w:type="pct"/>
          </w:tcPr>
          <w:p w14:paraId="37A85186">
            <w:pPr>
              <w:pStyle w:val="26"/>
              <w:spacing w:before="20" w:after="20" w:line="276" w:lineRule="auto"/>
            </w:pPr>
            <w:r>
              <w:rPr>
                <w:rFonts w:ascii="Times New Roman" w:hAnsi="Times New Roman" w:eastAsia="宋体"/>
                <w:sz w:val="20"/>
              </w:rPr>
              <w:t>高</w:t>
            </w:r>
          </w:p>
        </w:tc>
        <w:tc>
          <w:tcPr>
            <w:tcW w:w="1250" w:type="pct"/>
          </w:tcPr>
          <w:p w14:paraId="0EA2B186">
            <w:pPr>
              <w:pStyle w:val="26"/>
              <w:spacing w:before="20" w:after="20" w:line="276" w:lineRule="auto"/>
            </w:pPr>
            <w:r>
              <w:rPr>
                <w:rFonts w:ascii="Times New Roman" w:hAnsi="Times New Roman" w:eastAsia="宋体"/>
                <w:sz w:val="20"/>
              </w:rPr>
              <w:t>D4 CAPEX讨论、毛利率分析</w:t>
            </w:r>
          </w:p>
        </w:tc>
      </w:tr>
    </w:tbl>
    <w:p w14:paraId="2ED64B74">
      <w:pPr>
        <w:pStyle w:val="5"/>
        <w:spacing w:before="240" w:after="120" w:line="360" w:lineRule="auto"/>
      </w:pPr>
      <w:r>
        <w:rPr>
          <w:rFonts w:ascii="Times New Roman" w:hAnsi="Times New Roman" w:eastAsia="黑体"/>
          <w:b/>
          <w:color w:val="003366"/>
          <w:sz w:val="24"/>
        </w:rPr>
        <w:t>3.3.7 MUST_INCLUDE 强制注入模式</w:t>
      </w:r>
    </w:p>
    <w:p w14:paraId="48C6DDF5">
      <w:pPr>
        <w:pStyle w:val="25"/>
        <w:spacing w:before="40" w:after="40" w:line="360" w:lineRule="auto"/>
        <w:ind w:firstLine="480"/>
      </w:pPr>
      <w:r>
        <w:rPr>
          <w:rFonts w:hint="eastAsia" w:ascii="Times New Roman" w:hAnsi="Times New Roman" w:eastAsia="宋体"/>
          <w:sz w:val="24"/>
        </w:rPr>
        <w:t>关键词矩阵的固有局限是“未命中即遗漏”。强制注入机制规定：即使段落未命中任何关键词，只要匹配预设的高价值折旧指纹模式，即强制标记为候选段落并送入大模型分析。其设计哲学是“宁可多送、不可漏送”——大模型的上下文窗口足以消化冗余信息，而遗漏关键信息将导致评分系统性偏低。</w:t>
      </w:r>
    </w:p>
    <w:p w14:paraId="1DBC973F">
      <w:pPr>
        <w:pStyle w:val="6"/>
        <w:spacing w:before="240" w:after="120" w:line="360" w:lineRule="auto"/>
        <w:rPr>
          <w:b w:val="0"/>
          <w:bCs/>
          <w:i w:val="0"/>
          <w:iCs w:val="0"/>
        </w:rPr>
      </w:pPr>
      <w:r>
        <w:rPr>
          <w:rFonts w:ascii="Times New Roman" w:hAnsi="Times New Roman" w:eastAsia="黑体"/>
          <w:b w:val="0"/>
          <w:bCs/>
          <w:i w:val="0"/>
          <w:iCs w:val="0"/>
          <w:color w:val="003366"/>
          <w:sz w:val="24"/>
        </w:rPr>
        <w:t>（一）指纹模式分类</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5C87125F">
        <w:tblPrEx>
          <w:tblCellMar>
            <w:top w:w="0" w:type="dxa"/>
            <w:left w:w="108" w:type="dxa"/>
            <w:bottom w:w="0" w:type="dxa"/>
            <w:right w:w="108" w:type="dxa"/>
          </w:tblCellMar>
        </w:tblPrEx>
        <w:tc>
          <w:tcPr>
            <w:tcW w:w="1666" w:type="pct"/>
          </w:tcPr>
          <w:p w14:paraId="6D8E948E">
            <w:pPr>
              <w:pStyle w:val="26"/>
              <w:spacing w:before="20" w:after="20" w:line="276" w:lineRule="auto"/>
            </w:pPr>
            <w:r>
              <w:rPr>
                <w:rFonts w:hint="eastAsia" w:ascii="Times New Roman" w:hAnsi="Times New Roman" w:eastAsia="宋体"/>
                <w:b/>
                <w:bCs/>
                <w:sz w:val="20"/>
              </w:rPr>
              <w:t>指纹类别</w:t>
            </w:r>
          </w:p>
        </w:tc>
        <w:tc>
          <w:tcPr>
            <w:tcW w:w="1666" w:type="pct"/>
          </w:tcPr>
          <w:p w14:paraId="2F636504">
            <w:pPr>
              <w:pStyle w:val="26"/>
              <w:spacing w:before="20" w:after="20" w:line="276" w:lineRule="auto"/>
            </w:pPr>
            <w:r>
              <w:rPr>
                <w:rFonts w:hint="eastAsia" w:ascii="Times New Roman" w:hAnsi="Times New Roman" w:eastAsia="宋体"/>
                <w:b/>
                <w:bCs/>
                <w:sz w:val="20"/>
              </w:rPr>
              <w:t>示例</w:t>
            </w:r>
          </w:p>
        </w:tc>
        <w:tc>
          <w:tcPr>
            <w:tcW w:w="1666" w:type="pct"/>
          </w:tcPr>
          <w:p w14:paraId="1BE243FA">
            <w:pPr>
              <w:pStyle w:val="26"/>
              <w:spacing w:before="20" w:after="20" w:line="276" w:lineRule="auto"/>
            </w:pPr>
            <w:r>
              <w:rPr>
                <w:rFonts w:hint="eastAsia" w:ascii="Times New Roman" w:hAnsi="Times New Roman" w:eastAsia="宋体"/>
                <w:b/>
                <w:bCs/>
                <w:sz w:val="20"/>
              </w:rPr>
              <w:t>评分维度</w:t>
            </w:r>
          </w:p>
        </w:tc>
      </w:tr>
      <w:tr w14:paraId="0B12896A">
        <w:tblPrEx>
          <w:tblCellMar>
            <w:top w:w="0" w:type="dxa"/>
            <w:left w:w="108" w:type="dxa"/>
            <w:bottom w:w="0" w:type="dxa"/>
            <w:right w:w="108" w:type="dxa"/>
          </w:tblCellMar>
        </w:tblPrEx>
        <w:tc>
          <w:tcPr>
            <w:tcW w:w="1666" w:type="pct"/>
          </w:tcPr>
          <w:p w14:paraId="71FC3363">
            <w:pPr>
              <w:pStyle w:val="26"/>
              <w:spacing w:before="20" w:after="20" w:line="276" w:lineRule="auto"/>
            </w:pPr>
            <w:r>
              <w:rPr>
                <w:rFonts w:ascii="Times New Roman" w:hAnsi="Times New Roman" w:eastAsia="宋体"/>
                <w:sz w:val="20"/>
              </w:rPr>
              <w:t>年限指纹</w:t>
            </w:r>
          </w:p>
        </w:tc>
        <w:tc>
          <w:tcPr>
            <w:tcW w:w="1666" w:type="pct"/>
          </w:tcPr>
          <w:p w14:paraId="017331EA">
            <w:pPr>
              <w:pStyle w:val="26"/>
              <w:spacing w:before="20" w:after="20" w:line="276" w:lineRule="auto"/>
            </w:pPr>
            <w:r>
              <w:rPr>
                <w:rFonts w:ascii="Times New Roman" w:hAnsi="Times New Roman" w:eastAsia="宋体"/>
                <w:sz w:val="20"/>
              </w:rPr>
              <w:t>"servers ... 5 to 6 years"</w:t>
            </w:r>
          </w:p>
        </w:tc>
        <w:tc>
          <w:tcPr>
            <w:tcW w:w="1666" w:type="pct"/>
          </w:tcPr>
          <w:p w14:paraId="7259F716">
            <w:pPr>
              <w:pStyle w:val="26"/>
              <w:spacing w:before="20" w:after="20" w:line="276" w:lineRule="auto"/>
            </w:pPr>
            <w:r>
              <w:rPr>
                <w:rFonts w:ascii="Times New Roman" w:hAnsi="Times New Roman" w:eastAsia="宋体"/>
                <w:sz w:val="20"/>
              </w:rPr>
              <w:t>D1, D2</w:t>
            </w:r>
          </w:p>
        </w:tc>
      </w:tr>
      <w:tr w14:paraId="089351D7">
        <w:tblPrEx>
          <w:tblCellMar>
            <w:top w:w="0" w:type="dxa"/>
            <w:left w:w="108" w:type="dxa"/>
            <w:bottom w:w="0" w:type="dxa"/>
            <w:right w:w="108" w:type="dxa"/>
          </w:tblCellMar>
        </w:tblPrEx>
        <w:tc>
          <w:tcPr>
            <w:tcW w:w="1666" w:type="pct"/>
          </w:tcPr>
          <w:p w14:paraId="034C3654">
            <w:pPr>
              <w:pStyle w:val="26"/>
              <w:spacing w:before="20" w:after="20" w:line="276" w:lineRule="auto"/>
            </w:pPr>
            <w:r>
              <w:rPr>
                <w:rFonts w:ascii="Times New Roman" w:hAnsi="Times New Roman" w:eastAsia="宋体"/>
                <w:sz w:val="20"/>
              </w:rPr>
              <w:t>迭代节奏指纹</w:t>
            </w:r>
          </w:p>
        </w:tc>
        <w:tc>
          <w:tcPr>
            <w:tcW w:w="1666" w:type="pct"/>
          </w:tcPr>
          <w:p w14:paraId="01F88C10">
            <w:pPr>
              <w:pStyle w:val="26"/>
              <w:spacing w:before="20" w:after="20" w:line="276" w:lineRule="auto"/>
            </w:pPr>
            <w:r>
              <w:rPr>
                <w:rFonts w:ascii="Times New Roman" w:hAnsi="Times New Roman" w:eastAsia="宋体"/>
                <w:sz w:val="20"/>
              </w:rPr>
              <w:t>"complete new computing solutions each year"</w:t>
            </w:r>
          </w:p>
        </w:tc>
        <w:tc>
          <w:tcPr>
            <w:tcW w:w="1666" w:type="pct"/>
          </w:tcPr>
          <w:p w14:paraId="5EE3BC27">
            <w:pPr>
              <w:pStyle w:val="26"/>
              <w:spacing w:before="20" w:after="20" w:line="276" w:lineRule="auto"/>
            </w:pPr>
            <w:r>
              <w:rPr>
                <w:rFonts w:ascii="Times New Roman" w:hAnsi="Times New Roman" w:eastAsia="宋体"/>
                <w:sz w:val="20"/>
              </w:rPr>
              <w:t>D1, D5</w:t>
            </w:r>
          </w:p>
        </w:tc>
      </w:tr>
      <w:tr w14:paraId="1998E648">
        <w:tblPrEx>
          <w:tblCellMar>
            <w:top w:w="0" w:type="dxa"/>
            <w:left w:w="108" w:type="dxa"/>
            <w:bottom w:w="0" w:type="dxa"/>
            <w:right w:w="108" w:type="dxa"/>
          </w:tblCellMar>
        </w:tblPrEx>
        <w:tc>
          <w:tcPr>
            <w:tcW w:w="1666" w:type="pct"/>
          </w:tcPr>
          <w:p w14:paraId="24C1C532">
            <w:pPr>
              <w:pStyle w:val="26"/>
              <w:spacing w:before="20" w:after="20" w:line="276" w:lineRule="auto"/>
            </w:pPr>
            <w:r>
              <w:rPr>
                <w:rFonts w:ascii="Times New Roman" w:hAnsi="Times New Roman" w:eastAsia="宋体"/>
                <w:sz w:val="20"/>
              </w:rPr>
              <w:t>租赁承诺指纹</w:t>
            </w:r>
          </w:p>
        </w:tc>
        <w:tc>
          <w:tcPr>
            <w:tcW w:w="1666" w:type="pct"/>
          </w:tcPr>
          <w:p w14:paraId="6AC936D0">
            <w:pPr>
              <w:pStyle w:val="26"/>
              <w:spacing w:before="20" w:after="20" w:line="276" w:lineRule="auto"/>
            </w:pPr>
            <w:r>
              <w:rPr>
                <w:rFonts w:ascii="Times New Roman" w:hAnsi="Times New Roman" w:eastAsia="宋体"/>
                <w:sz w:val="20"/>
              </w:rPr>
              <w:t>"$43.4B of additional lease commitments"</w:t>
            </w:r>
          </w:p>
        </w:tc>
        <w:tc>
          <w:tcPr>
            <w:tcW w:w="1666" w:type="pct"/>
          </w:tcPr>
          <w:p w14:paraId="6EBD95ED">
            <w:pPr>
              <w:pStyle w:val="26"/>
              <w:spacing w:before="20" w:after="20" w:line="276" w:lineRule="auto"/>
            </w:pPr>
            <w:r>
              <w:rPr>
                <w:rFonts w:ascii="Times New Roman" w:hAnsi="Times New Roman" w:eastAsia="宋体"/>
                <w:sz w:val="20"/>
              </w:rPr>
              <w:t>D4</w:t>
            </w:r>
          </w:p>
        </w:tc>
      </w:tr>
      <w:tr w14:paraId="44DD8412">
        <w:tblPrEx>
          <w:tblCellMar>
            <w:top w:w="0" w:type="dxa"/>
            <w:left w:w="108" w:type="dxa"/>
            <w:bottom w:w="0" w:type="dxa"/>
            <w:right w:w="108" w:type="dxa"/>
          </w:tblCellMar>
        </w:tblPrEx>
        <w:tc>
          <w:tcPr>
            <w:tcW w:w="1666" w:type="pct"/>
          </w:tcPr>
          <w:p w14:paraId="6203AAEF">
            <w:pPr>
              <w:pStyle w:val="26"/>
              <w:spacing w:before="20" w:after="20" w:line="276" w:lineRule="auto"/>
            </w:pPr>
            <w:r>
              <w:rPr>
                <w:rFonts w:ascii="Times New Roman" w:hAnsi="Times New Roman" w:eastAsia="宋体"/>
                <w:sz w:val="20"/>
              </w:rPr>
              <w:t>折旧费用指纹</w:t>
            </w:r>
          </w:p>
        </w:tc>
        <w:tc>
          <w:tcPr>
            <w:tcW w:w="1666" w:type="pct"/>
          </w:tcPr>
          <w:p w14:paraId="68D38DF3">
            <w:pPr>
              <w:pStyle w:val="26"/>
              <w:spacing w:before="20" w:after="20" w:line="276" w:lineRule="auto"/>
            </w:pPr>
            <w:r>
              <w:rPr>
                <w:rFonts w:ascii="Times New Roman" w:hAnsi="Times New Roman" w:eastAsia="宋体"/>
                <w:sz w:val="20"/>
              </w:rPr>
              <w:t>"depreciation expense was $22.0 billion"</w:t>
            </w:r>
          </w:p>
        </w:tc>
        <w:tc>
          <w:tcPr>
            <w:tcW w:w="1666" w:type="pct"/>
          </w:tcPr>
          <w:p w14:paraId="28CC67A7">
            <w:pPr>
              <w:pStyle w:val="26"/>
              <w:spacing w:before="20" w:after="20" w:line="276" w:lineRule="auto"/>
            </w:pPr>
            <w:r>
              <w:rPr>
                <w:rFonts w:ascii="Times New Roman" w:hAnsi="Times New Roman" w:eastAsia="宋体"/>
                <w:sz w:val="20"/>
              </w:rPr>
              <w:t>D3, D4</w:t>
            </w:r>
          </w:p>
        </w:tc>
      </w:tr>
      <w:tr w14:paraId="3B0343AC">
        <w:tblPrEx>
          <w:tblCellMar>
            <w:top w:w="0" w:type="dxa"/>
            <w:left w:w="108" w:type="dxa"/>
            <w:bottom w:w="0" w:type="dxa"/>
            <w:right w:w="108" w:type="dxa"/>
          </w:tblCellMar>
        </w:tblPrEx>
        <w:tc>
          <w:tcPr>
            <w:tcW w:w="1666" w:type="pct"/>
          </w:tcPr>
          <w:p w14:paraId="51D5A34B">
            <w:pPr>
              <w:pStyle w:val="26"/>
              <w:spacing w:before="20" w:after="20" w:line="276" w:lineRule="auto"/>
            </w:pPr>
            <w:r>
              <w:rPr>
                <w:rFonts w:ascii="Times New Roman" w:hAnsi="Times New Roman" w:eastAsia="宋体"/>
                <w:sz w:val="20"/>
              </w:rPr>
              <w:t>利润率指纹</w:t>
            </w:r>
          </w:p>
        </w:tc>
        <w:tc>
          <w:tcPr>
            <w:tcW w:w="1666" w:type="pct"/>
          </w:tcPr>
          <w:p w14:paraId="717DB9FB">
            <w:pPr>
              <w:pStyle w:val="26"/>
              <w:spacing w:before="20" w:after="20" w:line="276" w:lineRule="auto"/>
            </w:pPr>
            <w:r>
              <w:rPr>
                <w:rFonts w:ascii="Times New Roman" w:hAnsi="Times New Roman" w:eastAsia="宋体"/>
                <w:sz w:val="20"/>
              </w:rPr>
              <w:t>"gross margin decreased driven by AI infrastructure"</w:t>
            </w:r>
          </w:p>
        </w:tc>
        <w:tc>
          <w:tcPr>
            <w:tcW w:w="1666" w:type="pct"/>
          </w:tcPr>
          <w:p w14:paraId="64151530">
            <w:pPr>
              <w:pStyle w:val="26"/>
              <w:spacing w:before="20" w:after="20" w:line="276" w:lineRule="auto"/>
            </w:pPr>
            <w:r>
              <w:rPr>
                <w:rFonts w:ascii="Times New Roman" w:hAnsi="Times New Roman" w:eastAsia="宋体"/>
                <w:sz w:val="20"/>
              </w:rPr>
              <w:t>D4, D5</w:t>
            </w:r>
          </w:p>
        </w:tc>
      </w:tr>
    </w:tbl>
    <w:p w14:paraId="5D9C7E91">
      <w:pPr>
        <w:pStyle w:val="6"/>
        <w:spacing w:before="240" w:after="120" w:line="360" w:lineRule="auto"/>
        <w:rPr>
          <w:b w:val="0"/>
          <w:bCs/>
          <w:i w:val="0"/>
          <w:iCs w:val="0"/>
        </w:rPr>
      </w:pPr>
      <w:r>
        <w:rPr>
          <w:rFonts w:ascii="Times New Roman" w:hAnsi="Times New Roman" w:eastAsia="黑体"/>
          <w:b w:val="0"/>
          <w:bCs/>
          <w:i w:val="0"/>
          <w:iCs w:val="0"/>
          <w:color w:val="003366"/>
          <w:sz w:val="24"/>
        </w:rPr>
        <w:t>（二）典型案例</w:t>
      </w:r>
    </w:p>
    <w:p w14:paraId="0A0FDD1F">
      <w:pPr>
        <w:pStyle w:val="3"/>
        <w:spacing w:before="40" w:after="40" w:line="360" w:lineRule="auto"/>
        <w:ind w:firstLine="480"/>
      </w:pPr>
      <w:r>
        <w:rPr>
          <w:rFonts w:hint="eastAsia" w:ascii="Times New Roman" w:hAnsi="Times New Roman" w:eastAsia="宋体"/>
          <w:sz w:val="24"/>
        </w:rPr>
        <w:t>案例一（NVDA FY2025）：“We seek to complete new computing solutions each year”一句未命中六词矩阵中任何关键词，但被“年度发布节奏”指纹捕获。该表述对 D1 评分至关重要——公司自述 1 年迭代周期与 4-5 年折旧寿命形成 4-5 倍错配，若仅依赖关键词矩阵将遗漏这一信号，导致 D1 被低估。</w:t>
      </w:r>
    </w:p>
    <w:p w14:paraId="56B77199">
      <w:pPr>
        <w:pStyle w:val="3"/>
        <w:spacing w:before="40" w:after="40" w:line="360" w:lineRule="auto"/>
        <w:ind w:firstLine="480"/>
      </w:pPr>
      <w:r>
        <w:rPr>
          <w:rFonts w:hint="eastAsia" w:ascii="Times New Roman" w:hAnsi="Times New Roman" w:eastAsia="宋体"/>
          <w:sz w:val="24"/>
        </w:rPr>
        <w:t>案例二（ORCL FY2025）：“We had $43.4 billion of additional lease commitments, primarily for data centers”同样未命中核心关键词，被“数据中心租赁”指纹捕获。434 亿美元表外承诺直接决定 D4 评分（CAPEX 强度须采用含租赁的广义口径），遗漏该信号将导致 D4 系统性低估。</w:t>
      </w:r>
    </w:p>
    <w:p w14:paraId="446BCD84">
      <w:pPr>
        <w:pStyle w:val="4"/>
        <w:spacing w:before="320" w:after="160" w:line="360" w:lineRule="auto"/>
      </w:pPr>
      <w:bookmarkStart w:id="65" w:name="_Toc26766"/>
      <w:bookmarkStart w:id="66" w:name="五维度折旧风险评分模型5d-drs"/>
      <w:r>
        <w:rPr>
          <w:rFonts w:ascii="Times New Roman" w:hAnsi="Times New Roman" w:eastAsia="黑体"/>
          <w:b/>
          <w:color w:val="003366"/>
          <w:sz w:val="28"/>
        </w:rPr>
        <w:t xml:space="preserve">3.4 </w:t>
      </w:r>
      <w:r>
        <w:rPr>
          <w:rFonts w:hint="eastAsia" w:ascii="Times New Roman" w:hAnsi="Times New Roman" w:eastAsia="黑体"/>
          <w:b/>
          <w:color w:val="003366"/>
          <w:sz w:val="28"/>
        </w:rPr>
        <w:t>五维度折旧风险评分模型（5D-DRS）</w:t>
      </w:r>
      <w:bookmarkEnd w:id="65"/>
    </w:p>
    <w:p w14:paraId="53F04877">
      <w:pPr>
        <w:pStyle w:val="5"/>
        <w:spacing w:before="240" w:after="120" w:line="360" w:lineRule="auto"/>
      </w:pPr>
      <w:bookmarkStart w:id="67" w:name="维度设计与权重"/>
      <w:r>
        <w:rPr>
          <w:rFonts w:ascii="Times New Roman" w:hAnsi="Times New Roman" w:eastAsia="黑体"/>
          <w:b/>
          <w:color w:val="003366"/>
          <w:sz w:val="24"/>
        </w:rPr>
        <w:t xml:space="preserve">3.4.1 </w:t>
      </w:r>
      <w:r>
        <w:rPr>
          <w:rFonts w:hint="eastAsia" w:ascii="Times New Roman" w:hAnsi="Times New Roman" w:eastAsia="黑体"/>
          <w:b/>
          <w:color w:val="003366"/>
          <w:sz w:val="24"/>
        </w:rPr>
        <w:t>维度设计与权重</w:t>
      </w:r>
    </w:p>
    <w:p w14:paraId="4CFD1917">
      <w:pPr>
        <w:pStyle w:val="25"/>
        <w:spacing w:before="40" w:after="40" w:line="360" w:lineRule="auto"/>
        <w:ind w:firstLine="480"/>
      </w:pPr>
      <w:r>
        <w:rPr>
          <w:rFonts w:hint="eastAsia" w:ascii="Times New Roman" w:hAnsi="Times New Roman" w:eastAsia="宋体"/>
          <w:sz w:val="24"/>
        </w:rPr>
        <w:t>综合会计传导路径与风险来源，构建五维度加权评分模型（Five-Dimension</w:t>
      </w:r>
      <w:r>
        <w:rPr>
          <w:rFonts w:ascii="Times New Roman" w:hAnsi="Times New Roman" w:eastAsia="宋体"/>
          <w:sz w:val="24"/>
        </w:rPr>
        <w:t xml:space="preserve"> Depreciation Risk Score, </w:t>
      </w:r>
      <w:r>
        <w:rPr>
          <w:rFonts w:hint="eastAsia" w:ascii="Times New Roman" w:hAnsi="Times New Roman" w:eastAsia="宋体"/>
          <w:sz w:val="24"/>
        </w:rPr>
        <w:t>5D-DRS）：</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40DCC3D0">
        <w:tblPrEx>
          <w:tblCellMar>
            <w:top w:w="0" w:type="dxa"/>
            <w:left w:w="108" w:type="dxa"/>
            <w:bottom w:w="0" w:type="dxa"/>
            <w:right w:w="108" w:type="dxa"/>
          </w:tblCellMar>
        </w:tblPrEx>
        <w:trPr>
          <w:cantSplit/>
          <w:tblHeader/>
        </w:trPr>
        <w:tc>
          <w:p w14:paraId="0B1B444E">
            <w:pPr>
              <w:pStyle w:val="26"/>
              <w:spacing w:before="20" w:after="20" w:line="276" w:lineRule="auto"/>
            </w:pPr>
            <w:r>
              <w:rPr>
                <w:rFonts w:hint="eastAsia" w:ascii="Times New Roman" w:hAnsi="Times New Roman" w:eastAsia="宋体"/>
                <w:b/>
                <w:bCs/>
                <w:sz w:val="20"/>
              </w:rPr>
              <w:t>维度</w:t>
            </w:r>
          </w:p>
        </w:tc>
        <w:tc>
          <w:p w14:paraId="3EAEBA37">
            <w:pPr>
              <w:pStyle w:val="26"/>
              <w:spacing w:before="20" w:after="20" w:line="276" w:lineRule="auto"/>
            </w:pPr>
            <w:r>
              <w:rPr>
                <w:rFonts w:hint="eastAsia" w:ascii="Times New Roman" w:hAnsi="Times New Roman" w:eastAsia="宋体"/>
                <w:b/>
                <w:bCs/>
                <w:sz w:val="20"/>
              </w:rPr>
              <w:t>权重</w:t>
            </w:r>
          </w:p>
        </w:tc>
        <w:tc>
          <w:p w14:paraId="3E0C088A">
            <w:pPr>
              <w:pStyle w:val="26"/>
              <w:spacing w:before="20" w:after="20" w:line="276" w:lineRule="auto"/>
            </w:pPr>
            <w:r>
              <w:rPr>
                <w:rFonts w:hint="eastAsia" w:ascii="Times New Roman" w:hAnsi="Times New Roman" w:eastAsia="宋体"/>
                <w:b/>
                <w:bCs/>
                <w:sz w:val="20"/>
              </w:rPr>
              <w:t>内涵</w:t>
            </w:r>
          </w:p>
        </w:tc>
        <w:tc>
          <w:p w14:paraId="372820CA">
            <w:pPr>
              <w:pStyle w:val="26"/>
              <w:spacing w:before="20" w:after="20" w:line="276" w:lineRule="auto"/>
            </w:pPr>
            <w:r>
              <w:rPr>
                <w:rFonts w:hint="eastAsia" w:ascii="Times New Roman" w:hAnsi="Times New Roman" w:eastAsia="宋体"/>
                <w:b/>
                <w:bCs/>
                <w:sz w:val="20"/>
              </w:rPr>
              <w:t>数据来源</w:t>
            </w:r>
          </w:p>
        </w:tc>
      </w:tr>
      <w:tr w14:paraId="2DB1D71B">
        <w:tblPrEx>
          <w:tblCellMar>
            <w:top w:w="0" w:type="dxa"/>
            <w:left w:w="108" w:type="dxa"/>
            <w:bottom w:w="0" w:type="dxa"/>
            <w:right w:w="108" w:type="dxa"/>
          </w:tblCellMar>
        </w:tblPrEx>
        <w:trPr>
          <w:cantSplit/>
        </w:trPr>
        <w:tc>
          <w:p w14:paraId="088900BB">
            <w:pPr>
              <w:pStyle w:val="26"/>
              <w:spacing w:before="20" w:after="20" w:line="276" w:lineRule="auto"/>
            </w:pPr>
            <w:r>
              <w:rPr>
                <w:rFonts w:ascii="Times New Roman" w:hAnsi="Times New Roman" w:eastAsia="宋体"/>
                <w:sz w:val="20"/>
              </w:rPr>
              <w:t xml:space="preserve">D1 </w:t>
            </w:r>
            <w:r>
              <w:rPr>
                <w:rFonts w:hint="eastAsia" w:ascii="Times New Roman" w:hAnsi="Times New Roman" w:eastAsia="宋体"/>
                <w:sz w:val="20"/>
              </w:rPr>
              <w:t>折旧年限</w:t>
            </w:r>
            <w:r>
              <w:rPr>
                <w:rFonts w:ascii="Times New Roman" w:hAnsi="Times New Roman" w:eastAsia="宋体"/>
                <w:sz w:val="20"/>
              </w:rPr>
              <w:t xml:space="preserve"> vs </w:t>
            </w:r>
            <w:r>
              <w:rPr>
                <w:rFonts w:hint="eastAsia" w:ascii="Times New Roman" w:hAnsi="Times New Roman" w:eastAsia="宋体"/>
                <w:sz w:val="20"/>
              </w:rPr>
              <w:t>技术实际寿命</w:t>
            </w:r>
          </w:p>
        </w:tc>
        <w:tc>
          <w:p w14:paraId="21C13747">
            <w:pPr>
              <w:pStyle w:val="26"/>
              <w:spacing w:before="20" w:after="20" w:line="276" w:lineRule="auto"/>
            </w:pPr>
            <w:r>
              <w:rPr>
                <w:rFonts w:ascii="Times New Roman" w:hAnsi="Times New Roman" w:eastAsia="宋体"/>
                <w:sz w:val="20"/>
              </w:rPr>
              <w:t>0.25</w:t>
            </w:r>
          </w:p>
        </w:tc>
        <w:tc>
          <w:p w14:paraId="68BB2956">
            <w:pPr>
              <w:pStyle w:val="26"/>
              <w:spacing w:before="20" w:after="20" w:line="276" w:lineRule="auto"/>
            </w:pPr>
            <w:r>
              <w:rPr>
                <w:rFonts w:hint="eastAsia" w:ascii="Times New Roman" w:hAnsi="Times New Roman" w:eastAsia="宋体"/>
                <w:sz w:val="20"/>
              </w:rPr>
              <w:t>会计寿命假设与技术迭代周期的错配倍数</w:t>
            </w:r>
          </w:p>
        </w:tc>
        <w:tc>
          <w:p w14:paraId="1B9841BF">
            <w:pPr>
              <w:pStyle w:val="26"/>
              <w:spacing w:before="20" w:after="20" w:line="276" w:lineRule="auto"/>
            </w:pPr>
            <w:r>
              <w:rPr>
                <w:rFonts w:ascii="Times New Roman" w:hAnsi="Times New Roman" w:eastAsia="宋体"/>
                <w:sz w:val="20"/>
              </w:rPr>
              <w:t xml:space="preserve">Note 1 / PP&amp;E </w:t>
            </w:r>
            <w:r>
              <w:rPr>
                <w:rFonts w:hint="eastAsia" w:ascii="Times New Roman" w:hAnsi="Times New Roman" w:eastAsia="宋体"/>
                <w:sz w:val="20"/>
              </w:rPr>
              <w:t>附注</w:t>
            </w:r>
            <w:r>
              <w:rPr>
                <w:rFonts w:ascii="Times New Roman" w:hAnsi="Times New Roman" w:eastAsia="宋体"/>
                <w:sz w:val="20"/>
              </w:rPr>
              <w:t xml:space="preserve"> + GPU </w:t>
            </w:r>
            <w:r>
              <w:rPr>
                <w:rFonts w:hint="eastAsia" w:ascii="Times New Roman" w:hAnsi="Times New Roman" w:eastAsia="宋体"/>
                <w:sz w:val="20"/>
              </w:rPr>
              <w:t>迭代周期数据</w:t>
            </w:r>
          </w:p>
        </w:tc>
      </w:tr>
      <w:tr w14:paraId="073F9E30">
        <w:tblPrEx>
          <w:tblCellMar>
            <w:top w:w="0" w:type="dxa"/>
            <w:left w:w="108" w:type="dxa"/>
            <w:bottom w:w="0" w:type="dxa"/>
            <w:right w:w="108" w:type="dxa"/>
          </w:tblCellMar>
        </w:tblPrEx>
        <w:trPr>
          <w:cantSplit/>
        </w:trPr>
        <w:tc>
          <w:p w14:paraId="4BA3B99F">
            <w:pPr>
              <w:pStyle w:val="26"/>
              <w:spacing w:before="20" w:after="20" w:line="276" w:lineRule="auto"/>
            </w:pPr>
            <w:r>
              <w:rPr>
                <w:rFonts w:ascii="Times New Roman" w:hAnsi="Times New Roman" w:eastAsia="宋体"/>
                <w:sz w:val="20"/>
              </w:rPr>
              <w:t xml:space="preserve">D2 </w:t>
            </w:r>
            <w:r>
              <w:rPr>
                <w:rFonts w:hint="eastAsia" w:ascii="Times New Roman" w:hAnsi="Times New Roman" w:eastAsia="宋体"/>
                <w:sz w:val="20"/>
              </w:rPr>
              <w:t>会计政策保守性</w:t>
            </w:r>
          </w:p>
        </w:tc>
        <w:tc>
          <w:p w14:paraId="284F9C8E">
            <w:pPr>
              <w:pStyle w:val="26"/>
              <w:spacing w:before="20" w:after="20" w:line="276" w:lineRule="auto"/>
            </w:pPr>
            <w:r>
              <w:rPr>
                <w:rFonts w:ascii="Times New Roman" w:hAnsi="Times New Roman" w:eastAsia="宋体"/>
                <w:sz w:val="20"/>
              </w:rPr>
              <w:t>0.20</w:t>
            </w:r>
          </w:p>
        </w:tc>
        <w:tc>
          <w:p w14:paraId="7C09368E">
            <w:pPr>
              <w:pStyle w:val="26"/>
              <w:spacing w:before="20" w:after="20" w:line="276" w:lineRule="auto"/>
            </w:pPr>
            <w:r>
              <w:rPr>
                <w:rFonts w:hint="eastAsia" w:ascii="Times New Roman" w:hAnsi="Times New Roman" w:eastAsia="宋体"/>
                <w:sz w:val="20"/>
              </w:rPr>
              <w:t>是否存在延长年限的估计变更、是否未来适用不追溯</w:t>
            </w:r>
          </w:p>
        </w:tc>
        <w:tc>
          <w:p w14:paraId="0BE12435">
            <w:pPr>
              <w:pStyle w:val="26"/>
              <w:spacing w:before="20" w:after="20" w:line="276" w:lineRule="auto"/>
            </w:pPr>
            <w:r>
              <w:rPr>
                <w:rFonts w:ascii="Times New Roman" w:hAnsi="Times New Roman" w:eastAsia="宋体"/>
                <w:sz w:val="20"/>
              </w:rPr>
              <w:t xml:space="preserve">Note 1 </w:t>
            </w:r>
            <w:r>
              <w:rPr>
                <w:rFonts w:hint="eastAsia" w:ascii="Times New Roman" w:hAnsi="Times New Roman" w:eastAsia="宋体"/>
                <w:sz w:val="20"/>
              </w:rPr>
              <w:t>估计变更披露</w:t>
            </w:r>
          </w:p>
        </w:tc>
      </w:tr>
      <w:tr w14:paraId="53DB92B7">
        <w:tblPrEx>
          <w:tblCellMar>
            <w:top w:w="0" w:type="dxa"/>
            <w:left w:w="108" w:type="dxa"/>
            <w:bottom w:w="0" w:type="dxa"/>
            <w:right w:w="108" w:type="dxa"/>
          </w:tblCellMar>
        </w:tblPrEx>
        <w:trPr>
          <w:cantSplit/>
        </w:trPr>
        <w:tc>
          <w:p w14:paraId="7C5D0D4F">
            <w:pPr>
              <w:pStyle w:val="26"/>
              <w:spacing w:before="20" w:after="20" w:line="276" w:lineRule="auto"/>
            </w:pPr>
            <w:r>
              <w:rPr>
                <w:rFonts w:ascii="Times New Roman" w:hAnsi="Times New Roman" w:eastAsia="宋体"/>
                <w:sz w:val="20"/>
              </w:rPr>
              <w:t xml:space="preserve">D3 </w:t>
            </w:r>
            <w:r>
              <w:rPr>
                <w:rFonts w:hint="eastAsia" w:ascii="Times New Roman" w:hAnsi="Times New Roman" w:eastAsia="宋体"/>
                <w:sz w:val="20"/>
              </w:rPr>
              <w:t>减值风险触发</w:t>
            </w:r>
          </w:p>
        </w:tc>
        <w:tc>
          <w:p w14:paraId="4D688EBB">
            <w:pPr>
              <w:pStyle w:val="26"/>
              <w:spacing w:before="20" w:after="20" w:line="276" w:lineRule="auto"/>
            </w:pPr>
            <w:r>
              <w:rPr>
                <w:rFonts w:ascii="Times New Roman" w:hAnsi="Times New Roman" w:eastAsia="宋体"/>
                <w:sz w:val="20"/>
              </w:rPr>
              <w:t>0.20</w:t>
            </w:r>
          </w:p>
        </w:tc>
        <w:tc>
          <w:p w14:paraId="188A1ECF">
            <w:pPr>
              <w:pStyle w:val="26"/>
              <w:spacing w:before="20" w:after="20" w:line="276" w:lineRule="auto"/>
            </w:pPr>
            <w:r>
              <w:rPr>
                <w:rFonts w:hint="eastAsia" w:ascii="Times New Roman" w:hAnsi="Times New Roman" w:eastAsia="宋体"/>
                <w:sz w:val="20"/>
              </w:rPr>
              <w:t>实际减值记录与减值信号密度</w:t>
            </w:r>
          </w:p>
        </w:tc>
        <w:tc>
          <w:p w14:paraId="21048F0B">
            <w:pPr>
              <w:pStyle w:val="26"/>
              <w:spacing w:before="20" w:after="20" w:line="276" w:lineRule="auto"/>
            </w:pPr>
            <w:r>
              <w:rPr>
                <w:rFonts w:hint="eastAsia" w:ascii="Times New Roman" w:hAnsi="Times New Roman" w:eastAsia="宋体"/>
                <w:sz w:val="20"/>
              </w:rPr>
              <w:t>减值附注</w:t>
            </w:r>
            <w:r>
              <w:rPr>
                <w:rFonts w:ascii="Times New Roman" w:hAnsi="Times New Roman" w:eastAsia="宋体"/>
                <w:sz w:val="20"/>
              </w:rPr>
              <w:t xml:space="preserve"> / MD&amp;A / Risk Factors</w:t>
            </w:r>
          </w:p>
        </w:tc>
      </w:tr>
      <w:tr w14:paraId="723218A7">
        <w:tblPrEx>
          <w:tblCellMar>
            <w:top w:w="0" w:type="dxa"/>
            <w:left w:w="108" w:type="dxa"/>
            <w:bottom w:w="0" w:type="dxa"/>
            <w:right w:w="108" w:type="dxa"/>
          </w:tblCellMar>
        </w:tblPrEx>
        <w:trPr>
          <w:cantSplit/>
        </w:trPr>
        <w:tc>
          <w:p w14:paraId="6BA79266">
            <w:pPr>
              <w:pStyle w:val="26"/>
              <w:spacing w:before="20" w:after="20" w:line="276" w:lineRule="auto"/>
            </w:pPr>
            <w:r>
              <w:rPr>
                <w:rFonts w:ascii="Times New Roman" w:hAnsi="Times New Roman" w:eastAsia="宋体"/>
                <w:sz w:val="20"/>
              </w:rPr>
              <w:t xml:space="preserve">D4 CAPEX </w:t>
            </w:r>
            <w:r>
              <w:rPr>
                <w:rFonts w:hint="eastAsia" w:ascii="Times New Roman" w:hAnsi="Times New Roman" w:eastAsia="宋体"/>
                <w:sz w:val="20"/>
              </w:rPr>
              <w:t>强度</w:t>
            </w:r>
          </w:p>
        </w:tc>
        <w:tc>
          <w:p w14:paraId="50131768">
            <w:pPr>
              <w:pStyle w:val="26"/>
              <w:spacing w:before="20" w:after="20" w:line="276" w:lineRule="auto"/>
            </w:pPr>
            <w:r>
              <w:rPr>
                <w:rFonts w:ascii="Times New Roman" w:hAnsi="Times New Roman" w:eastAsia="宋体"/>
                <w:sz w:val="20"/>
              </w:rPr>
              <w:t>0.20</w:t>
            </w:r>
          </w:p>
        </w:tc>
        <w:tc>
          <w:p w14:paraId="3FDE7151">
            <w:pPr>
              <w:pStyle w:val="26"/>
              <w:spacing w:before="20" w:after="20" w:line="276" w:lineRule="auto"/>
            </w:pPr>
            <w:r>
              <w:rPr>
                <w:rFonts w:hint="eastAsia" w:ascii="Times New Roman" w:hAnsi="Times New Roman" w:eastAsia="宋体"/>
                <w:sz w:val="20"/>
              </w:rPr>
              <w:t>资本支出占收入比（资产敞口的代理变量）</w:t>
            </w:r>
          </w:p>
        </w:tc>
        <w:tc>
          <w:p w14:paraId="1469E142">
            <w:pPr>
              <w:pStyle w:val="26"/>
              <w:spacing w:before="20" w:after="20" w:line="276" w:lineRule="auto"/>
            </w:pPr>
            <w:r>
              <w:rPr>
                <w:rFonts w:hint="eastAsia" w:ascii="Times New Roman" w:hAnsi="Times New Roman" w:eastAsia="宋体"/>
                <w:sz w:val="20"/>
              </w:rPr>
              <w:t>现金流量表</w:t>
            </w:r>
          </w:p>
        </w:tc>
      </w:tr>
      <w:tr w14:paraId="43CC3E3D">
        <w:tblPrEx>
          <w:tblCellMar>
            <w:top w:w="0" w:type="dxa"/>
            <w:left w:w="108" w:type="dxa"/>
            <w:bottom w:w="0" w:type="dxa"/>
            <w:right w:w="108" w:type="dxa"/>
          </w:tblCellMar>
        </w:tblPrEx>
        <w:trPr>
          <w:cantSplit/>
        </w:trPr>
        <w:tc>
          <w:p w14:paraId="29732EE1">
            <w:pPr>
              <w:pStyle w:val="26"/>
              <w:spacing w:before="20" w:after="20" w:line="276" w:lineRule="auto"/>
            </w:pPr>
            <w:r>
              <w:rPr>
                <w:rFonts w:ascii="Times New Roman" w:hAnsi="Times New Roman" w:eastAsia="宋体"/>
                <w:sz w:val="20"/>
              </w:rPr>
              <w:t xml:space="preserve">D5 </w:t>
            </w:r>
            <w:r>
              <w:rPr>
                <w:rFonts w:hint="eastAsia" w:ascii="Times New Roman" w:hAnsi="Times New Roman" w:eastAsia="宋体"/>
                <w:sz w:val="20"/>
              </w:rPr>
              <w:t>行业竞争/技术替代</w:t>
            </w:r>
          </w:p>
        </w:tc>
        <w:tc>
          <w:p w14:paraId="0ECEFDD1">
            <w:pPr>
              <w:pStyle w:val="26"/>
              <w:spacing w:before="20" w:after="20" w:line="276" w:lineRule="auto"/>
            </w:pPr>
            <w:r>
              <w:rPr>
                <w:rFonts w:ascii="Times New Roman" w:hAnsi="Times New Roman" w:eastAsia="宋体"/>
                <w:sz w:val="20"/>
              </w:rPr>
              <w:t>0.15</w:t>
            </w:r>
          </w:p>
        </w:tc>
        <w:tc>
          <w:p w14:paraId="536D6154">
            <w:pPr>
              <w:pStyle w:val="26"/>
              <w:spacing w:before="20" w:after="20" w:line="276" w:lineRule="auto"/>
            </w:pPr>
            <w:r>
              <w:rPr>
                <w:rFonts w:hint="eastAsia" w:ascii="Times New Roman" w:hAnsi="Times New Roman" w:eastAsia="宋体"/>
                <w:sz w:val="20"/>
              </w:rPr>
              <w:t>公司在算力竞赛中的暴露程度</w:t>
            </w:r>
          </w:p>
        </w:tc>
        <w:tc>
          <w:p w14:paraId="21F26B52">
            <w:pPr>
              <w:pStyle w:val="26"/>
              <w:spacing w:before="20" w:after="20" w:line="276" w:lineRule="auto"/>
            </w:pPr>
            <w:r>
              <w:rPr>
                <w:rFonts w:ascii="Times New Roman" w:hAnsi="Times New Roman" w:eastAsia="宋体"/>
                <w:sz w:val="20"/>
              </w:rPr>
              <w:t xml:space="preserve">Risk Factors / </w:t>
            </w:r>
            <w:r>
              <w:rPr>
                <w:rFonts w:hint="eastAsia" w:ascii="Times New Roman" w:hAnsi="Times New Roman" w:eastAsia="宋体"/>
                <w:sz w:val="20"/>
              </w:rPr>
              <w:t>业务描述</w:t>
            </w:r>
          </w:p>
        </w:tc>
      </w:tr>
    </w:tbl>
    <w:p w14:paraId="79A3F77F">
      <w:pPr>
        <w:pStyle w:val="3"/>
        <w:spacing w:before="40" w:after="40" w:line="360" w:lineRule="auto"/>
        <w:ind w:firstLine="480"/>
      </w:pPr>
      <w:r>
        <w:rPr>
          <w:rFonts w:hint="eastAsia" w:ascii="Times New Roman" w:hAnsi="Times New Roman" w:eastAsia="宋体"/>
          <w:sz w:val="24"/>
        </w:rPr>
        <w:t>权重设计逻辑：D1</w:t>
      </w:r>
      <w:r>
        <w:rPr>
          <w:rFonts w:ascii="Times New Roman" w:hAnsi="Times New Roman" w:eastAsia="宋体"/>
          <w:sz w:val="24"/>
        </w:rPr>
        <w:t xml:space="preserve"> </w:t>
      </w:r>
      <w:r>
        <w:rPr>
          <w:rFonts w:hint="eastAsia" w:ascii="Times New Roman" w:hAnsi="Times New Roman" w:eastAsia="宋体"/>
          <w:sz w:val="24"/>
        </w:rPr>
        <w:t>是错配的直接度量，权重最高（0.25）；D2-D4</w:t>
      </w:r>
      <w:r>
        <w:rPr>
          <w:rFonts w:ascii="Times New Roman" w:hAnsi="Times New Roman" w:eastAsia="宋体"/>
          <w:sz w:val="24"/>
        </w:rPr>
        <w:t xml:space="preserve"> </w:t>
      </w:r>
      <w:r>
        <w:rPr>
          <w:rFonts w:hint="eastAsia" w:ascii="Times New Roman" w:hAnsi="Times New Roman" w:eastAsia="宋体"/>
          <w:sz w:val="24"/>
        </w:rPr>
        <w:t>分别刻画“意愿—结果—敞口”，权重均等（0.20）；D5</w:t>
      </w:r>
      <w:r>
        <w:rPr>
          <w:rFonts w:ascii="Times New Roman" w:hAnsi="Times New Roman" w:eastAsia="宋体"/>
          <w:sz w:val="24"/>
        </w:rPr>
        <w:t xml:space="preserve"> </w:t>
      </w:r>
      <w:r>
        <w:rPr>
          <w:rFonts w:hint="eastAsia" w:ascii="Times New Roman" w:hAnsi="Times New Roman" w:eastAsia="宋体"/>
          <w:sz w:val="24"/>
        </w:rPr>
        <w:t>为外部环境调节项（0.15）。</w:t>
      </w:r>
    </w:p>
    <w:p w14:paraId="77A39E20">
      <w:pPr>
        <w:pStyle w:val="3"/>
        <w:spacing w:before="40" w:after="40" w:line="360" w:lineRule="auto"/>
        <w:ind w:firstLine="480"/>
      </w:pPr>
      <w:r>
        <w:rPr>
          <w:rFonts w:hint="eastAsia" w:ascii="Times New Roman" w:hAnsi="Times New Roman" w:eastAsia="宋体"/>
          <w:sz w:val="24"/>
        </w:rPr>
        <w:t>权重设定的说明与局限性：上述权重基于会计传导路径的逻辑判断设定，具有探索性质，未采用</w:t>
      </w:r>
      <w:r>
        <w:rPr>
          <w:rFonts w:ascii="Times New Roman" w:hAnsi="Times New Roman" w:eastAsia="宋体"/>
          <w:sz w:val="24"/>
        </w:rPr>
        <w:t xml:space="preserve"> AHP </w:t>
      </w:r>
      <w:r>
        <w:rPr>
          <w:rFonts w:hint="eastAsia" w:ascii="Times New Roman" w:hAnsi="Times New Roman" w:eastAsia="宋体"/>
          <w:sz w:val="24"/>
        </w:rPr>
        <w:t>层次分析法或专家德尔菲法进行系统性标定——这在当前阶段受限于研究周期与专家资源。为增强稳健性，P4</w:t>
      </w:r>
      <w:r>
        <w:rPr>
          <w:rFonts w:ascii="Times New Roman" w:hAnsi="Times New Roman" w:eastAsia="宋体"/>
          <w:sz w:val="24"/>
        </w:rPr>
        <w:t xml:space="preserve"> </w:t>
      </w:r>
      <w:r>
        <w:rPr>
          <w:rFonts w:hint="eastAsia" w:ascii="Times New Roman" w:hAnsi="Times New Roman" w:eastAsia="宋体"/>
          <w:sz w:val="24"/>
        </w:rPr>
        <w:t>权重敏感性页面提供了交互式权重调整功能（详见附录</w:t>
      </w:r>
      <w:r>
        <w:rPr>
          <w:rFonts w:ascii="Times New Roman" w:hAnsi="Times New Roman" w:eastAsia="宋体"/>
          <w:sz w:val="24"/>
        </w:rPr>
        <w:t xml:space="preserve"> </w:t>
      </w:r>
      <w:r>
        <w:rPr>
          <w:rFonts w:hint="eastAsia" w:ascii="Times New Roman" w:hAnsi="Times New Roman" w:eastAsia="宋体"/>
          <w:sz w:val="24"/>
        </w:rPr>
        <w:t>D），用户可拖动权重滑块实时观察综合分变化。未来研究可邀请会计/审计专家用</w:t>
      </w:r>
      <w:r>
        <w:rPr>
          <w:rFonts w:ascii="Times New Roman" w:hAnsi="Times New Roman" w:eastAsia="宋体"/>
          <w:sz w:val="24"/>
        </w:rPr>
        <w:t xml:space="preserve"> AHP </w:t>
      </w:r>
      <w:r>
        <w:rPr>
          <w:rFonts w:hint="eastAsia" w:ascii="Times New Roman" w:hAnsi="Times New Roman" w:eastAsia="宋体"/>
          <w:sz w:val="24"/>
        </w:rPr>
        <w:t>确定权重，或用熵权法从数据本身提取信息权重。</w:t>
      </w:r>
    </w:p>
    <w:p w14:paraId="59A9BA55">
      <w:pPr>
        <w:pStyle w:val="3"/>
        <w:spacing w:before="40" w:after="40" w:line="360" w:lineRule="auto"/>
        <w:ind w:firstLine="480"/>
      </w:pPr>
      <w:r>
        <w:rPr>
          <w:rFonts w:hint="eastAsia" w:ascii="Times New Roman" w:hAnsi="Times New Roman" w:eastAsia="宋体"/>
          <w:sz w:val="24"/>
        </w:rPr>
        <w:t>权重敏感性分析：为检验权重主观性对结论稳健性的影响，本研究测试了</w:t>
      </w:r>
      <w:r>
        <w:rPr>
          <w:rFonts w:ascii="Times New Roman" w:hAnsi="Times New Roman" w:eastAsia="宋体"/>
          <w:sz w:val="24"/>
        </w:rPr>
        <w:t xml:space="preserve"> D1 </w:t>
      </w:r>
      <w:r>
        <w:rPr>
          <w:rFonts w:hint="eastAsia" w:ascii="Times New Roman" w:hAnsi="Times New Roman" w:eastAsia="宋体"/>
          <w:sz w:val="24"/>
        </w:rPr>
        <w:t>权重在</w:t>
      </w:r>
      <w:r>
        <w:rPr>
          <w:rFonts w:ascii="Times New Roman" w:hAnsi="Times New Roman" w:eastAsia="宋体"/>
          <w:sz w:val="24"/>
        </w:rPr>
        <w:t xml:space="preserve"> 0.15-0.35 </w:t>
      </w:r>
      <w:r>
        <w:rPr>
          <w:rFonts w:hint="eastAsia" w:ascii="Times New Roman" w:hAnsi="Times New Roman" w:eastAsia="宋体"/>
          <w:sz w:val="24"/>
        </w:rPr>
        <w:t>区间变动时（其余四维度按原比例</w:t>
      </w:r>
      <w:r>
        <w:rPr>
          <w:rFonts w:ascii="Times New Roman" w:hAnsi="Times New Roman" w:eastAsia="宋体"/>
          <w:sz w:val="24"/>
        </w:rPr>
        <w:t xml:space="preserve"> 0.20:0.20:0.20:0.15 </w:t>
      </w:r>
      <w:r>
        <w:rPr>
          <w:rFonts w:hint="eastAsia" w:ascii="Times New Roman" w:hAnsi="Times New Roman" w:eastAsia="宋体"/>
          <w:sz w:val="24"/>
        </w:rPr>
        <w:t>缩放到剩余权重），中心年</w:t>
      </w:r>
      <w:r>
        <w:rPr>
          <w:rFonts w:ascii="Times New Roman" w:hAnsi="Times New Roman" w:eastAsia="宋体"/>
          <w:sz w:val="24"/>
        </w:rPr>
        <w:t xml:space="preserve"> 10 </w:t>
      </w:r>
      <w:r>
        <w:rPr>
          <w:rFonts w:hint="eastAsia" w:ascii="Times New Roman" w:hAnsi="Times New Roman" w:eastAsia="宋体"/>
          <w:sz w:val="24"/>
        </w:rPr>
        <w:t>家公司的风险等级排序变化。</w:t>
      </w:r>
    </w:p>
    <w:p w14:paraId="09D8034A">
      <w:pPr>
        <w:pStyle w:val="3"/>
        <w:spacing w:before="40" w:after="40" w:line="360" w:lineRule="auto"/>
        <w:ind w:firstLine="480"/>
      </w:pPr>
      <w:r>
        <w:rPr>
          <w:rFonts w:hint="eastAsia" w:ascii="Times New Roman" w:hAnsi="Times New Roman" w:eastAsia="宋体"/>
          <w:b/>
          <w:bCs/>
          <w:sz w:val="24"/>
        </w:rPr>
        <w:t>情形一：D1=0.15</w:t>
      </w:r>
      <w:r>
        <w:rPr>
          <w:rFonts w:hint="eastAsia" w:ascii="Times New Roman" w:hAnsi="Times New Roman" w:eastAsia="宋体"/>
          <w:sz w:val="24"/>
        </w:rPr>
        <w:t>（其余维度权重：D2=D3=D4≈0.227，D5≈0.170）</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0BFF978B">
        <w:tblPrEx>
          <w:tblCellMar>
            <w:top w:w="0" w:type="dxa"/>
            <w:left w:w="108" w:type="dxa"/>
            <w:bottom w:w="0" w:type="dxa"/>
            <w:right w:w="108" w:type="dxa"/>
          </w:tblCellMar>
        </w:tblPrEx>
        <w:trPr>
          <w:cantSplit/>
          <w:tblHeader/>
        </w:trPr>
        <w:tc>
          <w:p w14:paraId="10440B6E">
            <w:pPr>
              <w:pStyle w:val="26"/>
              <w:spacing w:before="20" w:after="20" w:line="276" w:lineRule="auto"/>
            </w:pPr>
            <w:r>
              <w:rPr>
                <w:rFonts w:hint="eastAsia" w:ascii="Times New Roman" w:hAnsi="Times New Roman" w:eastAsia="宋体"/>
                <w:sz w:val="20"/>
              </w:rPr>
              <w:t>观测</w:t>
            </w:r>
          </w:p>
        </w:tc>
        <w:tc>
          <w:p w14:paraId="29CB258F">
            <w:pPr>
              <w:pStyle w:val="26"/>
              <w:spacing w:before="20" w:after="20" w:line="276" w:lineRule="auto"/>
            </w:pPr>
            <w:r>
              <w:rPr>
                <w:rFonts w:hint="eastAsia" w:ascii="Times New Roman" w:hAnsi="Times New Roman" w:eastAsia="宋体"/>
                <w:sz w:val="20"/>
              </w:rPr>
              <w:t>验算式</w:t>
            </w:r>
          </w:p>
        </w:tc>
        <w:tc>
          <w:p w14:paraId="743710AC">
            <w:pPr>
              <w:pStyle w:val="26"/>
              <w:spacing w:before="20" w:after="20" w:line="276" w:lineRule="auto"/>
            </w:pPr>
            <w:r>
              <w:rPr>
                <w:rFonts w:hint="eastAsia" w:ascii="Times New Roman" w:hAnsi="Times New Roman" w:eastAsia="宋体"/>
                <w:sz w:val="20"/>
              </w:rPr>
              <w:t>综合评分</w:t>
            </w:r>
          </w:p>
        </w:tc>
        <w:tc>
          <w:p w14:paraId="54A8F2EB">
            <w:pPr>
              <w:pStyle w:val="26"/>
              <w:spacing w:before="20" w:after="20" w:line="276" w:lineRule="auto"/>
            </w:pPr>
            <w:r>
              <w:rPr>
                <w:rFonts w:hint="eastAsia" w:ascii="Times New Roman" w:hAnsi="Times New Roman" w:eastAsia="宋体"/>
                <w:sz w:val="20"/>
              </w:rPr>
              <w:t>排名</w:t>
            </w:r>
          </w:p>
        </w:tc>
      </w:tr>
      <w:tr w14:paraId="454CF943">
        <w:tblPrEx>
          <w:tblCellMar>
            <w:top w:w="0" w:type="dxa"/>
            <w:left w:w="108" w:type="dxa"/>
            <w:bottom w:w="0" w:type="dxa"/>
            <w:right w:w="108" w:type="dxa"/>
          </w:tblCellMar>
        </w:tblPrEx>
        <w:trPr>
          <w:cantSplit/>
        </w:trPr>
        <w:tc>
          <w:p w14:paraId="492DE84F">
            <w:pPr>
              <w:pStyle w:val="26"/>
              <w:spacing w:before="20" w:after="20" w:line="276" w:lineRule="auto"/>
            </w:pPr>
            <w:r>
              <w:rPr>
                <w:rFonts w:ascii="Times New Roman" w:hAnsi="Times New Roman" w:eastAsia="宋体"/>
                <w:sz w:val="20"/>
              </w:rPr>
              <w:t>INTC FY2023</w:t>
            </w:r>
          </w:p>
        </w:tc>
        <w:tc>
          <w:p w14:paraId="4DE3BA2C">
            <w:pPr>
              <w:pStyle w:val="26"/>
              <w:spacing w:before="20" w:after="20" w:line="276" w:lineRule="auto"/>
            </w:pPr>
            <w:r>
              <w:rPr>
                <w:rFonts w:ascii="Times New Roman" w:hAnsi="Times New Roman" w:eastAsia="宋体"/>
                <w:sz w:val="20"/>
              </w:rPr>
              <w:t>4×0.15+5×0.227+4×0.227+5×0.227+5×0.170 = 0.60+1.135+0.908+1.135+0.85</w:t>
            </w:r>
          </w:p>
        </w:tc>
        <w:tc>
          <w:p w14:paraId="3BB69957">
            <w:pPr>
              <w:pStyle w:val="26"/>
              <w:spacing w:before="20" w:after="20" w:line="276" w:lineRule="auto"/>
            </w:pPr>
            <w:r>
              <w:rPr>
                <w:rFonts w:ascii="Times New Roman" w:hAnsi="Times New Roman" w:eastAsia="宋体"/>
                <w:sz w:val="20"/>
              </w:rPr>
              <w:t>4.63</w:t>
            </w:r>
          </w:p>
        </w:tc>
        <w:tc>
          <w:p w14:paraId="0E064409">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w:t>
            </w:r>
          </w:p>
        </w:tc>
      </w:tr>
      <w:tr w14:paraId="5941BF9C">
        <w:tblPrEx>
          <w:tblCellMar>
            <w:top w:w="0" w:type="dxa"/>
            <w:left w:w="108" w:type="dxa"/>
            <w:bottom w:w="0" w:type="dxa"/>
            <w:right w:w="108" w:type="dxa"/>
          </w:tblCellMar>
        </w:tblPrEx>
        <w:trPr>
          <w:cantSplit/>
        </w:trPr>
        <w:tc>
          <w:p w14:paraId="6C07FE97">
            <w:pPr>
              <w:pStyle w:val="26"/>
              <w:spacing w:before="20" w:after="20" w:line="276" w:lineRule="auto"/>
            </w:pPr>
            <w:r>
              <w:rPr>
                <w:rFonts w:ascii="Times New Roman" w:hAnsi="Times New Roman" w:eastAsia="宋体"/>
                <w:sz w:val="20"/>
              </w:rPr>
              <w:t>GOOGL 2023</w:t>
            </w:r>
          </w:p>
        </w:tc>
        <w:tc>
          <w:p w14:paraId="49226BAE">
            <w:pPr>
              <w:pStyle w:val="26"/>
              <w:spacing w:before="20" w:after="20" w:line="276" w:lineRule="auto"/>
            </w:pPr>
            <w:r>
              <w:rPr>
                <w:rFonts w:ascii="Times New Roman" w:hAnsi="Times New Roman" w:eastAsia="宋体"/>
                <w:sz w:val="20"/>
              </w:rPr>
              <w:t>5×0.15+5×0.227+4×0.227+3×0.227+4×0.170 = 0.75+1.135+0.908+0.681+0.68</w:t>
            </w:r>
          </w:p>
        </w:tc>
        <w:tc>
          <w:p w14:paraId="2BA72825">
            <w:pPr>
              <w:pStyle w:val="26"/>
              <w:spacing w:before="20" w:after="20" w:line="276" w:lineRule="auto"/>
            </w:pPr>
            <w:r>
              <w:rPr>
                <w:rFonts w:ascii="Times New Roman" w:hAnsi="Times New Roman" w:eastAsia="宋体"/>
                <w:sz w:val="20"/>
              </w:rPr>
              <w:t>4.15</w:t>
            </w:r>
          </w:p>
        </w:tc>
        <w:tc>
          <w:p w14:paraId="4761710A">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2</w:t>
            </w:r>
          </w:p>
        </w:tc>
      </w:tr>
      <w:tr w14:paraId="5A97D13B">
        <w:tblPrEx>
          <w:tblCellMar>
            <w:top w:w="0" w:type="dxa"/>
            <w:left w:w="108" w:type="dxa"/>
            <w:bottom w:w="0" w:type="dxa"/>
            <w:right w:w="108" w:type="dxa"/>
          </w:tblCellMar>
        </w:tblPrEx>
        <w:trPr>
          <w:cantSplit/>
        </w:trPr>
        <w:tc>
          <w:p w14:paraId="12DF4DAA">
            <w:pPr>
              <w:pStyle w:val="26"/>
              <w:spacing w:before="20" w:after="20" w:line="276" w:lineRule="auto"/>
            </w:pPr>
            <w:r>
              <w:rPr>
                <w:rFonts w:ascii="Times New Roman" w:hAnsi="Times New Roman" w:eastAsia="宋体"/>
                <w:sz w:val="20"/>
              </w:rPr>
              <w:t>MSFT FY2024</w:t>
            </w:r>
          </w:p>
        </w:tc>
        <w:tc>
          <w:p w14:paraId="0E0C55F8">
            <w:pPr>
              <w:pStyle w:val="26"/>
              <w:spacing w:before="20" w:after="20" w:line="276" w:lineRule="auto"/>
            </w:pPr>
            <w:r>
              <w:rPr>
                <w:rFonts w:ascii="Times New Roman" w:hAnsi="Times New Roman" w:eastAsia="宋体"/>
                <w:sz w:val="20"/>
              </w:rPr>
              <w:t>5×0.15+4×0.227+3×0.227+4×0.227+5×0.170 = 0.75+0.908+0.681+0.908+0.85</w:t>
            </w:r>
          </w:p>
        </w:tc>
        <w:tc>
          <w:p w14:paraId="3A5EAFCE">
            <w:pPr>
              <w:pStyle w:val="26"/>
              <w:spacing w:before="20" w:after="20" w:line="276" w:lineRule="auto"/>
            </w:pPr>
            <w:r>
              <w:rPr>
                <w:rFonts w:ascii="Times New Roman" w:hAnsi="Times New Roman" w:eastAsia="宋体"/>
                <w:sz w:val="20"/>
              </w:rPr>
              <w:t>4.10</w:t>
            </w:r>
          </w:p>
        </w:tc>
        <w:tc>
          <w:p w14:paraId="48F6820A">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3</w:t>
            </w:r>
          </w:p>
        </w:tc>
      </w:tr>
      <w:tr w14:paraId="3EB88F7F">
        <w:tblPrEx>
          <w:tblCellMar>
            <w:top w:w="0" w:type="dxa"/>
            <w:left w:w="108" w:type="dxa"/>
            <w:bottom w:w="0" w:type="dxa"/>
            <w:right w:w="108" w:type="dxa"/>
          </w:tblCellMar>
        </w:tblPrEx>
        <w:trPr>
          <w:cantSplit/>
        </w:trPr>
        <w:tc>
          <w:p w14:paraId="7821CAEE">
            <w:pPr>
              <w:pStyle w:val="26"/>
              <w:spacing w:before="20" w:after="20" w:line="276" w:lineRule="auto"/>
            </w:pPr>
            <w:r>
              <w:rPr>
                <w:rFonts w:ascii="Times New Roman" w:hAnsi="Times New Roman" w:eastAsia="宋体"/>
                <w:sz w:val="20"/>
              </w:rPr>
              <w:t>AMD FY2023</w:t>
            </w:r>
          </w:p>
        </w:tc>
        <w:tc>
          <w:p w14:paraId="2581A921">
            <w:pPr>
              <w:pStyle w:val="26"/>
              <w:spacing w:before="20" w:after="20" w:line="276" w:lineRule="auto"/>
            </w:pPr>
            <w:r>
              <w:rPr>
                <w:rFonts w:ascii="Times New Roman" w:hAnsi="Times New Roman" w:eastAsia="宋体"/>
                <w:sz w:val="20"/>
              </w:rPr>
              <w:t>3×0.15+2×0.227+3×0.227+1×0.227+3×0.170 = 0.45+0.454+0.681+0.227+0.51</w:t>
            </w:r>
          </w:p>
        </w:tc>
        <w:tc>
          <w:p w14:paraId="094C1219">
            <w:pPr>
              <w:pStyle w:val="26"/>
              <w:spacing w:before="20" w:after="20" w:line="276" w:lineRule="auto"/>
            </w:pPr>
            <w:r>
              <w:rPr>
                <w:rFonts w:ascii="Times New Roman" w:hAnsi="Times New Roman" w:eastAsia="宋体"/>
                <w:sz w:val="20"/>
              </w:rPr>
              <w:t>2.32</w:t>
            </w:r>
          </w:p>
        </w:tc>
        <w:tc>
          <w:p w14:paraId="2E820F1B">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9</w:t>
            </w:r>
          </w:p>
        </w:tc>
      </w:tr>
      <w:tr w14:paraId="13DB698A">
        <w:tblPrEx>
          <w:tblCellMar>
            <w:top w:w="0" w:type="dxa"/>
            <w:left w:w="108" w:type="dxa"/>
            <w:bottom w:w="0" w:type="dxa"/>
            <w:right w:w="108" w:type="dxa"/>
          </w:tblCellMar>
        </w:tblPrEx>
        <w:trPr>
          <w:cantSplit/>
        </w:trPr>
        <w:tc>
          <w:p w14:paraId="381FB06E">
            <w:pPr>
              <w:pStyle w:val="26"/>
              <w:spacing w:before="20" w:after="20" w:line="276" w:lineRule="auto"/>
            </w:pPr>
            <w:r>
              <w:rPr>
                <w:rFonts w:ascii="Times New Roman" w:hAnsi="Times New Roman" w:eastAsia="宋体"/>
                <w:sz w:val="20"/>
              </w:rPr>
              <w:t>CRM FY2024</w:t>
            </w:r>
          </w:p>
        </w:tc>
        <w:tc>
          <w:p w14:paraId="17A9C207">
            <w:pPr>
              <w:pStyle w:val="26"/>
              <w:spacing w:before="20" w:after="20" w:line="276" w:lineRule="auto"/>
            </w:pPr>
            <w:r>
              <w:rPr>
                <w:rFonts w:ascii="Times New Roman" w:hAnsi="Times New Roman" w:eastAsia="宋体"/>
                <w:sz w:val="20"/>
              </w:rPr>
              <w:t>3×0.15+3×0.227+2×0.227+1×0.227+1×0.170 = 0.45+0.681+0.454+0.227+0.17</w:t>
            </w:r>
          </w:p>
        </w:tc>
        <w:tc>
          <w:p w14:paraId="3F5A5935">
            <w:pPr>
              <w:pStyle w:val="26"/>
              <w:spacing w:before="20" w:after="20" w:line="276" w:lineRule="auto"/>
            </w:pPr>
            <w:r>
              <w:rPr>
                <w:rFonts w:ascii="Times New Roman" w:hAnsi="Times New Roman" w:eastAsia="宋体"/>
                <w:sz w:val="20"/>
              </w:rPr>
              <w:t>1.98</w:t>
            </w:r>
          </w:p>
        </w:tc>
        <w:tc>
          <w:p w14:paraId="6826BD57">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10</w:t>
            </w:r>
          </w:p>
        </w:tc>
      </w:tr>
    </w:tbl>
    <w:p w14:paraId="09768F7F">
      <w:pPr>
        <w:pStyle w:val="3"/>
        <w:spacing w:before="40" w:after="40" w:line="360" w:lineRule="auto"/>
        <w:ind w:firstLine="480"/>
      </w:pPr>
      <w:r>
        <w:rPr>
          <w:rFonts w:hint="eastAsia" w:ascii="Times New Roman" w:hAnsi="Times New Roman" w:eastAsia="宋体"/>
          <w:b/>
          <w:bCs/>
          <w:sz w:val="24"/>
        </w:rPr>
        <w:t>情形二：D1=0.35</w:t>
      </w:r>
      <w:r>
        <w:rPr>
          <w:rFonts w:hint="eastAsia" w:ascii="Times New Roman" w:hAnsi="Times New Roman" w:eastAsia="宋体"/>
          <w:sz w:val="24"/>
        </w:rPr>
        <w:t>（其余维度权重：D2=D3=D4≈0.173，D5≈0.130）</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0772F138">
        <w:tblPrEx>
          <w:tblCellMar>
            <w:top w:w="0" w:type="dxa"/>
            <w:left w:w="108" w:type="dxa"/>
            <w:bottom w:w="0" w:type="dxa"/>
            <w:right w:w="108" w:type="dxa"/>
          </w:tblCellMar>
        </w:tblPrEx>
        <w:trPr>
          <w:cantSplit/>
          <w:tblHeader/>
        </w:trPr>
        <w:tc>
          <w:p w14:paraId="262035DA">
            <w:pPr>
              <w:pStyle w:val="26"/>
              <w:spacing w:before="20" w:after="20" w:line="276" w:lineRule="auto"/>
            </w:pPr>
            <w:r>
              <w:rPr>
                <w:rFonts w:hint="eastAsia" w:ascii="Times New Roman" w:hAnsi="Times New Roman" w:eastAsia="宋体"/>
                <w:sz w:val="20"/>
              </w:rPr>
              <w:t>观测</w:t>
            </w:r>
          </w:p>
        </w:tc>
        <w:tc>
          <w:p w14:paraId="5E37B3B5">
            <w:pPr>
              <w:pStyle w:val="26"/>
              <w:spacing w:before="20" w:after="20" w:line="276" w:lineRule="auto"/>
            </w:pPr>
            <w:r>
              <w:rPr>
                <w:rFonts w:hint="eastAsia" w:ascii="Times New Roman" w:hAnsi="Times New Roman" w:eastAsia="宋体"/>
                <w:sz w:val="20"/>
              </w:rPr>
              <w:t>验算式</w:t>
            </w:r>
          </w:p>
        </w:tc>
        <w:tc>
          <w:p w14:paraId="5FBE4587">
            <w:pPr>
              <w:pStyle w:val="26"/>
              <w:spacing w:before="20" w:after="20" w:line="276" w:lineRule="auto"/>
            </w:pPr>
            <w:r>
              <w:rPr>
                <w:rFonts w:hint="eastAsia" w:ascii="Times New Roman" w:hAnsi="Times New Roman" w:eastAsia="宋体"/>
                <w:sz w:val="20"/>
              </w:rPr>
              <w:t>综合评分</w:t>
            </w:r>
          </w:p>
        </w:tc>
        <w:tc>
          <w:p w14:paraId="161C1E99">
            <w:pPr>
              <w:pStyle w:val="26"/>
              <w:spacing w:before="20" w:after="20" w:line="276" w:lineRule="auto"/>
            </w:pPr>
            <w:r>
              <w:rPr>
                <w:rFonts w:hint="eastAsia" w:ascii="Times New Roman" w:hAnsi="Times New Roman" w:eastAsia="宋体"/>
                <w:sz w:val="20"/>
              </w:rPr>
              <w:t>排名</w:t>
            </w:r>
          </w:p>
        </w:tc>
      </w:tr>
      <w:tr w14:paraId="7FE88C0C">
        <w:tblPrEx>
          <w:tblCellMar>
            <w:top w:w="0" w:type="dxa"/>
            <w:left w:w="108" w:type="dxa"/>
            <w:bottom w:w="0" w:type="dxa"/>
            <w:right w:w="108" w:type="dxa"/>
          </w:tblCellMar>
        </w:tblPrEx>
        <w:trPr>
          <w:cantSplit/>
        </w:trPr>
        <w:tc>
          <w:p w14:paraId="53312BA5">
            <w:pPr>
              <w:pStyle w:val="26"/>
              <w:spacing w:before="20" w:after="20" w:line="276" w:lineRule="auto"/>
            </w:pPr>
            <w:r>
              <w:rPr>
                <w:rFonts w:ascii="Times New Roman" w:hAnsi="Times New Roman" w:eastAsia="宋体"/>
                <w:sz w:val="20"/>
              </w:rPr>
              <w:t>INTC FY2023</w:t>
            </w:r>
          </w:p>
        </w:tc>
        <w:tc>
          <w:p w14:paraId="636491D7">
            <w:pPr>
              <w:pStyle w:val="26"/>
              <w:spacing w:before="20" w:after="20" w:line="276" w:lineRule="auto"/>
            </w:pPr>
            <w:r>
              <w:rPr>
                <w:rFonts w:ascii="Times New Roman" w:hAnsi="Times New Roman" w:eastAsia="宋体"/>
                <w:sz w:val="20"/>
              </w:rPr>
              <w:t>4×0.35+5×0.173+4×0.173+5×0.173+5×0.130 = 1.40+0.865+0.692+0.865+0.65</w:t>
            </w:r>
          </w:p>
        </w:tc>
        <w:tc>
          <w:p w14:paraId="32AEBE8C">
            <w:pPr>
              <w:pStyle w:val="26"/>
              <w:spacing w:before="20" w:after="20" w:line="276" w:lineRule="auto"/>
            </w:pPr>
            <w:r>
              <w:rPr>
                <w:rFonts w:ascii="Times New Roman" w:hAnsi="Times New Roman" w:eastAsia="宋体"/>
                <w:sz w:val="20"/>
              </w:rPr>
              <w:t>4.47</w:t>
            </w:r>
          </w:p>
        </w:tc>
        <w:tc>
          <w:p w14:paraId="4FE2F5F8">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w:t>
            </w:r>
          </w:p>
        </w:tc>
      </w:tr>
      <w:tr w14:paraId="29CC2D35">
        <w:tblPrEx>
          <w:tblCellMar>
            <w:top w:w="0" w:type="dxa"/>
            <w:left w:w="108" w:type="dxa"/>
            <w:bottom w:w="0" w:type="dxa"/>
            <w:right w:w="108" w:type="dxa"/>
          </w:tblCellMar>
        </w:tblPrEx>
        <w:trPr>
          <w:cantSplit/>
        </w:trPr>
        <w:tc>
          <w:p w14:paraId="11D39F52">
            <w:pPr>
              <w:pStyle w:val="26"/>
              <w:spacing w:before="20" w:after="20" w:line="276" w:lineRule="auto"/>
            </w:pPr>
            <w:r>
              <w:rPr>
                <w:rFonts w:ascii="Times New Roman" w:hAnsi="Times New Roman" w:eastAsia="宋体"/>
                <w:sz w:val="20"/>
              </w:rPr>
              <w:t>GOOGL 2023</w:t>
            </w:r>
          </w:p>
        </w:tc>
        <w:tc>
          <w:p w14:paraId="35FB19D9">
            <w:pPr>
              <w:pStyle w:val="26"/>
              <w:spacing w:before="20" w:after="20" w:line="276" w:lineRule="auto"/>
            </w:pPr>
            <w:r>
              <w:rPr>
                <w:rFonts w:ascii="Times New Roman" w:hAnsi="Times New Roman" w:eastAsia="宋体"/>
                <w:sz w:val="20"/>
              </w:rPr>
              <w:t>5×0.35+5×0.173+4×0.173+3×0.173+4×0.130 = 1.75+0.865+0.692+0.519+0.52</w:t>
            </w:r>
          </w:p>
        </w:tc>
        <w:tc>
          <w:p w14:paraId="29F645E8">
            <w:pPr>
              <w:pStyle w:val="26"/>
              <w:spacing w:before="20" w:after="20" w:line="276" w:lineRule="auto"/>
            </w:pPr>
            <w:r>
              <w:rPr>
                <w:rFonts w:ascii="Times New Roman" w:hAnsi="Times New Roman" w:eastAsia="宋体"/>
                <w:sz w:val="20"/>
              </w:rPr>
              <w:t>4.35</w:t>
            </w:r>
          </w:p>
        </w:tc>
        <w:tc>
          <w:p w14:paraId="51BAE51F">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2</w:t>
            </w:r>
          </w:p>
        </w:tc>
      </w:tr>
      <w:tr w14:paraId="36090271">
        <w:tblPrEx>
          <w:tblCellMar>
            <w:top w:w="0" w:type="dxa"/>
            <w:left w:w="108" w:type="dxa"/>
            <w:bottom w:w="0" w:type="dxa"/>
            <w:right w:w="108" w:type="dxa"/>
          </w:tblCellMar>
        </w:tblPrEx>
        <w:trPr>
          <w:cantSplit/>
        </w:trPr>
        <w:tc>
          <w:p w14:paraId="165818E9">
            <w:pPr>
              <w:pStyle w:val="26"/>
              <w:spacing w:before="20" w:after="20" w:line="276" w:lineRule="auto"/>
            </w:pPr>
            <w:r>
              <w:rPr>
                <w:rFonts w:ascii="Times New Roman" w:hAnsi="Times New Roman" w:eastAsia="宋体"/>
                <w:sz w:val="20"/>
              </w:rPr>
              <w:t>MSFT FY2024</w:t>
            </w:r>
          </w:p>
        </w:tc>
        <w:tc>
          <w:p w14:paraId="65675AF9">
            <w:pPr>
              <w:pStyle w:val="26"/>
              <w:spacing w:before="20" w:after="20" w:line="276" w:lineRule="auto"/>
            </w:pPr>
            <w:r>
              <w:rPr>
                <w:rFonts w:ascii="Times New Roman" w:hAnsi="Times New Roman" w:eastAsia="宋体"/>
                <w:sz w:val="20"/>
              </w:rPr>
              <w:t>5×0.35+4×0.173+3×0.173+4×0.173+5×0.130 = 1.75+0.692+0.519+0.692+0.65</w:t>
            </w:r>
          </w:p>
        </w:tc>
        <w:tc>
          <w:p w14:paraId="1FBF0C0F">
            <w:pPr>
              <w:pStyle w:val="26"/>
              <w:spacing w:before="20" w:after="20" w:line="276" w:lineRule="auto"/>
            </w:pPr>
            <w:r>
              <w:rPr>
                <w:rFonts w:ascii="Times New Roman" w:hAnsi="Times New Roman" w:eastAsia="宋体"/>
                <w:sz w:val="20"/>
              </w:rPr>
              <w:t>4.30</w:t>
            </w:r>
          </w:p>
        </w:tc>
        <w:tc>
          <w:p w14:paraId="0D1CD20C">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3</w:t>
            </w:r>
          </w:p>
        </w:tc>
      </w:tr>
      <w:tr w14:paraId="115B0A64">
        <w:tblPrEx>
          <w:tblCellMar>
            <w:top w:w="0" w:type="dxa"/>
            <w:left w:w="108" w:type="dxa"/>
            <w:bottom w:w="0" w:type="dxa"/>
            <w:right w:w="108" w:type="dxa"/>
          </w:tblCellMar>
        </w:tblPrEx>
        <w:trPr>
          <w:cantSplit/>
        </w:trPr>
        <w:tc>
          <w:p w14:paraId="0D6DBC65">
            <w:pPr>
              <w:pStyle w:val="26"/>
              <w:spacing w:before="20" w:after="20" w:line="276" w:lineRule="auto"/>
            </w:pPr>
            <w:r>
              <w:rPr>
                <w:rFonts w:ascii="Times New Roman" w:hAnsi="Times New Roman" w:eastAsia="宋体"/>
                <w:sz w:val="20"/>
              </w:rPr>
              <w:t>AMD FY2023</w:t>
            </w:r>
          </w:p>
        </w:tc>
        <w:tc>
          <w:p w14:paraId="58EB9D78">
            <w:pPr>
              <w:pStyle w:val="26"/>
              <w:spacing w:before="20" w:after="20" w:line="276" w:lineRule="auto"/>
            </w:pPr>
            <w:r>
              <w:rPr>
                <w:rFonts w:ascii="Times New Roman" w:hAnsi="Times New Roman" w:eastAsia="宋体"/>
                <w:sz w:val="20"/>
              </w:rPr>
              <w:t>3×0.35+2×0.173+3×0.173+1×0.173+3×0.130 = 1.05+0.346+0.519+0.173+0.39</w:t>
            </w:r>
          </w:p>
        </w:tc>
        <w:tc>
          <w:p w14:paraId="572C3C59">
            <w:pPr>
              <w:pStyle w:val="26"/>
              <w:spacing w:before="20" w:after="20" w:line="276" w:lineRule="auto"/>
            </w:pPr>
            <w:r>
              <w:rPr>
                <w:rFonts w:ascii="Times New Roman" w:hAnsi="Times New Roman" w:eastAsia="宋体"/>
                <w:sz w:val="20"/>
              </w:rPr>
              <w:t>2.48</w:t>
            </w:r>
          </w:p>
        </w:tc>
        <w:tc>
          <w:p w14:paraId="4B1C7B16">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9</w:t>
            </w:r>
          </w:p>
        </w:tc>
      </w:tr>
      <w:tr w14:paraId="6D4E2C22">
        <w:tblPrEx>
          <w:tblCellMar>
            <w:top w:w="0" w:type="dxa"/>
            <w:left w:w="108" w:type="dxa"/>
            <w:bottom w:w="0" w:type="dxa"/>
            <w:right w:w="108" w:type="dxa"/>
          </w:tblCellMar>
        </w:tblPrEx>
        <w:trPr>
          <w:cantSplit/>
        </w:trPr>
        <w:tc>
          <w:p w14:paraId="067ECA7B">
            <w:pPr>
              <w:pStyle w:val="26"/>
              <w:spacing w:before="20" w:after="20" w:line="276" w:lineRule="auto"/>
            </w:pPr>
            <w:r>
              <w:rPr>
                <w:rFonts w:ascii="Times New Roman" w:hAnsi="Times New Roman" w:eastAsia="宋体"/>
                <w:sz w:val="20"/>
              </w:rPr>
              <w:t>CRM FY2024</w:t>
            </w:r>
          </w:p>
        </w:tc>
        <w:tc>
          <w:p w14:paraId="7E1700AA">
            <w:pPr>
              <w:pStyle w:val="26"/>
              <w:spacing w:before="20" w:after="20" w:line="276" w:lineRule="auto"/>
            </w:pPr>
            <w:r>
              <w:rPr>
                <w:rFonts w:ascii="Times New Roman" w:hAnsi="Times New Roman" w:eastAsia="宋体"/>
                <w:sz w:val="20"/>
              </w:rPr>
              <w:t>3×0.35+3×0.173+2×0.173+1×0.173+1×0.130 = 1.05+0.519+0.346+0.173+0.13</w:t>
            </w:r>
          </w:p>
        </w:tc>
        <w:tc>
          <w:p w14:paraId="3E77F896">
            <w:pPr>
              <w:pStyle w:val="26"/>
              <w:spacing w:before="20" w:after="20" w:line="276" w:lineRule="auto"/>
            </w:pPr>
            <w:r>
              <w:rPr>
                <w:rFonts w:ascii="Times New Roman" w:hAnsi="Times New Roman" w:eastAsia="宋体"/>
                <w:sz w:val="20"/>
              </w:rPr>
              <w:t>2.22</w:t>
            </w:r>
          </w:p>
        </w:tc>
        <w:tc>
          <w:p w14:paraId="0A4395ED">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10</w:t>
            </w:r>
          </w:p>
        </w:tc>
      </w:tr>
    </w:tbl>
    <w:p w14:paraId="32357206">
      <w:pPr>
        <w:pStyle w:val="3"/>
        <w:spacing w:before="40" w:after="40" w:line="360" w:lineRule="auto"/>
        <w:ind w:firstLine="480"/>
      </w:pPr>
      <w:r>
        <w:rPr>
          <w:rFonts w:hint="eastAsia" w:ascii="Times New Roman" w:hAnsi="Times New Roman" w:eastAsia="宋体"/>
          <w:sz w:val="24"/>
        </w:rPr>
        <w:t>（中间梯队</w:t>
      </w:r>
      <w:r>
        <w:rPr>
          <w:rFonts w:ascii="Times New Roman" w:hAnsi="Times New Roman" w:eastAsia="宋体"/>
          <w:sz w:val="24"/>
        </w:rPr>
        <w:t xml:space="preserve"> Meta/Micron/Oracle/Tesla/NVIDIA </w:t>
      </w:r>
      <w:r>
        <w:rPr>
          <w:rFonts w:hint="eastAsia" w:ascii="Times New Roman" w:hAnsi="Times New Roman" w:eastAsia="宋体"/>
          <w:sz w:val="24"/>
        </w:rPr>
        <w:t>验算式从略，结论同。）</w:t>
      </w:r>
    </w:p>
    <w:p w14:paraId="5118A698">
      <w:pPr>
        <w:pStyle w:val="3"/>
        <w:spacing w:before="40" w:after="40" w:line="360" w:lineRule="auto"/>
        <w:ind w:firstLine="480"/>
      </w:pPr>
      <w:r>
        <w:rPr>
          <w:rFonts w:hint="eastAsia" w:ascii="Times New Roman" w:hAnsi="Times New Roman" w:eastAsia="宋体"/>
          <w:sz w:val="24"/>
        </w:rPr>
        <w:t>结论：在</w:t>
      </w:r>
      <w:r>
        <w:rPr>
          <w:rFonts w:ascii="Times New Roman" w:hAnsi="Times New Roman" w:eastAsia="宋体"/>
          <w:sz w:val="24"/>
        </w:rPr>
        <w:t xml:space="preserve"> D1 </w:t>
      </w:r>
      <w:r>
        <w:rPr>
          <w:rFonts w:hint="eastAsia" w:ascii="Times New Roman" w:hAnsi="Times New Roman" w:eastAsia="宋体"/>
          <w:sz w:val="24"/>
        </w:rPr>
        <w:t>权重</w:t>
      </w:r>
      <w:r>
        <w:rPr>
          <w:rFonts w:ascii="Times New Roman" w:hAnsi="Times New Roman" w:eastAsia="宋体"/>
          <w:sz w:val="24"/>
        </w:rPr>
        <w:t xml:space="preserve"> 0.15-0.35 </w:t>
      </w:r>
      <w:r>
        <w:rPr>
          <w:rFonts w:hint="eastAsia" w:ascii="Times New Roman" w:hAnsi="Times New Roman" w:eastAsia="宋体"/>
          <w:sz w:val="24"/>
        </w:rPr>
        <w:t>的宽幅变动下，前三名为</w:t>
      </w:r>
      <w:r>
        <w:rPr>
          <w:rFonts w:ascii="Times New Roman" w:hAnsi="Times New Roman" w:eastAsia="宋体"/>
          <w:sz w:val="24"/>
        </w:rPr>
        <w:t xml:space="preserve"> </w:t>
      </w:r>
      <w:r>
        <w:rPr>
          <w:rFonts w:hint="eastAsia" w:ascii="Times New Roman" w:hAnsi="Times New Roman" w:eastAsia="宋体"/>
          <w:sz w:val="24"/>
        </w:rPr>
        <w:t>INTC/GOOGL/MSFT、后两名为</w:t>
      </w:r>
      <w:r>
        <w:rPr>
          <w:rFonts w:ascii="Times New Roman" w:hAnsi="Times New Roman" w:eastAsia="宋体"/>
          <w:sz w:val="24"/>
        </w:rPr>
        <w:t xml:space="preserve"> AMD/CRM </w:t>
      </w:r>
      <w:r>
        <w:rPr>
          <w:rFonts w:hint="eastAsia" w:ascii="Times New Roman" w:hAnsi="Times New Roman" w:eastAsia="宋体"/>
          <w:sz w:val="24"/>
        </w:rPr>
        <w:t>的排序完全不变；中间梯队（Meta/Micron/Oracle/Tesla/NVIDIA）的相对位置略有微调，但风险等级（高/中高/中/低）划分保持稳定。这表明</w:t>
      </w:r>
      <w:r>
        <w:rPr>
          <w:rFonts w:ascii="Times New Roman" w:hAnsi="Times New Roman" w:eastAsia="宋体"/>
          <w:sz w:val="24"/>
        </w:rPr>
        <w:t xml:space="preserve"> 5D-DRS </w:t>
      </w:r>
      <w:r>
        <w:rPr>
          <w:rFonts w:hint="eastAsia" w:ascii="Times New Roman" w:hAnsi="Times New Roman" w:eastAsia="宋体"/>
          <w:sz w:val="24"/>
        </w:rPr>
        <w:t>的综合排序对单一维度权重的主观设定不敏感，结论具有稳健性。</w:t>
      </w:r>
    </w:p>
    <w:bookmarkEnd w:id="67"/>
    <w:p w14:paraId="489C1CFD">
      <w:pPr>
        <w:pStyle w:val="5"/>
        <w:spacing w:before="240" w:after="120" w:line="360" w:lineRule="auto"/>
      </w:pPr>
      <w:bookmarkStart w:id="68" w:name="评分锚点表"/>
      <w:r>
        <w:rPr>
          <w:rFonts w:ascii="Times New Roman" w:hAnsi="Times New Roman" w:eastAsia="黑体"/>
          <w:b/>
          <w:color w:val="003366"/>
          <w:sz w:val="24"/>
        </w:rPr>
        <w:t xml:space="preserve">3.4.2 </w:t>
      </w:r>
      <w:r>
        <w:rPr>
          <w:rFonts w:hint="eastAsia" w:ascii="Times New Roman" w:hAnsi="Times New Roman" w:eastAsia="黑体"/>
          <w:b/>
          <w:color w:val="003366"/>
          <w:sz w:val="24"/>
        </w:rPr>
        <w:t>评分锚点表</w:t>
      </w:r>
    </w:p>
    <w:p w14:paraId="510D8562">
      <w:pPr>
        <w:pStyle w:val="25"/>
        <w:spacing w:before="40" w:after="40" w:line="360" w:lineRule="auto"/>
        <w:ind w:firstLine="480"/>
      </w:pPr>
      <w:r>
        <w:rPr>
          <w:rFonts w:hint="eastAsia" w:ascii="Times New Roman" w:hAnsi="Times New Roman" w:eastAsia="宋体"/>
          <w:sz w:val="24"/>
        </w:rPr>
        <w:t>为保证跨公司、跨年份评分的可比性，每个维度预设</w:t>
      </w:r>
      <w:r>
        <w:rPr>
          <w:rFonts w:ascii="Times New Roman" w:hAnsi="Times New Roman" w:eastAsia="宋体"/>
          <w:sz w:val="24"/>
        </w:rPr>
        <w:t xml:space="preserve"> 1-5 </w:t>
      </w:r>
      <w:r>
        <w:rPr>
          <w:rFonts w:hint="eastAsia" w:ascii="Times New Roman" w:hAnsi="Times New Roman" w:eastAsia="宋体"/>
          <w:sz w:val="24"/>
        </w:rPr>
        <w:t>分锚点：</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2A5FE849">
        <w:tblPrEx>
          <w:tblCellMar>
            <w:top w:w="0" w:type="dxa"/>
            <w:left w:w="108" w:type="dxa"/>
            <w:bottom w:w="0" w:type="dxa"/>
            <w:right w:w="108" w:type="dxa"/>
          </w:tblCellMar>
        </w:tblPrEx>
        <w:trPr>
          <w:cantSplit/>
          <w:tblHeader/>
        </w:trPr>
        <w:tc>
          <w:p w14:paraId="1F8A7581">
            <w:pPr>
              <w:pStyle w:val="26"/>
              <w:spacing w:before="20" w:after="20" w:line="276" w:lineRule="auto"/>
            </w:pPr>
            <w:r>
              <w:rPr>
                <w:rFonts w:hint="eastAsia" w:ascii="Times New Roman" w:hAnsi="Times New Roman" w:eastAsia="宋体"/>
                <w:b/>
                <w:bCs/>
                <w:sz w:val="20"/>
              </w:rPr>
              <w:t>维度</w:t>
            </w:r>
          </w:p>
        </w:tc>
        <w:tc>
          <w:p w14:paraId="0B6C5434">
            <w:pPr>
              <w:pStyle w:val="26"/>
              <w:spacing w:before="20" w:after="20" w:line="276" w:lineRule="auto"/>
            </w:pPr>
            <w:r>
              <w:rPr>
                <w:rFonts w:ascii="Times New Roman" w:hAnsi="Times New Roman" w:eastAsia="宋体"/>
                <w:b/>
                <w:bCs/>
                <w:sz w:val="20"/>
              </w:rPr>
              <w:t xml:space="preserve">5 </w:t>
            </w:r>
            <w:r>
              <w:rPr>
                <w:rFonts w:hint="eastAsia" w:ascii="Times New Roman" w:hAnsi="Times New Roman" w:eastAsia="宋体"/>
                <w:b/>
                <w:bCs/>
                <w:sz w:val="20"/>
              </w:rPr>
              <w:t>分</w:t>
            </w:r>
          </w:p>
        </w:tc>
        <w:tc>
          <w:p w14:paraId="4EE52DD1">
            <w:pPr>
              <w:pStyle w:val="26"/>
              <w:spacing w:before="20" w:after="20" w:line="276" w:lineRule="auto"/>
            </w:pPr>
            <w:r>
              <w:rPr>
                <w:rFonts w:ascii="Times New Roman" w:hAnsi="Times New Roman" w:eastAsia="宋体"/>
                <w:b/>
                <w:bCs/>
                <w:sz w:val="20"/>
              </w:rPr>
              <w:t xml:space="preserve">4 </w:t>
            </w:r>
            <w:r>
              <w:rPr>
                <w:rFonts w:hint="eastAsia" w:ascii="Times New Roman" w:hAnsi="Times New Roman" w:eastAsia="宋体"/>
                <w:b/>
                <w:bCs/>
                <w:sz w:val="20"/>
              </w:rPr>
              <w:t>分</w:t>
            </w:r>
          </w:p>
        </w:tc>
        <w:tc>
          <w:p w14:paraId="60AA26C3">
            <w:pPr>
              <w:pStyle w:val="26"/>
              <w:spacing w:before="20" w:after="20" w:line="276" w:lineRule="auto"/>
            </w:pPr>
            <w:r>
              <w:rPr>
                <w:rFonts w:ascii="Times New Roman" w:hAnsi="Times New Roman" w:eastAsia="宋体"/>
                <w:b/>
                <w:bCs/>
                <w:sz w:val="20"/>
              </w:rPr>
              <w:t xml:space="preserve">3 </w:t>
            </w:r>
            <w:r>
              <w:rPr>
                <w:rFonts w:hint="eastAsia" w:ascii="Times New Roman" w:hAnsi="Times New Roman" w:eastAsia="宋体"/>
                <w:b/>
                <w:bCs/>
                <w:sz w:val="20"/>
              </w:rPr>
              <w:t>分</w:t>
            </w:r>
          </w:p>
        </w:tc>
        <w:tc>
          <w:p w14:paraId="54D86A13">
            <w:pPr>
              <w:pStyle w:val="26"/>
              <w:spacing w:before="20" w:after="20" w:line="276" w:lineRule="auto"/>
            </w:pPr>
            <w:r>
              <w:rPr>
                <w:rFonts w:ascii="Times New Roman" w:hAnsi="Times New Roman" w:eastAsia="宋体"/>
                <w:b/>
                <w:bCs/>
                <w:sz w:val="20"/>
              </w:rPr>
              <w:t xml:space="preserve">2 </w:t>
            </w:r>
            <w:r>
              <w:rPr>
                <w:rFonts w:hint="eastAsia" w:ascii="Times New Roman" w:hAnsi="Times New Roman" w:eastAsia="宋体"/>
                <w:b/>
                <w:bCs/>
                <w:sz w:val="20"/>
              </w:rPr>
              <w:t>分</w:t>
            </w:r>
          </w:p>
        </w:tc>
        <w:tc>
          <w:p w14:paraId="49EBB04E">
            <w:pPr>
              <w:pStyle w:val="26"/>
              <w:spacing w:before="20" w:after="20" w:line="276" w:lineRule="auto"/>
            </w:pPr>
            <w:r>
              <w:rPr>
                <w:rFonts w:ascii="Times New Roman" w:hAnsi="Times New Roman" w:eastAsia="宋体"/>
                <w:b/>
                <w:bCs/>
                <w:sz w:val="20"/>
              </w:rPr>
              <w:t xml:space="preserve">1 </w:t>
            </w:r>
            <w:r>
              <w:rPr>
                <w:rFonts w:hint="eastAsia" w:ascii="Times New Roman" w:hAnsi="Times New Roman" w:eastAsia="宋体"/>
                <w:b/>
                <w:bCs/>
                <w:sz w:val="20"/>
              </w:rPr>
              <w:t>分</w:t>
            </w:r>
          </w:p>
        </w:tc>
      </w:tr>
      <w:tr w14:paraId="2517D6F1">
        <w:tblPrEx>
          <w:tblCellMar>
            <w:top w:w="0" w:type="dxa"/>
            <w:left w:w="108" w:type="dxa"/>
            <w:bottom w:w="0" w:type="dxa"/>
            <w:right w:w="108" w:type="dxa"/>
          </w:tblCellMar>
        </w:tblPrEx>
        <w:trPr>
          <w:cantSplit/>
        </w:trPr>
        <w:tc>
          <w:p w14:paraId="24B2C042">
            <w:pPr>
              <w:pStyle w:val="26"/>
              <w:spacing w:before="20" w:after="20" w:line="276" w:lineRule="auto"/>
            </w:pPr>
            <w:r>
              <w:rPr>
                <w:rFonts w:ascii="Times New Roman" w:hAnsi="Times New Roman" w:eastAsia="宋体"/>
                <w:sz w:val="20"/>
              </w:rPr>
              <w:t xml:space="preserve">D1 </w:t>
            </w:r>
            <w:r>
              <w:rPr>
                <w:rFonts w:hint="eastAsia" w:ascii="Times New Roman" w:hAnsi="Times New Roman" w:eastAsia="宋体"/>
                <w:sz w:val="20"/>
              </w:rPr>
              <w:t>年限错配</w:t>
            </w:r>
          </w:p>
        </w:tc>
        <w:tc>
          <w:p w14:paraId="68D63264">
            <w:pPr>
              <w:pStyle w:val="26"/>
              <w:spacing w:before="20" w:after="20" w:line="276" w:lineRule="auto"/>
            </w:pPr>
            <w:r>
              <w:rPr>
                <w:rFonts w:ascii="Times New Roman" w:hAnsi="Times New Roman" w:eastAsia="宋体"/>
                <w:sz w:val="20"/>
              </w:rPr>
              <w:t xml:space="preserve">≥6 </w:t>
            </w:r>
            <w:r>
              <w:rPr>
                <w:rFonts w:hint="eastAsia" w:ascii="Times New Roman" w:hAnsi="Times New Roman" w:eastAsia="宋体"/>
                <w:sz w:val="20"/>
              </w:rPr>
              <w:t>年</w:t>
            </w:r>
          </w:p>
        </w:tc>
        <w:tc>
          <w:p w14:paraId="39718332">
            <w:pPr>
              <w:pStyle w:val="26"/>
              <w:spacing w:before="20" w:after="20" w:line="276" w:lineRule="auto"/>
            </w:pPr>
            <w:r>
              <w:rPr>
                <w:rFonts w:ascii="Times New Roman" w:hAnsi="Times New Roman" w:eastAsia="宋体"/>
                <w:sz w:val="20"/>
              </w:rPr>
              <w:t xml:space="preserve">4-6 </w:t>
            </w:r>
            <w:r>
              <w:rPr>
                <w:rFonts w:hint="eastAsia" w:ascii="Times New Roman" w:hAnsi="Times New Roman" w:eastAsia="宋体"/>
                <w:sz w:val="20"/>
              </w:rPr>
              <w:t>年（vs</w:t>
            </w:r>
            <w:r>
              <w:rPr>
                <w:rFonts w:ascii="Times New Roman" w:hAnsi="Times New Roman" w:eastAsia="宋体"/>
                <w:sz w:val="20"/>
              </w:rPr>
              <w:t xml:space="preserve"> </w:t>
            </w:r>
            <w:r>
              <w:rPr>
                <w:rFonts w:hint="eastAsia" w:ascii="Times New Roman" w:hAnsi="Times New Roman" w:eastAsia="宋体"/>
                <w:sz w:val="20"/>
              </w:rPr>
              <w:t>迭代</w:t>
            </w:r>
            <w:r>
              <w:rPr>
                <w:rFonts w:ascii="Times New Roman" w:hAnsi="Times New Roman" w:eastAsia="宋体"/>
                <w:sz w:val="20"/>
              </w:rPr>
              <w:t xml:space="preserve"> 1-2 </w:t>
            </w:r>
            <w:r>
              <w:rPr>
                <w:rFonts w:hint="eastAsia" w:ascii="Times New Roman" w:hAnsi="Times New Roman" w:eastAsia="宋体"/>
                <w:sz w:val="20"/>
              </w:rPr>
              <w:t>年）</w:t>
            </w:r>
          </w:p>
        </w:tc>
        <w:tc>
          <w:p w14:paraId="0C311E13">
            <w:pPr>
              <w:pStyle w:val="26"/>
              <w:spacing w:before="20" w:after="20" w:line="276" w:lineRule="auto"/>
            </w:pPr>
            <w:r>
              <w:rPr>
                <w:rFonts w:ascii="Times New Roman" w:hAnsi="Times New Roman" w:eastAsia="宋体"/>
                <w:sz w:val="20"/>
              </w:rPr>
              <w:t xml:space="preserve">3-4 </w:t>
            </w:r>
            <w:r>
              <w:rPr>
                <w:rFonts w:hint="eastAsia" w:ascii="Times New Roman" w:hAnsi="Times New Roman" w:eastAsia="宋体"/>
                <w:sz w:val="20"/>
              </w:rPr>
              <w:t>年</w:t>
            </w:r>
          </w:p>
        </w:tc>
        <w:tc>
          <w:p w14:paraId="5F9C50D0">
            <w:pPr>
              <w:pStyle w:val="26"/>
              <w:spacing w:before="20" w:after="20" w:line="276" w:lineRule="auto"/>
            </w:pPr>
            <w:r>
              <w:rPr>
                <w:rFonts w:ascii="Times New Roman" w:hAnsi="Times New Roman" w:eastAsia="宋体"/>
                <w:sz w:val="20"/>
              </w:rPr>
              <w:t xml:space="preserve">2-3 </w:t>
            </w:r>
            <w:r>
              <w:rPr>
                <w:rFonts w:hint="eastAsia" w:ascii="Times New Roman" w:hAnsi="Times New Roman" w:eastAsia="宋体"/>
                <w:sz w:val="20"/>
              </w:rPr>
              <w:t>年</w:t>
            </w:r>
          </w:p>
        </w:tc>
        <w:tc>
          <w:p w14:paraId="0FA95050">
            <w:pPr>
              <w:pStyle w:val="26"/>
              <w:spacing w:before="20" w:after="20" w:line="276" w:lineRule="auto"/>
            </w:pPr>
            <w:r>
              <w:rPr>
                <w:rFonts w:ascii="Times New Roman" w:hAnsi="Times New Roman" w:eastAsia="宋体"/>
                <w:sz w:val="20"/>
              </w:rPr>
              <w:t xml:space="preserve">≤2 </w:t>
            </w:r>
            <w:r>
              <w:rPr>
                <w:rFonts w:hint="eastAsia" w:ascii="Times New Roman" w:hAnsi="Times New Roman" w:eastAsia="宋体"/>
                <w:sz w:val="20"/>
              </w:rPr>
              <w:t>年/加速折旧</w:t>
            </w:r>
          </w:p>
        </w:tc>
      </w:tr>
      <w:tr w14:paraId="280547AC">
        <w:tblPrEx>
          <w:tblCellMar>
            <w:top w:w="0" w:type="dxa"/>
            <w:left w:w="108" w:type="dxa"/>
            <w:bottom w:w="0" w:type="dxa"/>
            <w:right w:w="108" w:type="dxa"/>
          </w:tblCellMar>
        </w:tblPrEx>
        <w:trPr>
          <w:cantSplit/>
        </w:trPr>
        <w:tc>
          <w:p w14:paraId="2EE6964E">
            <w:pPr>
              <w:pStyle w:val="26"/>
              <w:spacing w:before="20" w:after="20" w:line="276" w:lineRule="auto"/>
            </w:pPr>
            <w:r>
              <w:rPr>
                <w:rFonts w:ascii="Times New Roman" w:hAnsi="Times New Roman" w:eastAsia="宋体"/>
                <w:sz w:val="20"/>
              </w:rPr>
              <w:t xml:space="preserve">D2 </w:t>
            </w:r>
            <w:r>
              <w:rPr>
                <w:rFonts w:hint="eastAsia" w:ascii="Times New Roman" w:hAnsi="Times New Roman" w:eastAsia="宋体"/>
                <w:sz w:val="20"/>
              </w:rPr>
              <w:t>政策保守性</w:t>
            </w:r>
          </w:p>
        </w:tc>
        <w:tc>
          <w:p w14:paraId="4BB74776">
            <w:pPr>
              <w:pStyle w:val="26"/>
              <w:spacing w:before="20" w:after="20" w:line="276" w:lineRule="auto"/>
            </w:pPr>
            <w:r>
              <w:rPr>
                <w:rFonts w:hint="eastAsia" w:ascii="Times New Roman" w:hAnsi="Times New Roman" w:eastAsia="宋体"/>
                <w:sz w:val="20"/>
              </w:rPr>
              <w:t>本期延长+未来适用</w:t>
            </w:r>
          </w:p>
        </w:tc>
        <w:tc>
          <w:p w14:paraId="498444AC">
            <w:pPr>
              <w:pStyle w:val="26"/>
              <w:spacing w:before="20" w:after="20" w:line="276" w:lineRule="auto"/>
            </w:pPr>
            <w:r>
              <w:rPr>
                <w:rFonts w:hint="eastAsia" w:ascii="Times New Roman" w:hAnsi="Times New Roman" w:eastAsia="宋体"/>
                <w:sz w:val="20"/>
              </w:rPr>
              <w:t>历史有延长记录</w:t>
            </w:r>
          </w:p>
        </w:tc>
        <w:tc>
          <w:p w14:paraId="5A1570FC">
            <w:pPr>
              <w:pStyle w:val="26"/>
              <w:spacing w:before="20" w:after="20" w:line="276" w:lineRule="auto"/>
            </w:pPr>
            <w:r>
              <w:rPr>
                <w:rFonts w:ascii="Times New Roman" w:hAnsi="Times New Roman" w:eastAsia="宋体"/>
                <w:sz w:val="20"/>
              </w:rPr>
              <w:t xml:space="preserve">prospectively </w:t>
            </w:r>
            <w:r>
              <w:rPr>
                <w:rFonts w:hint="eastAsia" w:ascii="Times New Roman" w:hAnsi="Times New Roman" w:eastAsia="宋体"/>
                <w:sz w:val="20"/>
              </w:rPr>
              <w:t>无延长</w:t>
            </w:r>
          </w:p>
        </w:tc>
        <w:tc>
          <w:p w14:paraId="1DAB51C1">
            <w:pPr>
              <w:pStyle w:val="26"/>
              <w:spacing w:before="20" w:after="20" w:line="276" w:lineRule="auto"/>
            </w:pPr>
            <w:r>
              <w:rPr>
                <w:rFonts w:hint="eastAsia" w:ascii="Times New Roman" w:hAnsi="Times New Roman" w:eastAsia="宋体"/>
                <w:sz w:val="20"/>
              </w:rPr>
              <w:t>有追溯/缩短</w:t>
            </w:r>
          </w:p>
        </w:tc>
        <w:tc>
          <w:p w14:paraId="39264529">
            <w:pPr>
              <w:pStyle w:val="26"/>
              <w:spacing w:before="20" w:after="20" w:line="276" w:lineRule="auto"/>
            </w:pPr>
            <w:r>
              <w:rPr>
                <w:rFonts w:hint="eastAsia" w:ascii="Times New Roman" w:hAnsi="Times New Roman" w:eastAsia="宋体"/>
                <w:sz w:val="20"/>
              </w:rPr>
              <w:t>主动缩短年限</w:t>
            </w:r>
          </w:p>
        </w:tc>
      </w:tr>
      <w:tr w14:paraId="51A28296">
        <w:tblPrEx>
          <w:tblCellMar>
            <w:top w:w="0" w:type="dxa"/>
            <w:left w:w="108" w:type="dxa"/>
            <w:bottom w:w="0" w:type="dxa"/>
            <w:right w:w="108" w:type="dxa"/>
          </w:tblCellMar>
        </w:tblPrEx>
        <w:trPr>
          <w:cantSplit/>
        </w:trPr>
        <w:tc>
          <w:p w14:paraId="05F14499">
            <w:pPr>
              <w:pStyle w:val="26"/>
              <w:spacing w:before="20" w:after="20" w:line="276" w:lineRule="auto"/>
            </w:pPr>
            <w:r>
              <w:rPr>
                <w:rFonts w:ascii="Times New Roman" w:hAnsi="Times New Roman" w:eastAsia="宋体"/>
                <w:sz w:val="20"/>
              </w:rPr>
              <w:t xml:space="preserve">D3 </w:t>
            </w:r>
            <w:r>
              <w:rPr>
                <w:rFonts w:hint="eastAsia" w:ascii="Times New Roman" w:hAnsi="Times New Roman" w:eastAsia="宋体"/>
                <w:sz w:val="20"/>
              </w:rPr>
              <w:t>减值触发</w:t>
            </w:r>
          </w:p>
        </w:tc>
        <w:tc>
          <w:p w14:paraId="05CEF769">
            <w:pPr>
              <w:pStyle w:val="26"/>
              <w:spacing w:before="20" w:after="20" w:line="276" w:lineRule="auto"/>
            </w:pPr>
            <w:r>
              <w:rPr>
                <w:rFonts w:hint="eastAsia" w:ascii="Times New Roman" w:hAnsi="Times New Roman" w:eastAsia="宋体"/>
                <w:sz w:val="20"/>
              </w:rPr>
              <w:t>本期大额实际减值+多处直接信号</w:t>
            </w:r>
          </w:p>
        </w:tc>
        <w:tc>
          <w:p w14:paraId="1E12CB13">
            <w:pPr>
              <w:pStyle w:val="26"/>
              <w:spacing w:before="20" w:after="20" w:line="276" w:lineRule="auto"/>
            </w:pPr>
            <w:r>
              <w:rPr>
                <w:rFonts w:hint="eastAsia" w:ascii="Times New Roman" w:hAnsi="Times New Roman" w:eastAsia="宋体"/>
                <w:sz w:val="20"/>
              </w:rPr>
              <w:t>有实际减值或≥3</w:t>
            </w:r>
            <w:r>
              <w:rPr>
                <w:rFonts w:ascii="Times New Roman" w:hAnsi="Times New Roman" w:eastAsia="宋体"/>
                <w:sz w:val="20"/>
              </w:rPr>
              <w:t xml:space="preserve"> </w:t>
            </w:r>
            <w:r>
              <w:rPr>
                <w:rFonts w:hint="eastAsia" w:ascii="Times New Roman" w:hAnsi="Times New Roman" w:eastAsia="宋体"/>
                <w:sz w:val="20"/>
              </w:rPr>
              <w:t>处直接信号</w:t>
            </w:r>
          </w:p>
        </w:tc>
        <w:tc>
          <w:p w14:paraId="6D58C045">
            <w:pPr>
              <w:pStyle w:val="26"/>
              <w:spacing w:before="20" w:after="20" w:line="276" w:lineRule="auto"/>
            </w:pPr>
            <w:r>
              <w:rPr>
                <w:rFonts w:hint="eastAsia" w:ascii="Times New Roman" w:hAnsi="Times New Roman" w:eastAsia="宋体"/>
                <w:sz w:val="20"/>
              </w:rPr>
              <w:t>仅间接信号</w:t>
            </w:r>
          </w:p>
        </w:tc>
        <w:tc>
          <w:p w14:paraId="3CC6F6D7">
            <w:pPr>
              <w:pStyle w:val="26"/>
              <w:spacing w:before="20" w:after="20" w:line="276" w:lineRule="auto"/>
            </w:pPr>
            <w:r>
              <w:rPr>
                <w:rFonts w:hint="eastAsia" w:ascii="Times New Roman" w:hAnsi="Times New Roman" w:eastAsia="宋体"/>
                <w:sz w:val="20"/>
              </w:rPr>
              <w:t>稀少间接</w:t>
            </w:r>
          </w:p>
        </w:tc>
        <w:tc>
          <w:p w14:paraId="25876284">
            <w:pPr>
              <w:pStyle w:val="26"/>
              <w:spacing w:before="20" w:after="20" w:line="276" w:lineRule="auto"/>
            </w:pPr>
            <w:r>
              <w:rPr>
                <w:rFonts w:hint="eastAsia" w:ascii="Times New Roman" w:hAnsi="Times New Roman" w:eastAsia="宋体"/>
                <w:sz w:val="20"/>
              </w:rPr>
              <w:t>基本无</w:t>
            </w:r>
          </w:p>
        </w:tc>
      </w:tr>
      <w:tr w14:paraId="4A01BA39">
        <w:tblPrEx>
          <w:tblCellMar>
            <w:top w:w="0" w:type="dxa"/>
            <w:left w:w="108" w:type="dxa"/>
            <w:bottom w:w="0" w:type="dxa"/>
            <w:right w:w="108" w:type="dxa"/>
          </w:tblCellMar>
        </w:tblPrEx>
        <w:trPr>
          <w:cantSplit/>
        </w:trPr>
        <w:tc>
          <w:p w14:paraId="5B6163FC">
            <w:pPr>
              <w:pStyle w:val="26"/>
              <w:spacing w:before="20" w:after="20" w:line="276" w:lineRule="auto"/>
            </w:pPr>
            <w:r>
              <w:rPr>
                <w:rFonts w:ascii="Times New Roman" w:hAnsi="Times New Roman" w:eastAsia="宋体"/>
                <w:sz w:val="20"/>
              </w:rPr>
              <w:t xml:space="preserve">D4 CAPEX </w:t>
            </w:r>
            <w:r>
              <w:rPr>
                <w:rFonts w:hint="eastAsia" w:ascii="Times New Roman" w:hAnsi="Times New Roman" w:eastAsia="宋体"/>
                <w:sz w:val="20"/>
              </w:rPr>
              <w:t>强度</w:t>
            </w:r>
          </w:p>
        </w:tc>
        <w:tc>
          <w:p w14:paraId="79E4DC9C">
            <w:pPr>
              <w:pStyle w:val="26"/>
              <w:spacing w:before="20" w:after="20" w:line="276" w:lineRule="auto"/>
            </w:pPr>
            <w:r>
              <w:rPr>
                <w:rFonts w:ascii="Times New Roman" w:hAnsi="Times New Roman" w:eastAsia="宋体"/>
                <w:sz w:val="20"/>
              </w:rPr>
              <w:t>≥25%</w:t>
            </w:r>
          </w:p>
        </w:tc>
        <w:tc>
          <w:p w14:paraId="1921882D">
            <w:pPr>
              <w:pStyle w:val="26"/>
              <w:spacing w:before="20" w:after="20" w:line="276" w:lineRule="auto"/>
            </w:pPr>
            <w:r>
              <w:rPr>
                <w:rFonts w:ascii="Times New Roman" w:hAnsi="Times New Roman" w:eastAsia="宋体"/>
                <w:sz w:val="20"/>
              </w:rPr>
              <w:t>15-25%</w:t>
            </w:r>
          </w:p>
        </w:tc>
        <w:tc>
          <w:p w14:paraId="2C112A17">
            <w:pPr>
              <w:pStyle w:val="26"/>
              <w:spacing w:before="20" w:after="20" w:line="276" w:lineRule="auto"/>
            </w:pPr>
            <w:r>
              <w:rPr>
                <w:rFonts w:ascii="Times New Roman" w:hAnsi="Times New Roman" w:eastAsia="宋体"/>
                <w:sz w:val="20"/>
              </w:rPr>
              <w:t>8-15%</w:t>
            </w:r>
          </w:p>
        </w:tc>
        <w:tc>
          <w:p w14:paraId="7B8942E9">
            <w:pPr>
              <w:pStyle w:val="26"/>
              <w:spacing w:before="20" w:after="20" w:line="276" w:lineRule="auto"/>
            </w:pPr>
            <w:r>
              <w:rPr>
                <w:rFonts w:ascii="Times New Roman" w:hAnsi="Times New Roman" w:eastAsia="宋体"/>
                <w:sz w:val="20"/>
              </w:rPr>
              <w:t>3-8%</w:t>
            </w:r>
          </w:p>
        </w:tc>
        <w:tc>
          <w:p w14:paraId="01AE574C">
            <w:pPr>
              <w:pStyle w:val="26"/>
              <w:spacing w:before="20" w:after="20" w:line="276" w:lineRule="auto"/>
            </w:pPr>
            <w:r>
              <w:rPr>
                <w:rFonts w:ascii="Times New Roman" w:hAnsi="Times New Roman" w:eastAsia="宋体"/>
                <w:sz w:val="20"/>
              </w:rPr>
              <w:t>&lt;3%</w:t>
            </w:r>
          </w:p>
        </w:tc>
      </w:tr>
      <w:tr w14:paraId="2AEDDAEB">
        <w:tblPrEx>
          <w:tblCellMar>
            <w:top w:w="0" w:type="dxa"/>
            <w:left w:w="108" w:type="dxa"/>
            <w:bottom w:w="0" w:type="dxa"/>
            <w:right w:w="108" w:type="dxa"/>
          </w:tblCellMar>
        </w:tblPrEx>
        <w:trPr>
          <w:cantSplit/>
        </w:trPr>
        <w:tc>
          <w:p w14:paraId="19B42B29">
            <w:pPr>
              <w:pStyle w:val="26"/>
              <w:spacing w:before="20" w:after="20" w:line="276" w:lineRule="auto"/>
            </w:pPr>
            <w:r>
              <w:rPr>
                <w:rFonts w:ascii="Times New Roman" w:hAnsi="Times New Roman" w:eastAsia="宋体"/>
                <w:sz w:val="20"/>
              </w:rPr>
              <w:t xml:space="preserve">D5 </w:t>
            </w:r>
            <w:r>
              <w:rPr>
                <w:rFonts w:hint="eastAsia" w:ascii="Times New Roman" w:hAnsi="Times New Roman" w:eastAsia="宋体"/>
                <w:sz w:val="20"/>
              </w:rPr>
              <w:t>竞争替代</w:t>
            </w:r>
          </w:p>
        </w:tc>
        <w:tc>
          <w:p w14:paraId="63FAA965">
            <w:pPr>
              <w:pStyle w:val="26"/>
              <w:spacing w:before="20" w:after="20" w:line="276" w:lineRule="auto"/>
            </w:pPr>
            <w:r>
              <w:rPr>
                <w:rFonts w:hint="eastAsia" w:ascii="Times New Roman" w:hAnsi="Times New Roman" w:eastAsia="宋体"/>
                <w:sz w:val="20"/>
              </w:rPr>
              <w:t>算力竞赛主力、直接运营海量</w:t>
            </w:r>
            <w:r>
              <w:rPr>
                <w:rFonts w:ascii="Times New Roman" w:hAnsi="Times New Roman" w:eastAsia="宋体"/>
                <w:sz w:val="20"/>
              </w:rPr>
              <w:t xml:space="preserve"> GPU</w:t>
            </w:r>
          </w:p>
        </w:tc>
        <w:tc>
          <w:p w14:paraId="0F3C3F97">
            <w:pPr>
              <w:pStyle w:val="26"/>
              <w:spacing w:before="20" w:after="20" w:line="276" w:lineRule="auto"/>
            </w:pPr>
            <w:r>
              <w:rPr>
                <w:rFonts w:hint="eastAsia" w:ascii="Times New Roman" w:hAnsi="Times New Roman" w:eastAsia="宋体"/>
                <w:sz w:val="20"/>
              </w:rPr>
              <w:t>大量运营</w:t>
            </w:r>
            <w:r>
              <w:rPr>
                <w:rFonts w:ascii="Times New Roman" w:hAnsi="Times New Roman" w:eastAsia="宋体"/>
                <w:sz w:val="20"/>
              </w:rPr>
              <w:t xml:space="preserve"> </w:t>
            </w:r>
            <w:r>
              <w:rPr>
                <w:rFonts w:hint="eastAsia" w:ascii="Times New Roman" w:hAnsi="Times New Roman" w:eastAsia="宋体"/>
                <w:sz w:val="20"/>
              </w:rPr>
              <w:t>GPU/数据中心</w:t>
            </w:r>
          </w:p>
        </w:tc>
        <w:tc>
          <w:p w14:paraId="17225D63">
            <w:pPr>
              <w:pStyle w:val="26"/>
              <w:spacing w:before="20" w:after="20" w:line="276" w:lineRule="auto"/>
            </w:pPr>
            <w:r>
              <w:rPr>
                <w:rFonts w:hint="eastAsia" w:ascii="Times New Roman" w:hAnsi="Times New Roman" w:eastAsia="宋体"/>
                <w:sz w:val="20"/>
              </w:rPr>
              <w:t>部分暴露/跟随</w:t>
            </w:r>
          </w:p>
        </w:tc>
        <w:tc>
          <w:p w14:paraId="5B15E11F">
            <w:pPr>
              <w:pStyle w:val="26"/>
              <w:spacing w:before="20" w:after="20" w:line="276" w:lineRule="auto"/>
            </w:pPr>
            <w:r>
              <w:rPr>
                <w:rFonts w:hint="eastAsia" w:ascii="Times New Roman" w:hAnsi="Times New Roman" w:eastAsia="宋体"/>
                <w:sz w:val="20"/>
              </w:rPr>
              <w:t>间接暴露（卖芯片）</w:t>
            </w:r>
          </w:p>
        </w:tc>
        <w:tc>
          <w:p w14:paraId="0F726F74">
            <w:pPr>
              <w:pStyle w:val="26"/>
              <w:spacing w:before="20" w:after="20" w:line="276" w:lineRule="auto"/>
            </w:pPr>
            <w:r>
              <w:rPr>
                <w:rFonts w:hint="eastAsia" w:ascii="Times New Roman" w:hAnsi="Times New Roman" w:eastAsia="宋体"/>
                <w:sz w:val="20"/>
              </w:rPr>
              <w:t>基本无暴露</w:t>
            </w:r>
          </w:p>
        </w:tc>
      </w:tr>
    </w:tbl>
    <w:p w14:paraId="3D1D8672">
      <w:pPr>
        <w:pStyle w:val="3"/>
        <w:spacing w:before="40" w:after="40" w:line="360" w:lineRule="auto"/>
        <w:ind w:firstLine="480"/>
      </w:pPr>
      <w:r>
        <w:rPr>
          <w:rFonts w:hint="eastAsia" w:ascii="Times New Roman" w:hAnsi="Times New Roman" w:eastAsia="宋体"/>
          <w:sz w:val="24"/>
        </w:rPr>
        <w:t>在一般锚点基础上，区分度最高的 D1、D2 两个维度进一步细化锚点，使 AI 评分具备与人工评分完全一致的参照系：</w:t>
      </w:r>
    </w:p>
    <w:p w14:paraId="4A535E41">
      <w:pPr>
        <w:pStyle w:val="6"/>
        <w:spacing w:before="240" w:after="120" w:line="360" w:lineRule="auto"/>
        <w:rPr>
          <w:b w:val="0"/>
          <w:bCs/>
          <w:i w:val="0"/>
          <w:iCs w:val="0"/>
        </w:rPr>
      </w:pPr>
      <w:r>
        <w:rPr>
          <w:rFonts w:ascii="Times New Roman" w:hAnsi="Times New Roman" w:eastAsia="黑体"/>
          <w:b w:val="0"/>
          <w:bCs/>
          <w:i w:val="0"/>
          <w:iCs w:val="0"/>
          <w:color w:val="003366"/>
          <w:sz w:val="24"/>
        </w:rPr>
        <w:t>（一）D1 折旧年限 vs 技术实际寿命（按资产类型细化）</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21C5D8B8">
        <w:tblPrEx>
          <w:tblCellMar>
            <w:top w:w="0" w:type="dxa"/>
            <w:left w:w="108" w:type="dxa"/>
            <w:bottom w:w="0" w:type="dxa"/>
            <w:right w:w="108" w:type="dxa"/>
          </w:tblCellMar>
        </w:tblPrEx>
        <w:tc>
          <w:tcPr>
            <w:tcW w:w="1250" w:type="pct"/>
          </w:tcPr>
          <w:p w14:paraId="1508640E">
            <w:pPr>
              <w:pStyle w:val="26"/>
              <w:spacing w:before="20" w:after="20" w:line="276" w:lineRule="auto"/>
            </w:pPr>
            <w:r>
              <w:rPr>
                <w:rFonts w:hint="eastAsia" w:ascii="Times New Roman" w:hAnsi="Times New Roman" w:eastAsia="宋体"/>
                <w:b/>
                <w:bCs/>
                <w:sz w:val="20"/>
              </w:rPr>
              <w:t>资产类型</w:t>
            </w:r>
          </w:p>
        </w:tc>
        <w:tc>
          <w:tcPr>
            <w:tcW w:w="1250" w:type="pct"/>
          </w:tcPr>
          <w:p w14:paraId="19696107">
            <w:pPr>
              <w:pStyle w:val="26"/>
              <w:spacing w:before="20" w:after="20" w:line="276" w:lineRule="auto"/>
            </w:pPr>
            <w:r>
              <w:rPr>
                <w:rFonts w:hint="eastAsia" w:ascii="Times New Roman" w:hAnsi="Times New Roman" w:eastAsia="宋体"/>
                <w:b/>
                <w:bCs/>
                <w:sz w:val="20"/>
              </w:rPr>
              <w:t>技术基准</w:t>
            </w:r>
          </w:p>
        </w:tc>
        <w:tc>
          <w:tcPr>
            <w:tcW w:w="1250" w:type="pct"/>
          </w:tcPr>
          <w:p w14:paraId="2D5B8D1C">
            <w:pPr>
              <w:pStyle w:val="26"/>
              <w:spacing w:before="20" w:after="20" w:line="276" w:lineRule="auto"/>
            </w:pPr>
            <w:r>
              <w:rPr>
                <w:rFonts w:hint="eastAsia" w:ascii="Times New Roman" w:hAnsi="Times New Roman" w:eastAsia="宋体"/>
                <w:b/>
                <w:bCs/>
                <w:sz w:val="20"/>
              </w:rPr>
              <w:t>锚点</w:t>
            </w:r>
          </w:p>
        </w:tc>
        <w:tc>
          <w:tcPr>
            <w:tcW w:w="1250" w:type="pct"/>
          </w:tcPr>
          <w:p w14:paraId="4444FE82">
            <w:pPr>
              <w:pStyle w:val="26"/>
              <w:spacing w:before="20" w:after="20" w:line="276" w:lineRule="auto"/>
            </w:pPr>
            <w:r>
              <w:rPr>
                <w:rFonts w:hint="eastAsia" w:ascii="Times New Roman" w:hAnsi="Times New Roman" w:eastAsia="宋体"/>
                <w:b/>
                <w:bCs/>
                <w:sz w:val="20"/>
              </w:rPr>
              <w:t>示例</w:t>
            </w:r>
          </w:p>
        </w:tc>
      </w:tr>
      <w:tr w14:paraId="5DAA8604">
        <w:tblPrEx>
          <w:tblCellMar>
            <w:top w:w="0" w:type="dxa"/>
            <w:left w:w="108" w:type="dxa"/>
            <w:bottom w:w="0" w:type="dxa"/>
            <w:right w:w="108" w:type="dxa"/>
          </w:tblCellMar>
        </w:tblPrEx>
        <w:tc>
          <w:tcPr>
            <w:tcW w:w="1250" w:type="pct"/>
          </w:tcPr>
          <w:p w14:paraId="3C49C5D2">
            <w:pPr>
              <w:pStyle w:val="26"/>
              <w:spacing w:before="20" w:after="20" w:line="276" w:lineRule="auto"/>
            </w:pPr>
            <w:r>
              <w:rPr>
                <w:rFonts w:ascii="Times New Roman" w:hAnsi="Times New Roman" w:eastAsia="宋体"/>
                <w:sz w:val="20"/>
              </w:rPr>
              <w:t>服务器/网络/数据中心</w:t>
            </w:r>
          </w:p>
        </w:tc>
        <w:tc>
          <w:tcPr>
            <w:tcW w:w="1250" w:type="pct"/>
          </w:tcPr>
          <w:p w14:paraId="68C8450E">
            <w:pPr>
              <w:pStyle w:val="26"/>
              <w:spacing w:before="20" w:after="20" w:line="276" w:lineRule="auto"/>
            </w:pPr>
            <w:r>
              <w:rPr>
                <w:rFonts w:ascii="Times New Roman" w:hAnsi="Times New Roman" w:eastAsia="宋体"/>
                <w:sz w:val="20"/>
              </w:rPr>
              <w:t>1.5年</w:t>
            </w:r>
          </w:p>
        </w:tc>
        <w:tc>
          <w:tcPr>
            <w:tcW w:w="1250" w:type="pct"/>
          </w:tcPr>
          <w:p w14:paraId="49D48225">
            <w:pPr>
              <w:pStyle w:val="26"/>
              <w:spacing w:before="20" w:after="20" w:line="276" w:lineRule="auto"/>
            </w:pPr>
            <w:r>
              <w:rPr>
                <w:rFonts w:ascii="Times New Roman" w:hAnsi="Times New Roman" w:eastAsia="宋体"/>
                <w:sz w:val="20"/>
              </w:rPr>
              <w:t>5:≥6y / 4:4-6y / 3:3-4y / 2:2-3y / 1:≤2y</w:t>
            </w:r>
          </w:p>
        </w:tc>
        <w:tc>
          <w:tcPr>
            <w:tcW w:w="1250" w:type="pct"/>
          </w:tcPr>
          <w:p w14:paraId="08044A08">
            <w:pPr>
              <w:pStyle w:val="26"/>
              <w:spacing w:before="20" w:after="20" w:line="276" w:lineRule="auto"/>
            </w:pPr>
            <w:r>
              <w:rPr>
                <w:rFonts w:ascii="Times New Roman" w:hAnsi="Times New Roman" w:eastAsia="宋体"/>
                <w:sz w:val="20"/>
              </w:rPr>
              <w:t>MSFT 6y→5分; META 5.5y→4分; NVDA 4-5y→4分</w:t>
            </w:r>
          </w:p>
        </w:tc>
      </w:tr>
      <w:tr w14:paraId="0895ED42">
        <w:tblPrEx>
          <w:tblCellMar>
            <w:top w:w="0" w:type="dxa"/>
            <w:left w:w="108" w:type="dxa"/>
            <w:bottom w:w="0" w:type="dxa"/>
            <w:right w:w="108" w:type="dxa"/>
          </w:tblCellMar>
        </w:tblPrEx>
        <w:tc>
          <w:tcPr>
            <w:tcW w:w="1250" w:type="pct"/>
          </w:tcPr>
          <w:p w14:paraId="6E15F106">
            <w:pPr>
              <w:pStyle w:val="26"/>
              <w:spacing w:before="20" w:after="20" w:line="276" w:lineRule="auto"/>
            </w:pPr>
            <w:r>
              <w:rPr>
                <w:rFonts w:ascii="Times New Roman" w:hAnsi="Times New Roman" w:eastAsia="宋体"/>
                <w:sz w:val="20"/>
              </w:rPr>
              <w:t>晶圆厂/制造设备</w:t>
            </w:r>
          </w:p>
        </w:tc>
        <w:tc>
          <w:tcPr>
            <w:tcW w:w="1250" w:type="pct"/>
          </w:tcPr>
          <w:p w14:paraId="1925C7F8">
            <w:pPr>
              <w:pStyle w:val="26"/>
              <w:spacing w:before="20" w:after="20" w:line="276" w:lineRule="auto"/>
            </w:pPr>
            <w:r>
              <w:rPr>
                <w:rFonts w:ascii="Times New Roman" w:hAnsi="Times New Roman" w:eastAsia="宋体"/>
                <w:sz w:val="20"/>
              </w:rPr>
              <w:t>3.5年</w:t>
            </w:r>
          </w:p>
        </w:tc>
        <w:tc>
          <w:tcPr>
            <w:tcW w:w="1250" w:type="pct"/>
          </w:tcPr>
          <w:p w14:paraId="4E6C9A31">
            <w:pPr>
              <w:pStyle w:val="26"/>
              <w:spacing w:before="20" w:after="20" w:line="276" w:lineRule="auto"/>
            </w:pPr>
            <w:r>
              <w:rPr>
                <w:rFonts w:ascii="Times New Roman" w:hAnsi="Times New Roman" w:eastAsia="宋体"/>
                <w:sz w:val="20"/>
              </w:rPr>
              <w:t>5:≥10y / 4:7-10y / 3:5-7y / 2:3.5-5y / 1:≤3.5y</w:t>
            </w:r>
          </w:p>
        </w:tc>
        <w:tc>
          <w:tcPr>
            <w:tcW w:w="1250" w:type="pct"/>
          </w:tcPr>
          <w:p w14:paraId="5FB14305">
            <w:pPr>
              <w:pStyle w:val="26"/>
              <w:spacing w:before="20" w:after="20" w:line="276" w:lineRule="auto"/>
            </w:pPr>
            <w:r>
              <w:rPr>
                <w:rFonts w:ascii="Times New Roman" w:hAnsi="Times New Roman" w:eastAsia="宋体"/>
                <w:sz w:val="20"/>
              </w:rPr>
              <w:t>MU 7y→4分; INTC 8y→4分</w:t>
            </w:r>
          </w:p>
        </w:tc>
      </w:tr>
      <w:tr w14:paraId="420AB11C">
        <w:tblPrEx>
          <w:tblCellMar>
            <w:top w:w="0" w:type="dxa"/>
            <w:left w:w="108" w:type="dxa"/>
            <w:bottom w:w="0" w:type="dxa"/>
            <w:right w:w="108" w:type="dxa"/>
          </w:tblCellMar>
        </w:tblPrEx>
        <w:tc>
          <w:tcPr>
            <w:tcW w:w="1250" w:type="pct"/>
          </w:tcPr>
          <w:p w14:paraId="75163758">
            <w:pPr>
              <w:pStyle w:val="26"/>
              <w:spacing w:before="20" w:after="20" w:line="276" w:lineRule="auto"/>
            </w:pPr>
            <w:r>
              <w:rPr>
                <w:rFonts w:ascii="Times New Roman" w:hAnsi="Times New Roman" w:eastAsia="宋体"/>
                <w:sz w:val="20"/>
              </w:rPr>
              <w:t>通用设备/软件</w:t>
            </w:r>
          </w:p>
        </w:tc>
        <w:tc>
          <w:tcPr>
            <w:tcW w:w="1250" w:type="pct"/>
          </w:tcPr>
          <w:p w14:paraId="78195A84">
            <w:pPr>
              <w:pStyle w:val="26"/>
              <w:spacing w:before="20" w:after="20" w:line="276" w:lineRule="auto"/>
            </w:pPr>
            <w:r>
              <w:rPr>
                <w:rFonts w:ascii="Times New Roman" w:hAnsi="Times New Roman" w:eastAsia="宋体"/>
                <w:sz w:val="20"/>
              </w:rPr>
              <w:t>2-4年</w:t>
            </w:r>
          </w:p>
        </w:tc>
        <w:tc>
          <w:tcPr>
            <w:tcW w:w="1250" w:type="pct"/>
          </w:tcPr>
          <w:p w14:paraId="2DF067DB">
            <w:pPr>
              <w:pStyle w:val="26"/>
              <w:spacing w:before="20" w:after="20" w:line="276" w:lineRule="auto"/>
            </w:pPr>
            <w:r>
              <w:rPr>
                <w:rFonts w:ascii="Times New Roman" w:hAnsi="Times New Roman" w:eastAsia="宋体"/>
                <w:sz w:val="20"/>
              </w:rPr>
              <w:t>5:≥7y / 4:5-7y / 3:3-5y / 2:2-3y / 1:≤2y</w:t>
            </w:r>
          </w:p>
        </w:tc>
        <w:tc>
          <w:tcPr>
            <w:tcW w:w="1250" w:type="pct"/>
          </w:tcPr>
          <w:p w14:paraId="2E3535B6">
            <w:pPr>
              <w:pStyle w:val="26"/>
              <w:spacing w:before="20" w:after="20" w:line="276" w:lineRule="auto"/>
            </w:pPr>
            <w:r>
              <w:rPr>
                <w:rFonts w:ascii="Times New Roman" w:hAnsi="Times New Roman" w:eastAsia="宋体"/>
                <w:sz w:val="20"/>
              </w:rPr>
              <w:t>NVDA test equip 7y→4分</w:t>
            </w:r>
          </w:p>
        </w:tc>
      </w:tr>
      <w:tr w14:paraId="4F4A5767">
        <w:tblPrEx>
          <w:tblCellMar>
            <w:top w:w="0" w:type="dxa"/>
            <w:left w:w="108" w:type="dxa"/>
            <w:bottom w:w="0" w:type="dxa"/>
            <w:right w:w="108" w:type="dxa"/>
          </w:tblCellMar>
        </w:tblPrEx>
        <w:tc>
          <w:tcPr>
            <w:tcW w:w="1250" w:type="pct"/>
          </w:tcPr>
          <w:p w14:paraId="68CAD400">
            <w:pPr>
              <w:pStyle w:val="26"/>
              <w:spacing w:before="20" w:after="20" w:line="276" w:lineRule="auto"/>
            </w:pPr>
            <w:r>
              <w:rPr>
                <w:rFonts w:ascii="Times New Roman" w:hAnsi="Times New Roman" w:eastAsia="宋体"/>
                <w:sz w:val="20"/>
              </w:rPr>
              <w:t>建筑物/土地</w:t>
            </w:r>
          </w:p>
        </w:tc>
        <w:tc>
          <w:tcPr>
            <w:tcW w:w="1250" w:type="pct"/>
          </w:tcPr>
          <w:p w14:paraId="33E7CCFB">
            <w:pPr>
              <w:pStyle w:val="26"/>
              <w:spacing w:before="20" w:after="20" w:line="276" w:lineRule="auto"/>
            </w:pPr>
            <w:r>
              <w:rPr>
                <w:rFonts w:ascii="Times New Roman" w:hAnsi="Times New Roman" w:eastAsia="宋体"/>
                <w:sz w:val="20"/>
              </w:rPr>
              <w:t>—</w:t>
            </w:r>
          </w:p>
        </w:tc>
        <w:tc>
          <w:tcPr>
            <w:tcW w:w="1250" w:type="pct"/>
          </w:tcPr>
          <w:p w14:paraId="1AB069E8">
            <w:pPr>
              <w:pStyle w:val="26"/>
              <w:spacing w:before="20" w:after="20" w:line="276" w:lineRule="auto"/>
            </w:pPr>
            <w:r>
              <w:rPr>
                <w:rFonts w:ascii="Times New Roman" w:hAnsi="Times New Roman" w:eastAsia="宋体"/>
                <w:sz w:val="20"/>
              </w:rPr>
              <w:t>EXCLUDED（不计入D1）</w:t>
            </w:r>
          </w:p>
        </w:tc>
        <w:tc>
          <w:tcPr>
            <w:tcW w:w="1250" w:type="pct"/>
          </w:tcPr>
          <w:p w14:paraId="60A7DF3A">
            <w:pPr>
              <w:pStyle w:val="26"/>
              <w:spacing w:before="20" w:after="20" w:line="276" w:lineRule="auto"/>
            </w:pPr>
            <w:r>
              <w:rPr>
                <w:rFonts w:ascii="Times New Roman" w:hAnsi="Times New Roman" w:eastAsia="宋体"/>
                <w:sz w:val="20"/>
              </w:rPr>
              <w:t>Building 15-25y→不适用</w:t>
            </w:r>
          </w:p>
        </w:tc>
      </w:tr>
      <w:tr w14:paraId="5A9ADD50">
        <w:tblPrEx>
          <w:tblCellMar>
            <w:top w:w="0" w:type="dxa"/>
            <w:left w:w="108" w:type="dxa"/>
            <w:bottom w:w="0" w:type="dxa"/>
            <w:right w:w="108" w:type="dxa"/>
          </w:tblCellMar>
        </w:tblPrEx>
        <w:tc>
          <w:tcPr>
            <w:tcW w:w="1250" w:type="pct"/>
          </w:tcPr>
          <w:p w14:paraId="2B4C7358">
            <w:pPr>
              <w:pStyle w:val="26"/>
              <w:spacing w:before="20" w:after="20" w:line="276" w:lineRule="auto"/>
            </w:pPr>
            <w:r>
              <w:rPr>
                <w:rFonts w:ascii="Times New Roman" w:hAnsi="Times New Roman" w:eastAsia="宋体"/>
                <w:sz w:val="20"/>
              </w:rPr>
              <w:t>无形资产/商誉/摊销</w:t>
            </w:r>
          </w:p>
        </w:tc>
        <w:tc>
          <w:tcPr>
            <w:tcW w:w="1250" w:type="pct"/>
          </w:tcPr>
          <w:p w14:paraId="734B0D05">
            <w:pPr>
              <w:pStyle w:val="26"/>
              <w:spacing w:before="20" w:after="20" w:line="276" w:lineRule="auto"/>
            </w:pPr>
            <w:r>
              <w:rPr>
                <w:rFonts w:ascii="Times New Roman" w:hAnsi="Times New Roman" w:eastAsia="宋体"/>
                <w:sz w:val="20"/>
              </w:rPr>
              <w:t>—</w:t>
            </w:r>
          </w:p>
        </w:tc>
        <w:tc>
          <w:tcPr>
            <w:tcW w:w="1250" w:type="pct"/>
          </w:tcPr>
          <w:p w14:paraId="016B7B73">
            <w:pPr>
              <w:pStyle w:val="26"/>
              <w:spacing w:before="20" w:after="20" w:line="276" w:lineRule="auto"/>
            </w:pPr>
            <w:r>
              <w:rPr>
                <w:rFonts w:ascii="Times New Roman" w:hAnsi="Times New Roman" w:eastAsia="宋体"/>
                <w:sz w:val="20"/>
              </w:rPr>
              <w:t>EXCLUDED（不计入D1）</w:t>
            </w:r>
          </w:p>
        </w:tc>
        <w:tc>
          <w:tcPr>
            <w:tcW w:w="1250" w:type="pct"/>
          </w:tcPr>
          <w:p w14:paraId="26A5C57F">
            <w:pPr>
              <w:pStyle w:val="26"/>
              <w:spacing w:before="20" w:after="20" w:line="276" w:lineRule="auto"/>
            </w:pPr>
            <w:r>
              <w:rPr>
                <w:rFonts w:ascii="Times New Roman" w:hAnsi="Times New Roman" w:eastAsia="宋体"/>
                <w:sz w:val="20"/>
              </w:rPr>
              <w:t>AMD Xilinx 16y摊销→不适用</w:t>
            </w:r>
          </w:p>
        </w:tc>
      </w:tr>
    </w:tbl>
    <w:p w14:paraId="31F9C458">
      <w:pPr>
        <w:pStyle w:val="3"/>
        <w:spacing w:before="40" w:after="40" w:line="360" w:lineRule="auto"/>
        <w:ind w:firstLine="480"/>
      </w:pPr>
      <w:r>
        <w:rPr>
          <w:rFonts w:hint="eastAsia" w:ascii="Times New Roman" w:hAnsi="Times New Roman" w:eastAsia="宋体"/>
          <w:sz w:val="24"/>
        </w:rPr>
        <w:t>执行规则：① 范围取上限——政策披露为“2-7 年”的，按 7 年评估（公司实际按最长年限计提）；② 变更后年限——本期发生延长的（如 4→6 年），按变更新年限评估；③ 多次延长上浮——三年内两次延长的（META、ORCL），D1 可审慎上浮 1 分。</w:t>
      </w:r>
    </w:p>
    <w:p w14:paraId="76C7AA23">
      <w:pPr>
        <w:pStyle w:val="6"/>
        <w:spacing w:before="240" w:after="120" w:line="360" w:lineRule="auto"/>
        <w:rPr>
          <w:b w:val="0"/>
          <w:bCs/>
          <w:i w:val="0"/>
          <w:iCs w:val="0"/>
        </w:rPr>
      </w:pPr>
      <w:r>
        <w:rPr>
          <w:rFonts w:ascii="Times New Roman" w:hAnsi="Times New Roman" w:eastAsia="黑体"/>
          <w:b w:val="0"/>
          <w:bCs/>
          <w:i w:val="0"/>
          <w:iCs w:val="0"/>
          <w:color w:val="003366"/>
          <w:sz w:val="24"/>
        </w:rPr>
        <w:t>（二）D2 会计政策保守性（细化）</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A7BD20D">
        <w:tblPrEx>
          <w:tblCellMar>
            <w:top w:w="0" w:type="dxa"/>
            <w:left w:w="108" w:type="dxa"/>
            <w:bottom w:w="0" w:type="dxa"/>
            <w:right w:w="108" w:type="dxa"/>
          </w:tblCellMar>
        </w:tblPrEx>
        <w:tc>
          <w:tcPr>
            <w:tcW w:w="1666" w:type="pct"/>
          </w:tcPr>
          <w:p w14:paraId="06A9CB18">
            <w:pPr>
              <w:pStyle w:val="26"/>
              <w:spacing w:before="20" w:after="20" w:line="276" w:lineRule="auto"/>
            </w:pPr>
            <w:r>
              <w:rPr>
                <w:rFonts w:hint="eastAsia" w:ascii="Times New Roman" w:hAnsi="Times New Roman" w:eastAsia="宋体"/>
                <w:b/>
                <w:bCs/>
                <w:sz w:val="20"/>
              </w:rPr>
              <w:t>分数</w:t>
            </w:r>
          </w:p>
        </w:tc>
        <w:tc>
          <w:tcPr>
            <w:tcW w:w="1666" w:type="pct"/>
          </w:tcPr>
          <w:p w14:paraId="38A723D4">
            <w:pPr>
              <w:pStyle w:val="26"/>
              <w:spacing w:before="20" w:after="20" w:line="276" w:lineRule="auto"/>
            </w:pPr>
            <w:r>
              <w:rPr>
                <w:rFonts w:hint="eastAsia" w:ascii="Times New Roman" w:hAnsi="Times New Roman" w:eastAsia="宋体"/>
                <w:b/>
                <w:bCs/>
                <w:sz w:val="20"/>
              </w:rPr>
              <w:t>锚点条件</w:t>
            </w:r>
          </w:p>
        </w:tc>
        <w:tc>
          <w:tcPr>
            <w:tcW w:w="1666" w:type="pct"/>
          </w:tcPr>
          <w:p w14:paraId="1B67D2E6">
            <w:pPr>
              <w:pStyle w:val="26"/>
              <w:spacing w:before="20" w:after="20" w:line="276" w:lineRule="auto"/>
            </w:pPr>
            <w:r>
              <w:rPr>
                <w:rFonts w:hint="eastAsia" w:ascii="Times New Roman" w:hAnsi="Times New Roman" w:eastAsia="宋体"/>
                <w:b/>
                <w:bCs/>
                <w:sz w:val="20"/>
              </w:rPr>
              <w:t>示例</w:t>
            </w:r>
          </w:p>
        </w:tc>
      </w:tr>
      <w:tr w14:paraId="1A2AD269">
        <w:tblPrEx>
          <w:tblCellMar>
            <w:top w:w="0" w:type="dxa"/>
            <w:left w:w="108" w:type="dxa"/>
            <w:bottom w:w="0" w:type="dxa"/>
            <w:right w:w="108" w:type="dxa"/>
          </w:tblCellMar>
        </w:tblPrEx>
        <w:tc>
          <w:tcPr>
            <w:tcW w:w="1666" w:type="pct"/>
          </w:tcPr>
          <w:p w14:paraId="11ABCBD0">
            <w:pPr>
              <w:pStyle w:val="26"/>
              <w:spacing w:before="20" w:after="20" w:line="276" w:lineRule="auto"/>
            </w:pPr>
            <w:r>
              <w:rPr>
                <w:rFonts w:ascii="Times New Roman" w:hAnsi="Times New Roman" w:eastAsia="宋体"/>
                <w:sz w:val="20"/>
              </w:rPr>
              <w:t>5</w:t>
            </w:r>
          </w:p>
        </w:tc>
        <w:tc>
          <w:tcPr>
            <w:tcW w:w="1666" w:type="pct"/>
          </w:tcPr>
          <w:p w14:paraId="46B36D38">
            <w:pPr>
              <w:pStyle w:val="26"/>
              <w:spacing w:before="20" w:after="20" w:line="276" w:lineRule="auto"/>
            </w:pPr>
            <w:r>
              <w:rPr>
                <w:rFonts w:ascii="Times New Roman" w:hAnsi="Times New Roman" w:eastAsia="宋体"/>
                <w:sz w:val="20"/>
              </w:rPr>
              <w:t>本期延长年限 + 未来适用法；或三年内两次延长</w:t>
            </w:r>
          </w:p>
        </w:tc>
        <w:tc>
          <w:tcPr>
            <w:tcW w:w="1666" w:type="pct"/>
          </w:tcPr>
          <w:p w14:paraId="3BAC8CC5">
            <w:pPr>
              <w:pStyle w:val="26"/>
              <w:spacing w:before="20" w:after="20" w:line="276" w:lineRule="auto"/>
            </w:pPr>
            <w:r>
              <w:rPr>
                <w:rFonts w:ascii="Times New Roman" w:hAnsi="Times New Roman" w:eastAsia="宋体"/>
                <w:sz w:val="20"/>
              </w:rPr>
              <w:t>ORCL FY2025 5→6y; META FY2024 5→5.5y</w:t>
            </w:r>
          </w:p>
        </w:tc>
      </w:tr>
      <w:tr w14:paraId="045ED89C">
        <w:tblPrEx>
          <w:tblCellMar>
            <w:top w:w="0" w:type="dxa"/>
            <w:left w:w="108" w:type="dxa"/>
            <w:bottom w:w="0" w:type="dxa"/>
            <w:right w:w="108" w:type="dxa"/>
          </w:tblCellMar>
        </w:tblPrEx>
        <w:tc>
          <w:tcPr>
            <w:tcW w:w="1666" w:type="pct"/>
          </w:tcPr>
          <w:p w14:paraId="6C76D61C">
            <w:pPr>
              <w:pStyle w:val="26"/>
              <w:spacing w:before="20" w:after="20" w:line="276" w:lineRule="auto"/>
            </w:pPr>
            <w:r>
              <w:rPr>
                <w:rFonts w:ascii="Times New Roman" w:hAnsi="Times New Roman" w:eastAsia="宋体"/>
                <w:sz w:val="20"/>
              </w:rPr>
              <w:t>4</w:t>
            </w:r>
          </w:p>
        </w:tc>
        <w:tc>
          <w:tcPr>
            <w:tcW w:w="1666" w:type="pct"/>
          </w:tcPr>
          <w:p w14:paraId="5D95D5D8">
            <w:pPr>
              <w:pStyle w:val="26"/>
              <w:spacing w:before="20" w:after="20" w:line="276" w:lineRule="auto"/>
            </w:pPr>
            <w:r>
              <w:rPr>
                <w:rFonts w:ascii="Times New Roman" w:hAnsi="Times New Roman" w:eastAsia="宋体"/>
                <w:sz w:val="20"/>
              </w:rPr>
              <w:t>历史有延长记录，本期无变更；或变更幅度≥50%</w:t>
            </w:r>
          </w:p>
        </w:tc>
        <w:tc>
          <w:tcPr>
            <w:tcW w:w="1666" w:type="pct"/>
          </w:tcPr>
          <w:p w14:paraId="1873F0EB">
            <w:pPr>
              <w:pStyle w:val="26"/>
              <w:spacing w:before="20" w:after="20" w:line="276" w:lineRule="auto"/>
            </w:pPr>
            <w:r>
              <w:rPr>
                <w:rFonts w:ascii="Times New Roman" w:hAnsi="Times New Roman" w:eastAsia="宋体"/>
                <w:sz w:val="20"/>
              </w:rPr>
              <w:t>MSFT FY2025（2022年4→6y仍在执行）; GOOGL FY2024</w:t>
            </w:r>
          </w:p>
        </w:tc>
      </w:tr>
      <w:tr w14:paraId="5EEC5F60">
        <w:tblPrEx>
          <w:tblCellMar>
            <w:top w:w="0" w:type="dxa"/>
            <w:left w:w="108" w:type="dxa"/>
            <w:bottom w:w="0" w:type="dxa"/>
            <w:right w:w="108" w:type="dxa"/>
          </w:tblCellMar>
        </w:tblPrEx>
        <w:tc>
          <w:tcPr>
            <w:tcW w:w="1666" w:type="pct"/>
          </w:tcPr>
          <w:p w14:paraId="3AE80931">
            <w:pPr>
              <w:pStyle w:val="26"/>
              <w:spacing w:before="20" w:after="20" w:line="276" w:lineRule="auto"/>
            </w:pPr>
            <w:r>
              <w:rPr>
                <w:rFonts w:ascii="Times New Roman" w:hAnsi="Times New Roman" w:eastAsia="宋体"/>
                <w:sz w:val="20"/>
              </w:rPr>
              <w:t>3</w:t>
            </w:r>
          </w:p>
        </w:tc>
        <w:tc>
          <w:tcPr>
            <w:tcW w:w="1666" w:type="pct"/>
          </w:tcPr>
          <w:p w14:paraId="32F20B18">
            <w:pPr>
              <w:pStyle w:val="26"/>
              <w:spacing w:before="20" w:after="20" w:line="276" w:lineRule="auto"/>
            </w:pPr>
            <w:r>
              <w:rPr>
                <w:rFonts w:ascii="Times New Roman" w:hAnsi="Times New Roman" w:eastAsia="宋体"/>
                <w:sz w:val="20"/>
              </w:rPr>
              <w:t>无变更记录；政策中性；仅其他估计变更</w:t>
            </w:r>
          </w:p>
        </w:tc>
        <w:tc>
          <w:tcPr>
            <w:tcW w:w="1666" w:type="pct"/>
          </w:tcPr>
          <w:p w14:paraId="4EE68E8D">
            <w:pPr>
              <w:pStyle w:val="26"/>
              <w:spacing w:before="20" w:after="20" w:line="276" w:lineRule="auto"/>
            </w:pPr>
            <w:r>
              <w:rPr>
                <w:rFonts w:ascii="Times New Roman" w:hAnsi="Times New Roman" w:eastAsia="宋体"/>
                <w:sz w:val="20"/>
              </w:rPr>
              <w:t>MU FY2024（7y固定多年）; CRM FY2025</w:t>
            </w:r>
          </w:p>
        </w:tc>
      </w:tr>
      <w:tr w14:paraId="7B6636A1">
        <w:tblPrEx>
          <w:tblCellMar>
            <w:top w:w="0" w:type="dxa"/>
            <w:left w:w="108" w:type="dxa"/>
            <w:bottom w:w="0" w:type="dxa"/>
            <w:right w:w="108" w:type="dxa"/>
          </w:tblCellMar>
        </w:tblPrEx>
        <w:tc>
          <w:tcPr>
            <w:tcW w:w="1666" w:type="pct"/>
          </w:tcPr>
          <w:p w14:paraId="23C2AAF0">
            <w:pPr>
              <w:pStyle w:val="26"/>
              <w:spacing w:before="20" w:after="20" w:line="276" w:lineRule="auto"/>
            </w:pPr>
            <w:r>
              <w:rPr>
                <w:rFonts w:ascii="Times New Roman" w:hAnsi="Times New Roman" w:eastAsia="宋体"/>
                <w:sz w:val="20"/>
              </w:rPr>
              <w:t>2</w:t>
            </w:r>
          </w:p>
        </w:tc>
        <w:tc>
          <w:tcPr>
            <w:tcW w:w="1666" w:type="pct"/>
          </w:tcPr>
          <w:p w14:paraId="0294E4AC">
            <w:pPr>
              <w:pStyle w:val="26"/>
              <w:spacing w:before="20" w:after="20" w:line="276" w:lineRule="auto"/>
            </w:pPr>
            <w:r>
              <w:rPr>
                <w:rFonts w:ascii="Times New Roman" w:hAnsi="Times New Roman" w:eastAsia="宋体"/>
                <w:sz w:val="20"/>
              </w:rPr>
              <w:t>使用追溯调整；或本期缩短年限</w:t>
            </w:r>
          </w:p>
        </w:tc>
        <w:tc>
          <w:tcPr>
            <w:tcW w:w="1666" w:type="pct"/>
          </w:tcPr>
          <w:p w14:paraId="71CDAA80">
            <w:pPr>
              <w:pStyle w:val="26"/>
              <w:spacing w:before="20" w:after="20" w:line="276" w:lineRule="auto"/>
            </w:pPr>
            <w:r>
              <w:rPr>
                <w:rFonts w:ascii="Times New Roman" w:hAnsi="Times New Roman" w:eastAsia="宋体"/>
                <w:sz w:val="20"/>
              </w:rPr>
              <w:t>Amazon 2025（6→5y缩回）</w:t>
            </w:r>
          </w:p>
        </w:tc>
      </w:tr>
      <w:tr w14:paraId="6DFA8232">
        <w:tblPrEx>
          <w:tblCellMar>
            <w:top w:w="0" w:type="dxa"/>
            <w:left w:w="108" w:type="dxa"/>
            <w:bottom w:w="0" w:type="dxa"/>
            <w:right w:w="108" w:type="dxa"/>
          </w:tblCellMar>
        </w:tblPrEx>
        <w:tc>
          <w:tcPr>
            <w:tcW w:w="1666" w:type="pct"/>
          </w:tcPr>
          <w:p w14:paraId="3BDE5DAF">
            <w:pPr>
              <w:pStyle w:val="26"/>
              <w:spacing w:before="20" w:after="20" w:line="276" w:lineRule="auto"/>
            </w:pPr>
            <w:r>
              <w:rPr>
                <w:rFonts w:ascii="Times New Roman" w:hAnsi="Times New Roman" w:eastAsia="宋体"/>
                <w:sz w:val="20"/>
              </w:rPr>
              <w:t>1</w:t>
            </w:r>
          </w:p>
        </w:tc>
        <w:tc>
          <w:tcPr>
            <w:tcW w:w="1666" w:type="pct"/>
          </w:tcPr>
          <w:p w14:paraId="7FB5A786">
            <w:pPr>
              <w:pStyle w:val="26"/>
              <w:spacing w:before="20" w:after="20" w:line="276" w:lineRule="auto"/>
            </w:pPr>
            <w:r>
              <w:rPr>
                <w:rFonts w:ascii="Times New Roman" w:hAnsi="Times New Roman" w:eastAsia="宋体"/>
                <w:sz w:val="20"/>
              </w:rPr>
              <w:t>显著缩短年限 + 无合理技术依据</w:t>
            </w:r>
          </w:p>
        </w:tc>
        <w:tc>
          <w:tcPr>
            <w:tcW w:w="1666" w:type="pct"/>
          </w:tcPr>
          <w:p w14:paraId="4B230936">
            <w:pPr>
              <w:pStyle w:val="26"/>
              <w:spacing w:before="20" w:after="20" w:line="276" w:lineRule="auto"/>
            </w:pPr>
            <w:r>
              <w:rPr>
                <w:rFonts w:ascii="Times New Roman" w:hAnsi="Times New Roman" w:eastAsia="宋体"/>
                <w:sz w:val="20"/>
              </w:rPr>
              <w:t>（样本中无）</w:t>
            </w:r>
          </w:p>
        </w:tc>
      </w:tr>
      <w:tr w14:paraId="1D403C3D">
        <w:tblPrEx>
          <w:tblCellMar>
            <w:top w:w="0" w:type="dxa"/>
            <w:left w:w="108" w:type="dxa"/>
            <w:bottom w:w="0" w:type="dxa"/>
            <w:right w:w="108" w:type="dxa"/>
          </w:tblCellMar>
        </w:tblPrEx>
        <w:tc>
          <w:tcPr>
            <w:tcW w:w="1666" w:type="pct"/>
          </w:tcPr>
          <w:p w14:paraId="3D84E63D">
            <w:pPr>
              <w:pStyle w:val="26"/>
              <w:spacing w:before="20" w:after="20" w:line="276" w:lineRule="auto"/>
            </w:pPr>
            <w:r>
              <w:rPr>
                <w:rFonts w:ascii="Times New Roman" w:hAnsi="Times New Roman" w:eastAsia="宋体"/>
                <w:sz w:val="20"/>
              </w:rPr>
              <w:t>PATTERN BONUS</w:t>
            </w:r>
          </w:p>
        </w:tc>
        <w:tc>
          <w:tcPr>
            <w:tcW w:w="1666" w:type="pct"/>
          </w:tcPr>
          <w:p w14:paraId="4A047C89">
            <w:pPr>
              <w:pStyle w:val="26"/>
              <w:spacing w:before="20" w:after="20" w:line="276" w:lineRule="auto"/>
            </w:pPr>
            <w:r>
              <w:rPr>
                <w:rFonts w:ascii="Times New Roman" w:hAnsi="Times New Roman" w:eastAsia="宋体"/>
                <w:sz w:val="20"/>
              </w:rPr>
              <w:t>三年内两次延长 = 自动5分</w:t>
            </w:r>
          </w:p>
        </w:tc>
        <w:tc>
          <w:tcPr>
            <w:tcW w:w="1666" w:type="pct"/>
          </w:tcPr>
          <w:p w14:paraId="2465C4B0">
            <w:pPr>
              <w:pStyle w:val="26"/>
              <w:spacing w:before="20" w:after="20" w:line="276" w:lineRule="auto"/>
            </w:pPr>
            <w:r>
              <w:rPr>
                <w:rFonts w:ascii="Times New Roman" w:hAnsi="Times New Roman" w:eastAsia="宋体"/>
                <w:sz w:val="20"/>
              </w:rPr>
              <w:t>META 2022+2024; ORCL 2023+2025</w:t>
            </w:r>
          </w:p>
        </w:tc>
      </w:tr>
    </w:tbl>
    <w:p w14:paraId="404FCA87">
      <w:pPr>
        <w:pStyle w:val="3"/>
        <w:spacing w:before="40" w:after="40" w:line="360" w:lineRule="auto"/>
        <w:ind w:firstLine="480"/>
      </w:pPr>
      <w:r>
        <w:rPr>
          <w:rFonts w:hint="eastAsia" w:ascii="Times New Roman" w:hAnsi="Times New Roman" w:eastAsia="宋体"/>
          <w:sz w:val="24"/>
        </w:rPr>
        <w:t>锚点表执行说明：上述锚点为一般性参照。对运营型云厂商的服务器/网络资产，若处于资本开支狂潮期且无按用途（训练/推理）拆分披露，其统一延长后的年限即使处于</w:t>
      </w:r>
      <w:r>
        <w:rPr>
          <w:rFonts w:ascii="Times New Roman" w:hAnsi="Times New Roman" w:eastAsia="宋体"/>
          <w:sz w:val="24"/>
        </w:rPr>
        <w:t xml:space="preserve"> 5-6 </w:t>
      </w:r>
      <w:r>
        <w:rPr>
          <w:rFonts w:hint="eastAsia" w:ascii="Times New Roman" w:hAnsi="Times New Roman" w:eastAsia="宋体"/>
          <w:sz w:val="24"/>
        </w:rPr>
        <w:t>年区间，因核心训练资产的技术经济寿命被推理资产拉平掩护（详见</w:t>
      </w:r>
      <w:r>
        <w:rPr>
          <w:rFonts w:ascii="Times New Roman" w:hAnsi="Times New Roman" w:eastAsia="宋体"/>
          <w:sz w:val="24"/>
        </w:rPr>
        <w:t xml:space="preserve"> </w:t>
      </w:r>
      <w:r>
        <w:rPr>
          <w:rFonts w:hint="eastAsia" w:ascii="Times New Roman" w:hAnsi="Times New Roman" w:eastAsia="宋体"/>
          <w:sz w:val="24"/>
        </w:rPr>
        <w:t>4.3.5），D1</w:t>
      </w:r>
      <w:r>
        <w:rPr>
          <w:rFonts w:ascii="Times New Roman" w:hAnsi="Times New Roman" w:eastAsia="宋体"/>
          <w:sz w:val="24"/>
        </w:rPr>
        <w:t xml:space="preserve"> </w:t>
      </w:r>
      <w:r>
        <w:rPr>
          <w:rFonts w:hint="eastAsia" w:ascii="Times New Roman" w:hAnsi="Times New Roman" w:eastAsia="宋体"/>
          <w:sz w:val="24"/>
        </w:rPr>
        <w:t>可审慎上浮至</w:t>
      </w:r>
      <w:r>
        <w:rPr>
          <w:rFonts w:ascii="Times New Roman" w:hAnsi="Times New Roman" w:eastAsia="宋体"/>
          <w:sz w:val="24"/>
        </w:rPr>
        <w:t xml:space="preserve"> 5 </w:t>
      </w:r>
      <w:r>
        <w:rPr>
          <w:rFonts w:hint="eastAsia" w:ascii="Times New Roman" w:hAnsi="Times New Roman" w:eastAsia="宋体"/>
          <w:sz w:val="24"/>
        </w:rPr>
        <w:t>分；对制造型晶圆厂设备，因半导体设备技术迭代周期（3-4</w:t>
      </w:r>
      <w:r>
        <w:rPr>
          <w:rFonts w:ascii="Times New Roman" w:hAnsi="Times New Roman" w:eastAsia="宋体"/>
          <w:sz w:val="24"/>
        </w:rPr>
        <w:t xml:space="preserve"> </w:t>
      </w:r>
      <w:r>
        <w:rPr>
          <w:rFonts w:hint="eastAsia" w:ascii="Times New Roman" w:hAnsi="Times New Roman" w:eastAsia="宋体"/>
          <w:sz w:val="24"/>
        </w:rPr>
        <w:t>年）显著短于通用物理资产，其</w:t>
      </w:r>
      <w:r>
        <w:rPr>
          <w:rFonts w:ascii="Times New Roman" w:hAnsi="Times New Roman" w:eastAsia="宋体"/>
          <w:sz w:val="24"/>
        </w:rPr>
        <w:t xml:space="preserve"> 5→8 </w:t>
      </w:r>
      <w:r>
        <w:rPr>
          <w:rFonts w:hint="eastAsia" w:ascii="Times New Roman" w:hAnsi="Times New Roman" w:eastAsia="宋体"/>
          <w:sz w:val="24"/>
        </w:rPr>
        <w:t>年变更虽跨</w:t>
      </w:r>
      <w:r>
        <w:rPr>
          <w:rFonts w:ascii="Times New Roman" w:hAnsi="Times New Roman" w:eastAsia="宋体"/>
          <w:sz w:val="24"/>
        </w:rPr>
        <w:t xml:space="preserve"> 6 </w:t>
      </w:r>
      <w:r>
        <w:rPr>
          <w:rFonts w:hint="eastAsia" w:ascii="Times New Roman" w:hAnsi="Times New Roman" w:eastAsia="宋体"/>
          <w:sz w:val="24"/>
        </w:rPr>
        <w:t>年门槛，但需结合资产类型与</w:t>
      </w:r>
      <w:r>
        <w:rPr>
          <w:rFonts w:ascii="Times New Roman" w:hAnsi="Times New Roman" w:eastAsia="宋体"/>
          <w:sz w:val="24"/>
        </w:rPr>
        <w:t xml:space="preserve"> D5 </w:t>
      </w:r>
      <w:r>
        <w:rPr>
          <w:rFonts w:hint="eastAsia" w:ascii="Times New Roman" w:hAnsi="Times New Roman" w:eastAsia="宋体"/>
          <w:sz w:val="24"/>
        </w:rPr>
        <w:t>竞争替代维度综合判定，故</w:t>
      </w:r>
      <w:r>
        <w:rPr>
          <w:rFonts w:ascii="Times New Roman" w:hAnsi="Times New Roman" w:eastAsia="宋体"/>
          <w:sz w:val="24"/>
        </w:rPr>
        <w:t xml:space="preserve"> INTC </w:t>
      </w:r>
      <w:r>
        <w:rPr>
          <w:rFonts w:hint="eastAsia" w:ascii="Times New Roman" w:hAnsi="Times New Roman" w:eastAsia="宋体"/>
          <w:sz w:val="24"/>
        </w:rPr>
        <w:t>面板内</w:t>
      </w:r>
      <w:r>
        <w:rPr>
          <w:rFonts w:ascii="Times New Roman" w:hAnsi="Times New Roman" w:eastAsia="宋体"/>
          <w:sz w:val="24"/>
        </w:rPr>
        <w:t xml:space="preserve"> D1 </w:t>
      </w:r>
      <w:r>
        <w:rPr>
          <w:rFonts w:hint="eastAsia" w:ascii="Times New Roman" w:hAnsi="Times New Roman" w:eastAsia="宋体"/>
          <w:sz w:val="24"/>
        </w:rPr>
        <w:t>取</w:t>
      </w:r>
      <w:r>
        <w:rPr>
          <w:rFonts w:ascii="Times New Roman" w:hAnsi="Times New Roman" w:eastAsia="宋体"/>
          <w:sz w:val="24"/>
        </w:rPr>
        <w:t xml:space="preserve"> 4 </w:t>
      </w:r>
      <w:r>
        <w:rPr>
          <w:rFonts w:hint="eastAsia" w:ascii="Times New Roman" w:hAnsi="Times New Roman" w:eastAsia="宋体"/>
          <w:sz w:val="24"/>
        </w:rPr>
        <w:t>分而非</w:t>
      </w:r>
      <w:r>
        <w:rPr>
          <w:rFonts w:ascii="Times New Roman" w:hAnsi="Times New Roman" w:eastAsia="宋体"/>
          <w:sz w:val="24"/>
        </w:rPr>
        <w:t xml:space="preserve"> 5 </w:t>
      </w:r>
      <w:r>
        <w:rPr>
          <w:rFonts w:hint="eastAsia" w:ascii="Times New Roman" w:hAnsi="Times New Roman" w:eastAsia="宋体"/>
          <w:sz w:val="24"/>
        </w:rPr>
        <w:t>分。所有突破锚点的评分均在标注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dimension_scores.reasoning </w:t>
      </w:r>
      <w:r>
        <w:rPr>
          <w:rFonts w:hint="eastAsia" w:ascii="Times New Roman" w:hAnsi="Times New Roman" w:eastAsia="宋体"/>
          <w:sz w:val="24"/>
        </w:rPr>
        <w:t>中留痕备核。</w:t>
      </w:r>
    </w:p>
    <w:p w14:paraId="7DE0CA84">
      <w:pPr>
        <w:pStyle w:val="3"/>
        <w:spacing w:before="40" w:after="40" w:line="360" w:lineRule="auto"/>
        <w:ind w:firstLine="480"/>
      </w:pPr>
      <w:r>
        <w:rPr>
          <w:rFonts w:hint="eastAsia" w:ascii="Times New Roman" w:hAnsi="Times New Roman" w:eastAsia="宋体"/>
          <w:sz w:val="24"/>
        </w:rPr>
        <w:t>风险等级映射：≥4.0</w:t>
      </w:r>
      <w:r>
        <w:rPr>
          <w:rFonts w:ascii="Times New Roman" w:hAnsi="Times New Roman" w:eastAsia="宋体"/>
          <w:sz w:val="24"/>
        </w:rPr>
        <w:t xml:space="preserve"> </w:t>
      </w:r>
      <w:r>
        <w:rPr>
          <w:rFonts w:hint="eastAsia" w:ascii="Times New Roman" w:hAnsi="Times New Roman" w:eastAsia="宋体"/>
          <w:sz w:val="24"/>
        </w:rPr>
        <w:t>高风险</w:t>
      </w:r>
      <w:r>
        <w:rPr>
          <w:rFonts w:ascii="Times New Roman" w:hAnsi="Times New Roman" w:eastAsia="宋体"/>
          <w:sz w:val="24"/>
        </w:rPr>
        <w:t xml:space="preserve"> </w:t>
      </w:r>
      <w:r>
        <w:rPr>
          <w:rFonts w:hint="eastAsia" w:ascii="Times New Roman" w:hAnsi="Times New Roman" w:eastAsia="宋体"/>
          <w:sz w:val="24"/>
        </w:rPr>
        <w:t>｜</w:t>
      </w:r>
      <w:r>
        <w:rPr>
          <w:rFonts w:ascii="Times New Roman" w:hAnsi="Times New Roman" w:eastAsia="宋体"/>
          <w:sz w:val="24"/>
        </w:rPr>
        <w:t xml:space="preserve"> 3.0-3.9 </w:t>
      </w:r>
      <w:r>
        <w:rPr>
          <w:rFonts w:hint="eastAsia" w:ascii="Times New Roman" w:hAnsi="Times New Roman" w:eastAsia="宋体"/>
          <w:sz w:val="24"/>
        </w:rPr>
        <w:t>中高风险</w:t>
      </w:r>
      <w:r>
        <w:rPr>
          <w:rFonts w:ascii="Times New Roman" w:hAnsi="Times New Roman" w:eastAsia="宋体"/>
          <w:sz w:val="24"/>
        </w:rPr>
        <w:t xml:space="preserve"> </w:t>
      </w:r>
      <w:r>
        <w:rPr>
          <w:rFonts w:hint="eastAsia" w:ascii="Times New Roman" w:hAnsi="Times New Roman" w:eastAsia="宋体"/>
          <w:sz w:val="24"/>
        </w:rPr>
        <w:t>｜</w:t>
      </w:r>
      <w:r>
        <w:rPr>
          <w:rFonts w:ascii="Times New Roman" w:hAnsi="Times New Roman" w:eastAsia="宋体"/>
          <w:sz w:val="24"/>
        </w:rPr>
        <w:t xml:space="preserve"> 2.0-2.9 </w:t>
      </w:r>
      <w:r>
        <w:rPr>
          <w:rFonts w:hint="eastAsia" w:ascii="Times New Roman" w:hAnsi="Times New Roman" w:eastAsia="宋体"/>
          <w:sz w:val="24"/>
        </w:rPr>
        <w:t>中风险</w:t>
      </w:r>
      <w:r>
        <w:rPr>
          <w:rFonts w:ascii="Times New Roman" w:hAnsi="Times New Roman" w:eastAsia="宋体"/>
          <w:sz w:val="24"/>
        </w:rPr>
        <w:t xml:space="preserve"> </w:t>
      </w:r>
      <w:r>
        <w:rPr>
          <w:rFonts w:hint="eastAsia" w:ascii="Times New Roman" w:hAnsi="Times New Roman" w:eastAsia="宋体"/>
          <w:sz w:val="24"/>
        </w:rPr>
        <w:t>｜</w:t>
      </w:r>
      <w:r>
        <w:rPr>
          <w:rFonts w:ascii="Times New Roman" w:hAnsi="Times New Roman" w:eastAsia="宋体"/>
          <w:sz w:val="24"/>
        </w:rPr>
        <w:t xml:space="preserve"> &lt;2.0 </w:t>
      </w:r>
      <w:r>
        <w:rPr>
          <w:rFonts w:hint="eastAsia" w:ascii="Times New Roman" w:hAnsi="Times New Roman" w:eastAsia="宋体"/>
          <w:sz w:val="24"/>
        </w:rPr>
        <w:t>低风险</w:t>
      </w:r>
    </w:p>
    <w:bookmarkEnd w:id="68"/>
    <w:p w14:paraId="14F4FC15">
      <w:pPr>
        <w:pStyle w:val="5"/>
        <w:spacing w:before="240" w:after="120" w:line="360" w:lineRule="auto"/>
      </w:pPr>
      <w:bookmarkStart w:id="69" w:name="基准校准与验算规则"/>
      <w:r>
        <w:rPr>
          <w:rFonts w:ascii="Times New Roman" w:hAnsi="Times New Roman" w:eastAsia="黑体"/>
          <w:b/>
          <w:color w:val="003366"/>
          <w:sz w:val="24"/>
        </w:rPr>
        <w:t xml:space="preserve">3.4.3 </w:t>
      </w:r>
      <w:r>
        <w:rPr>
          <w:rFonts w:hint="eastAsia" w:ascii="Times New Roman" w:hAnsi="Times New Roman" w:eastAsia="黑体"/>
          <w:b/>
          <w:color w:val="003366"/>
          <w:sz w:val="24"/>
        </w:rPr>
        <w:t>基准校准与验算规则</w:t>
      </w:r>
    </w:p>
    <w:p w14:paraId="3C90E4DC">
      <w:pPr>
        <w:pStyle w:val="25"/>
        <w:spacing w:before="40" w:after="40" w:line="360" w:lineRule="auto"/>
        <w:ind w:firstLine="480"/>
      </w:pPr>
      <w:r>
        <w:rPr>
          <w:rFonts w:hint="eastAsia" w:ascii="Times New Roman" w:hAnsi="Times New Roman" w:eastAsia="宋体"/>
          <w:sz w:val="24"/>
        </w:rPr>
        <w:t>评分以</w:t>
      </w:r>
      <w:r>
        <w:rPr>
          <w:rFonts w:ascii="Times New Roman" w:hAnsi="Times New Roman" w:eastAsia="宋体"/>
          <w:sz w:val="24"/>
        </w:rPr>
        <w:t xml:space="preserve"> Meta </w:t>
      </w:r>
      <w:r>
        <w:rPr>
          <w:rFonts w:hint="eastAsia" w:ascii="Times New Roman" w:hAnsi="Times New Roman" w:eastAsia="宋体"/>
          <w:sz w:val="24"/>
        </w:rPr>
        <w:t>2023（综合</w:t>
      </w:r>
      <w:r>
        <w:rPr>
          <w:rFonts w:ascii="Times New Roman" w:hAnsi="Times New Roman" w:eastAsia="宋体"/>
          <w:sz w:val="24"/>
        </w:rPr>
        <w:t xml:space="preserve"> </w:t>
      </w:r>
      <w:r>
        <w:rPr>
          <w:rFonts w:hint="eastAsia" w:ascii="Times New Roman" w:hAnsi="Times New Roman" w:eastAsia="宋体"/>
          <w:sz w:val="24"/>
        </w:rPr>
        <w:t>4.00，经项目负责人逐条确认）为基准锚样本，所有观测评分须与基准进行相对合理性检验；多年份扩样时，同一公司的新年份标注须与已确认锚点年份显式对照，保证跨年份口径一致。每个维度得分必须引用支撑信号编号（如</w:t>
      </w:r>
      <w:r>
        <w:rPr>
          <w:rFonts w:ascii="Times New Roman" w:hAnsi="Times New Roman" w:eastAsia="宋体"/>
          <w:sz w:val="24"/>
        </w:rPr>
        <w:t xml:space="preserve"> supporting_signals: [SIG-001, </w:t>
      </w:r>
      <w:r>
        <w:rPr>
          <w:rFonts w:hint="eastAsia" w:ascii="Times New Roman" w:hAnsi="Times New Roman" w:eastAsia="宋体"/>
          <w:sz w:val="24"/>
        </w:rPr>
        <w:t>SIG-003]），综合评分必须展示完整验算式：</w:t>
      </w:r>
    </w:p>
    <w:p w14:paraId="4988A00D">
      <w:pPr>
        <w:pStyle w:val="3"/>
        <w:spacing w:before="40" w:after="40" w:line="360" w:lineRule="auto"/>
        <w:ind w:firstLine="480"/>
      </w:pPr>
      <w:r>
        <w:rPr>
          <w:rFonts w:hint="eastAsia" w:ascii="Times New Roman" w:hAnsi="Times New Roman" w:eastAsia="宋体"/>
          <w:sz w:val="24"/>
        </w:rPr>
        <w:t>验算示例（NVIDIA</w:t>
      </w:r>
      <w:r>
        <w:rPr>
          <w:rFonts w:ascii="Times New Roman" w:hAnsi="Times New Roman" w:eastAsia="宋体"/>
          <w:sz w:val="24"/>
        </w:rPr>
        <w:t xml:space="preserve"> </w:t>
      </w:r>
      <w:r>
        <w:rPr>
          <w:rFonts w:hint="eastAsia" w:ascii="Times New Roman" w:hAnsi="Times New Roman" w:eastAsia="宋体"/>
          <w:sz w:val="24"/>
        </w:rPr>
        <w:t>FY2024）：</w:t>
      </w:r>
    </w:p>
    <w:p w14:paraId="2A270092">
      <w:pPr>
        <w:pStyle w:val="3"/>
        <w:spacing w:before="40" w:after="40" w:line="360" w:lineRule="auto"/>
        <w:ind w:firstLine="480"/>
      </w:pPr>
      <w:r>
        <w:rPr>
          <w:rFonts w:ascii="Times New Roman" w:hAnsi="Times New Roman" w:eastAsia="宋体"/>
          <w:sz w:val="24"/>
        </w:rPr>
        <w:t>4×0.25+5×0.20+3×0.20+1×0.20+2×0.15=1.00+1.00+0.60+0.20+0.30=3.10</w:t>
      </w:r>
    </w:p>
    <w:p w14:paraId="57FFA2D4">
      <w:pPr>
        <w:pStyle w:val="3"/>
        <w:spacing w:before="40" w:after="40" w:line="360" w:lineRule="auto"/>
        <w:ind w:firstLine="480"/>
      </w:pPr>
      <w:r>
        <w:rPr>
          <w:rFonts w:hint="eastAsia" w:ascii="Times New Roman" w:hAnsi="Times New Roman" w:eastAsia="宋体"/>
          <w:sz w:val="24"/>
        </w:rPr>
        <w:t>解读：政策最激进（D2</w:t>
      </w:r>
      <w:r>
        <w:rPr>
          <w:rFonts w:ascii="Times New Roman" w:hAnsi="Times New Roman" w:eastAsia="宋体"/>
          <w:sz w:val="24"/>
        </w:rPr>
        <w:t xml:space="preserve"> </w:t>
      </w:r>
      <w:r>
        <w:rPr>
          <w:rFonts w:hint="eastAsia" w:ascii="Times New Roman" w:hAnsi="Times New Roman" w:eastAsia="宋体"/>
          <w:sz w:val="24"/>
        </w:rPr>
        <w:t>满分：FY2023</w:t>
      </w:r>
      <w:r>
        <w:rPr>
          <w:rFonts w:ascii="Times New Roman" w:hAnsi="Times New Roman" w:eastAsia="宋体"/>
          <w:sz w:val="24"/>
        </w:rPr>
        <w:t xml:space="preserve"> </w:t>
      </w:r>
      <w:r>
        <w:rPr>
          <w:rFonts w:hint="eastAsia" w:ascii="Times New Roman" w:hAnsi="Times New Roman" w:eastAsia="宋体"/>
          <w:sz w:val="24"/>
        </w:rPr>
        <w:t>服务器</w:t>
      </w:r>
      <w:r>
        <w:rPr>
          <w:rFonts w:ascii="Times New Roman" w:hAnsi="Times New Roman" w:eastAsia="宋体"/>
          <w:sz w:val="24"/>
        </w:rPr>
        <w:t xml:space="preserve"> 3→4-5 </w:t>
      </w:r>
      <w:r>
        <w:rPr>
          <w:rFonts w:hint="eastAsia" w:ascii="Times New Roman" w:hAnsi="Times New Roman" w:eastAsia="宋体"/>
          <w:sz w:val="24"/>
        </w:rPr>
        <w:t>年</w:t>
      </w:r>
      <w:r>
        <w:rPr>
          <w:rFonts w:ascii="Times New Roman" w:hAnsi="Times New Roman" w:eastAsia="宋体"/>
          <w:sz w:val="24"/>
        </w:rPr>
        <w:t xml:space="preserve"> + </w:t>
      </w:r>
      <w:r>
        <w:rPr>
          <w:rFonts w:hint="eastAsia" w:ascii="Times New Roman" w:hAnsi="Times New Roman" w:eastAsia="宋体"/>
          <w:sz w:val="24"/>
        </w:rPr>
        <w:t>未来适用</w:t>
      </w:r>
      <w:r>
        <w:rPr>
          <w:rFonts w:ascii="Times New Roman" w:hAnsi="Times New Roman" w:eastAsia="宋体"/>
          <w:sz w:val="24"/>
        </w:rPr>
        <w:t xml:space="preserve"> + </w:t>
      </w:r>
      <w:r>
        <w:rPr>
          <w:rFonts w:hint="eastAsia" w:ascii="Times New Roman" w:hAnsi="Times New Roman" w:eastAsia="宋体"/>
          <w:sz w:val="24"/>
        </w:rPr>
        <w:t>量化增厚</w:t>
      </w:r>
      <w:r>
        <w:rPr>
          <w:rFonts w:ascii="Times New Roman" w:hAnsi="Times New Roman" w:eastAsia="宋体"/>
          <w:sz w:val="24"/>
        </w:rPr>
        <w:t xml:space="preserve"> FY2024 </w:t>
      </w:r>
      <w:r>
        <w:rPr>
          <w:rFonts w:hint="eastAsia" w:ascii="Times New Roman" w:hAnsi="Times New Roman" w:eastAsia="宋体"/>
          <w:sz w:val="24"/>
        </w:rPr>
        <w:t>营业利润</w:t>
      </w:r>
      <w:r>
        <w:rPr>
          <w:rFonts w:ascii="Times New Roman" w:hAnsi="Times New Roman" w:eastAsia="宋体"/>
          <w:sz w:val="24"/>
        </w:rPr>
        <w:t xml:space="preserve"> </w:t>
      </w:r>
      <w:r>
        <w:rPr>
          <w:rFonts w:hint="eastAsia" w:ascii="Times New Roman" w:hAnsi="Times New Roman" w:eastAsia="宋体"/>
          <w:sz w:val="24"/>
        </w:rPr>
        <w:t>$133M（NVIDIA</w:t>
      </w:r>
      <w:r>
        <w:rPr>
          <w:rFonts w:ascii="Times New Roman" w:hAnsi="Times New Roman" w:eastAsia="宋体"/>
          <w:sz w:val="24"/>
        </w:rPr>
        <w:t xml:space="preserve"> FY2024 10-K </w:t>
      </w:r>
      <w:r>
        <w:rPr>
          <w:rFonts w:hint="eastAsia" w:ascii="Times New Roman" w:hAnsi="Times New Roman" w:eastAsia="宋体"/>
          <w:sz w:val="24"/>
        </w:rPr>
        <w:t>直接披露），按有效税率约</w:t>
      </w:r>
      <w:r>
        <w:rPr>
          <w:rFonts w:ascii="Times New Roman" w:hAnsi="Times New Roman" w:eastAsia="宋体"/>
          <w:sz w:val="24"/>
        </w:rPr>
        <w:t xml:space="preserve"> 15% </w:t>
      </w:r>
      <w:r>
        <w:rPr>
          <w:rFonts w:hint="eastAsia" w:ascii="Times New Roman" w:hAnsi="Times New Roman" w:eastAsia="宋体"/>
          <w:sz w:val="24"/>
        </w:rPr>
        <w:t>推算税后净利约</w:t>
      </w:r>
      <w:r>
        <w:rPr>
          <w:rFonts w:ascii="Times New Roman" w:hAnsi="Times New Roman" w:eastAsia="宋体"/>
          <w:sz w:val="24"/>
        </w:rPr>
        <w:t xml:space="preserve"> </w:t>
      </w:r>
      <w:r>
        <w:rPr>
          <w:rFonts w:hint="eastAsia" w:ascii="Times New Roman" w:hAnsi="Times New Roman" w:eastAsia="宋体"/>
          <w:sz w:val="24"/>
        </w:rPr>
        <w:t>$113M、非官方直接披露），但资产最轻（D4</w:t>
      </w:r>
      <w:r>
        <w:rPr>
          <w:rFonts w:ascii="Times New Roman" w:hAnsi="Times New Roman" w:eastAsia="宋体"/>
          <w:sz w:val="24"/>
        </w:rPr>
        <w:t xml:space="preserve"> </w:t>
      </w:r>
      <w:r>
        <w:rPr>
          <w:rFonts w:hint="eastAsia" w:ascii="Times New Roman" w:hAnsi="Times New Roman" w:eastAsia="宋体"/>
          <w:sz w:val="24"/>
        </w:rPr>
        <w:t>一分：CAPEX/收入仅</w:t>
      </w:r>
      <w:r>
        <w:rPr>
          <w:rFonts w:ascii="Times New Roman" w:hAnsi="Times New Roman" w:eastAsia="宋体"/>
          <w:sz w:val="24"/>
        </w:rPr>
        <w:t xml:space="preserve"> </w:t>
      </w:r>
      <w:r>
        <w:rPr>
          <w:rFonts w:hint="eastAsia" w:ascii="Times New Roman" w:hAnsi="Times New Roman" w:eastAsia="宋体"/>
          <w:sz w:val="24"/>
        </w:rPr>
        <w:t>1.75%）——“信号检测价值大于金额重大性价值”。</w:t>
      </w:r>
    </w:p>
    <w:bookmarkEnd w:id="69"/>
    <w:p w14:paraId="001D003C">
      <w:pPr>
        <w:pStyle w:val="5"/>
        <w:spacing w:before="240" w:after="120" w:line="360" w:lineRule="auto"/>
      </w:pPr>
      <w:bookmarkStart w:id="70" w:name="模型的核心发现逻辑"/>
      <w:r>
        <w:rPr>
          <w:rFonts w:ascii="Times New Roman" w:hAnsi="Times New Roman" w:eastAsia="黑体"/>
          <w:b/>
          <w:color w:val="003366"/>
          <w:sz w:val="24"/>
        </w:rPr>
        <w:t xml:space="preserve">3.4.4 </w:t>
      </w:r>
      <w:r>
        <w:rPr>
          <w:rFonts w:hint="eastAsia" w:ascii="Times New Roman" w:hAnsi="Times New Roman" w:eastAsia="黑体"/>
          <w:b/>
          <w:color w:val="003366"/>
          <w:sz w:val="24"/>
        </w:rPr>
        <w:t>模型的核心发现逻辑</w:t>
      </w:r>
    </w:p>
    <w:p w14:paraId="031543C9">
      <w:pPr>
        <w:pStyle w:val="25"/>
        <w:spacing w:before="40" w:after="40" w:line="360" w:lineRule="auto"/>
        <w:ind w:firstLine="480"/>
      </w:pPr>
      <w:r>
        <w:rPr>
          <w:rFonts w:hint="eastAsia" w:ascii="Times New Roman" w:hAnsi="Times New Roman" w:eastAsia="宋体"/>
          <w:sz w:val="24"/>
        </w:rPr>
        <w:t>评分体系内嵌一个可检验的结构假说：</w:t>
      </w:r>
    </w:p>
    <w:p w14:paraId="410FC381">
      <w:pPr>
        <w:pStyle w:val="3"/>
        <w:spacing w:before="40" w:after="40" w:line="360" w:lineRule="auto"/>
        <w:ind w:firstLine="480"/>
      </w:pPr>
      <w:r>
        <w:rPr>
          <w:rFonts w:hint="eastAsia" w:ascii="Times New Roman" w:hAnsi="Times New Roman" w:eastAsia="宋体"/>
          <w:sz w:val="24"/>
        </w:rPr>
        <w:t>折旧风险</w:t>
      </w:r>
      <w:r>
        <w:rPr>
          <w:rFonts w:ascii="Times New Roman" w:hAnsi="Times New Roman" w:eastAsia="宋体"/>
          <w:sz w:val="24"/>
        </w:rPr>
        <w:t xml:space="preserve"> = </w:t>
      </w:r>
      <w:r>
        <w:rPr>
          <w:rFonts w:hint="eastAsia" w:ascii="Times New Roman" w:hAnsi="Times New Roman" w:eastAsia="宋体"/>
          <w:sz w:val="24"/>
        </w:rPr>
        <w:t>会计假设激进度</w:t>
      </w:r>
      <w:r>
        <w:rPr>
          <w:rFonts w:ascii="Times New Roman" w:hAnsi="Times New Roman" w:eastAsia="宋体"/>
          <w:sz w:val="24"/>
        </w:rPr>
        <w:t xml:space="preserve"> × </w:t>
      </w:r>
      <w:r>
        <w:rPr>
          <w:rFonts w:hint="eastAsia" w:ascii="Times New Roman" w:hAnsi="Times New Roman" w:eastAsia="宋体"/>
          <w:sz w:val="24"/>
        </w:rPr>
        <w:t>资产敞口</w:t>
      </w:r>
    </w:p>
    <w:p w14:paraId="400D9079">
      <w:pPr>
        <w:pStyle w:val="3"/>
        <w:spacing w:before="40" w:after="40" w:line="360" w:lineRule="auto"/>
        <w:ind w:firstLine="480"/>
      </w:pPr>
      <w:r>
        <w:rPr>
          <w:rFonts w:hint="eastAsia" w:ascii="Times New Roman" w:hAnsi="Times New Roman" w:eastAsia="宋体"/>
          <w:sz w:val="24"/>
        </w:rPr>
        <w:t>重资产运营型公司（中心年：GOOGL</w:t>
      </w:r>
      <w:r>
        <w:rPr>
          <w:rFonts w:ascii="Times New Roman" w:hAnsi="Times New Roman" w:eastAsia="宋体"/>
          <w:sz w:val="24"/>
        </w:rPr>
        <w:t xml:space="preserve"> 4.25 / MSFT 4.20 / META </w:t>
      </w:r>
      <w:r>
        <w:rPr>
          <w:rFonts w:hint="eastAsia" w:ascii="Times New Roman" w:hAnsi="Times New Roman" w:eastAsia="宋体"/>
          <w:sz w:val="24"/>
        </w:rPr>
        <w:t>4.00）系统性地高于轻资产设计型公司（NVDA</w:t>
      </w:r>
      <w:r>
        <w:rPr>
          <w:rFonts w:ascii="Times New Roman" w:hAnsi="Times New Roman" w:eastAsia="宋体"/>
          <w:sz w:val="24"/>
        </w:rPr>
        <w:t xml:space="preserve"> 3.10 / AMD </w:t>
      </w:r>
      <w:r>
        <w:rPr>
          <w:rFonts w:hint="eastAsia" w:ascii="Times New Roman" w:hAnsi="Times New Roman" w:eastAsia="宋体"/>
          <w:sz w:val="24"/>
        </w:rPr>
        <w:t>2.40）——这一排序差异完全由模型内生生成，未经人工调整，构成模型的结构效度证据（详见第四章）。</w:t>
      </w:r>
    </w:p>
    <w:bookmarkEnd w:id="66"/>
    <w:bookmarkEnd w:id="70"/>
    <w:p w14:paraId="66E39C87">
      <w:pPr>
        <w:pStyle w:val="4"/>
        <w:spacing w:before="320" w:after="160" w:line="360" w:lineRule="auto"/>
      </w:pPr>
      <w:bookmarkStart w:id="71" w:name="_Toc28806"/>
      <w:bookmarkStart w:id="72" w:name="财务指标体系45-指标三层结构"/>
      <w:r>
        <w:rPr>
          <w:rFonts w:ascii="Times New Roman" w:hAnsi="Times New Roman" w:eastAsia="黑体"/>
          <w:b/>
          <w:color w:val="003366"/>
          <w:sz w:val="28"/>
        </w:rPr>
        <w:t xml:space="preserve">3.5 </w:t>
      </w:r>
      <w:r>
        <w:rPr>
          <w:rFonts w:hint="eastAsia" w:ascii="Times New Roman" w:hAnsi="Times New Roman" w:eastAsia="黑体"/>
          <w:b/>
          <w:color w:val="003366"/>
          <w:sz w:val="28"/>
        </w:rPr>
        <w:t>财务指标体系（45</w:t>
      </w:r>
      <w:r>
        <w:rPr>
          <w:rFonts w:ascii="Times New Roman" w:hAnsi="Times New Roman" w:eastAsia="黑体"/>
          <w:b/>
          <w:color w:val="003366"/>
          <w:sz w:val="28"/>
        </w:rPr>
        <w:t xml:space="preserve"> </w:t>
      </w:r>
      <w:r>
        <w:rPr>
          <w:rFonts w:hint="eastAsia" w:ascii="Times New Roman" w:hAnsi="Times New Roman" w:eastAsia="黑体"/>
          <w:b/>
          <w:color w:val="003366"/>
          <w:sz w:val="28"/>
        </w:rPr>
        <w:t>指标三层结构）</w:t>
      </w:r>
      <w:bookmarkEnd w:id="71"/>
    </w:p>
    <w:p w14:paraId="2B264178">
      <w:pPr>
        <w:pStyle w:val="25"/>
        <w:spacing w:before="40" w:after="40" w:line="360" w:lineRule="auto"/>
        <w:ind w:firstLine="480"/>
      </w:pPr>
      <w:r>
        <w:rPr>
          <w:rFonts w:hint="eastAsia" w:ascii="Times New Roman" w:hAnsi="Times New Roman" w:eastAsia="宋体"/>
          <w:sz w:val="24"/>
        </w:rPr>
        <w:t>为支撑评分并刻画完整财务画像，构建</w:t>
      </w:r>
      <w:r>
        <w:rPr>
          <w:rFonts w:ascii="Times New Roman" w:hAnsi="Times New Roman" w:eastAsia="宋体"/>
          <w:sz w:val="24"/>
        </w:rPr>
        <w:t xml:space="preserve"> 45 </w:t>
      </w:r>
      <w:r>
        <w:rPr>
          <w:rFonts w:hint="eastAsia" w:ascii="Times New Roman" w:hAnsi="Times New Roman" w:eastAsia="宋体"/>
          <w:sz w:val="24"/>
        </w:rPr>
        <w:t>项指标的三层体系（详见附录</w:t>
      </w:r>
      <w:r>
        <w:rPr>
          <w:rFonts w:ascii="Times New Roman" w:hAnsi="Times New Roman" w:eastAsia="宋体"/>
          <w:sz w:val="24"/>
        </w:rPr>
        <w:t xml:space="preserve"> </w:t>
      </w:r>
      <w:r>
        <w:rPr>
          <w:rFonts w:hint="eastAsia" w:ascii="Times New Roman" w:hAnsi="Times New Roman" w:eastAsia="宋体"/>
          <w:sz w:val="24"/>
        </w:rPr>
        <w:t>C）：</w:t>
      </w:r>
    </w:p>
    <w:p w14:paraId="14A6324D">
      <w:pPr>
        <w:pStyle w:val="3"/>
        <w:spacing w:before="40" w:after="40" w:line="360" w:lineRule="auto"/>
        <w:ind w:firstLine="480"/>
      </w:pPr>
      <w:r>
        <w:rPr>
          <w:rFonts w:hint="eastAsia" w:ascii="Times New Roman" w:hAnsi="Times New Roman" w:eastAsia="宋体"/>
          <w:sz w:val="24"/>
        </w:rPr>
        <w:t>核心层（必齐）：收入、净利润、总资产、PP&amp;E</w:t>
      </w:r>
      <w:r>
        <w:rPr>
          <w:rFonts w:ascii="Times New Roman" w:hAnsi="Times New Roman" w:eastAsia="宋体"/>
          <w:sz w:val="24"/>
        </w:rPr>
        <w:t xml:space="preserve"> </w:t>
      </w:r>
      <w:r>
        <w:rPr>
          <w:rFonts w:hint="eastAsia" w:ascii="Times New Roman" w:hAnsi="Times New Roman" w:eastAsia="宋体"/>
          <w:sz w:val="24"/>
        </w:rPr>
        <w:t>原值/净值、累计折旧、折旧费、摊销费、CAPEX、经营现金流、研发费、商誉、无形资产净值等——所有样本必须提取，构成横向比较的硬约束；</w:t>
      </w:r>
    </w:p>
    <w:p w14:paraId="75A2E92B">
      <w:pPr>
        <w:pStyle w:val="3"/>
        <w:spacing w:before="40" w:after="40" w:line="360" w:lineRule="auto"/>
        <w:ind w:firstLine="480"/>
      </w:pPr>
      <w:r>
        <w:rPr>
          <w:rFonts w:hint="eastAsia" w:ascii="Times New Roman" w:hAnsi="Times New Roman" w:eastAsia="宋体"/>
          <w:sz w:val="24"/>
        </w:rPr>
        <w:t>扩展层（允许</w:t>
      </w:r>
      <w:r>
        <w:rPr>
          <w:rFonts w:ascii="Times New Roman" w:hAnsi="Times New Roman" w:eastAsia="宋体"/>
          <w:sz w:val="24"/>
        </w:rPr>
        <w:t xml:space="preserve"> </w:t>
      </w:r>
      <w:r>
        <w:rPr>
          <w:rFonts w:hint="eastAsia" w:ascii="Times New Roman" w:hAnsi="Times New Roman" w:eastAsia="宋体"/>
          <w:sz w:val="24"/>
        </w:rPr>
        <w:t>NA）：在建工程、租赁承诺、分部折旧、服务器折旧占比等——因披露口径差异，缺失时标注</w:t>
      </w:r>
      <w:r>
        <w:rPr>
          <w:rFonts w:ascii="Times New Roman" w:hAnsi="Times New Roman" w:eastAsia="宋体"/>
          <w:sz w:val="24"/>
        </w:rPr>
        <w:t xml:space="preserve"> NA </w:t>
      </w:r>
      <w:r>
        <w:rPr>
          <w:rFonts w:hint="eastAsia" w:ascii="Times New Roman" w:hAnsi="Times New Roman" w:eastAsia="宋体"/>
          <w:sz w:val="24"/>
        </w:rPr>
        <w:t>并说明原因（如</w:t>
      </w:r>
      <w:r>
        <w:rPr>
          <w:rFonts w:ascii="Times New Roman" w:hAnsi="Times New Roman" w:eastAsia="宋体"/>
          <w:sz w:val="24"/>
        </w:rPr>
        <w:t xml:space="preserve"> Oracle </w:t>
      </w:r>
      <w:r>
        <w:rPr>
          <w:rFonts w:hint="eastAsia" w:ascii="Times New Roman" w:hAnsi="Times New Roman" w:eastAsia="宋体"/>
          <w:sz w:val="24"/>
        </w:rPr>
        <w:t>的“折旧按资产类别拆分”即属未披露项），不强行统一、不估算填充；</w:t>
      </w:r>
    </w:p>
    <w:p w14:paraId="6A1D7420">
      <w:pPr>
        <w:pStyle w:val="3"/>
        <w:spacing w:before="40" w:after="40" w:line="360" w:lineRule="auto"/>
        <w:ind w:firstLine="480"/>
      </w:pPr>
      <w:r>
        <w:rPr>
          <w:rFonts w:hint="eastAsia" w:ascii="Times New Roman" w:hAnsi="Times New Roman" w:eastAsia="宋体"/>
          <w:sz w:val="24"/>
        </w:rPr>
        <w:t>派生层（计算指标）：CAPEX/收入比、折旧/收入比、折旧/CAPEX</w:t>
      </w:r>
      <w:r>
        <w:rPr>
          <w:rFonts w:ascii="Times New Roman" w:hAnsi="Times New Roman" w:eastAsia="宋体"/>
          <w:sz w:val="24"/>
        </w:rPr>
        <w:t xml:space="preserve"> </w:t>
      </w:r>
      <w:r>
        <w:rPr>
          <w:rFonts w:hint="eastAsia" w:ascii="Times New Roman" w:hAnsi="Times New Roman" w:eastAsia="宋体"/>
          <w:sz w:val="24"/>
        </w:rPr>
        <w:t>比、累计折旧/原值比、摊销/净利杠杆、YoY</w:t>
      </w:r>
      <w:r>
        <w:rPr>
          <w:rFonts w:ascii="Times New Roman" w:hAnsi="Times New Roman" w:eastAsia="宋体"/>
          <w:sz w:val="24"/>
        </w:rPr>
        <w:t xml:space="preserve"> </w:t>
      </w:r>
      <w:r>
        <w:rPr>
          <w:rFonts w:hint="eastAsia" w:ascii="Times New Roman" w:hAnsi="Times New Roman" w:eastAsia="宋体"/>
          <w:sz w:val="24"/>
        </w:rPr>
        <w:t>增长指标等，服务于评分与异常检测。</w:t>
      </w:r>
    </w:p>
    <w:p w14:paraId="33702208">
      <w:pPr>
        <w:pStyle w:val="3"/>
        <w:spacing w:before="40" w:after="40" w:line="360" w:lineRule="auto"/>
        <w:ind w:firstLine="480"/>
      </w:pPr>
      <w:r>
        <w:rPr>
          <w:rFonts w:hint="eastAsia" w:ascii="Times New Roman" w:hAnsi="Times New Roman" w:eastAsia="宋体"/>
          <w:sz w:val="24"/>
        </w:rPr>
        <w:t>特别地，本研究坚持折旧与摊销分开列示：折旧对应有形资产（服务器、设备），摊销对应无形资产（收购技术、客户关系），二者的风险传导路径不同（对比</w:t>
      </w:r>
      <w:r>
        <w:rPr>
          <w:rFonts w:ascii="Times New Roman" w:hAnsi="Times New Roman" w:eastAsia="宋体"/>
          <w:sz w:val="24"/>
        </w:rPr>
        <w:t xml:space="preserve"> AMD </w:t>
      </w:r>
      <w:r>
        <w:rPr>
          <w:rFonts w:hint="eastAsia" w:ascii="Times New Roman" w:hAnsi="Times New Roman" w:eastAsia="宋体"/>
          <w:sz w:val="24"/>
        </w:rPr>
        <w:t>案例：风险藏于</w:t>
      </w:r>
      <w:r>
        <w:rPr>
          <w:rFonts w:ascii="Times New Roman" w:hAnsi="Times New Roman" w:eastAsia="宋体"/>
          <w:sz w:val="24"/>
        </w:rPr>
        <w:t xml:space="preserve"> 16 </w:t>
      </w:r>
      <w:r>
        <w:rPr>
          <w:rFonts w:hint="eastAsia" w:ascii="Times New Roman" w:hAnsi="Times New Roman" w:eastAsia="宋体"/>
          <w:sz w:val="24"/>
        </w:rPr>
        <w:t>年无形资产摊销而非固定资产折旧），合并列示将掩盖风险通道差异。</w:t>
      </w:r>
    </w:p>
    <w:bookmarkEnd w:id="72"/>
    <w:p w14:paraId="0879F4E4">
      <w:pPr>
        <w:pStyle w:val="4"/>
        <w:spacing w:before="320" w:after="160" w:line="360" w:lineRule="auto"/>
      </w:pPr>
      <w:bookmarkStart w:id="73" w:name="_Toc13734"/>
      <w:bookmarkStart w:id="74" w:name="ai-技术应用架构"/>
      <w:r>
        <w:rPr>
          <w:rFonts w:ascii="Times New Roman" w:hAnsi="Times New Roman" w:eastAsia="黑体"/>
          <w:b/>
          <w:color w:val="003366"/>
          <w:sz w:val="28"/>
        </w:rPr>
        <w:t xml:space="preserve">3.6 AI </w:t>
      </w:r>
      <w:r>
        <w:rPr>
          <w:rFonts w:hint="eastAsia" w:ascii="Times New Roman" w:hAnsi="Times New Roman" w:eastAsia="黑体"/>
          <w:b/>
          <w:color w:val="003366"/>
          <w:sz w:val="28"/>
        </w:rPr>
        <w:t>技术应用架构</w:t>
      </w:r>
      <w:bookmarkEnd w:id="73"/>
    </w:p>
    <w:p w14:paraId="1954DE64">
      <w:pPr>
        <w:pStyle w:val="25"/>
        <w:spacing w:before="40" w:after="40" w:line="360" w:lineRule="auto"/>
        <w:ind w:firstLine="480"/>
      </w:pPr>
      <w:r>
        <w:rPr>
          <w:rFonts w:hint="eastAsia" w:ascii="Times New Roman" w:hAnsi="Times New Roman" w:eastAsia="宋体"/>
          <w:sz w:val="24"/>
        </w:rPr>
        <w:t>本研究构建“AI</w:t>
      </w:r>
      <w:r>
        <w:rPr>
          <w:rFonts w:ascii="Times New Roman" w:hAnsi="Times New Roman" w:eastAsia="宋体"/>
          <w:sz w:val="24"/>
        </w:rPr>
        <w:t xml:space="preserve"> </w:t>
      </w:r>
      <w:r>
        <w:rPr>
          <w:rFonts w:hint="eastAsia" w:ascii="Times New Roman" w:hAnsi="Times New Roman" w:eastAsia="宋体"/>
          <w:sz w:val="24"/>
        </w:rPr>
        <w:t>提取—AI</w:t>
      </w:r>
      <w:r>
        <w:rPr>
          <w:rFonts w:ascii="Times New Roman" w:hAnsi="Times New Roman" w:eastAsia="宋体"/>
          <w:sz w:val="24"/>
        </w:rPr>
        <w:t xml:space="preserve"> </w:t>
      </w:r>
      <w:r>
        <w:rPr>
          <w:rFonts w:hint="eastAsia" w:ascii="Times New Roman" w:hAnsi="Times New Roman" w:eastAsia="宋体"/>
          <w:sz w:val="24"/>
        </w:rPr>
        <w:t>辅助—AI</w:t>
      </w:r>
      <w:r>
        <w:rPr>
          <w:rFonts w:ascii="Times New Roman" w:hAnsi="Times New Roman" w:eastAsia="宋体"/>
          <w:sz w:val="24"/>
        </w:rPr>
        <w:t xml:space="preserve"> </w:t>
      </w:r>
      <w:r>
        <w:rPr>
          <w:rFonts w:hint="eastAsia" w:ascii="Times New Roman" w:hAnsi="Times New Roman" w:eastAsia="宋体"/>
          <w:sz w:val="24"/>
        </w:rPr>
        <w:t>验证—AI</w:t>
      </w:r>
      <w:r>
        <w:rPr>
          <w:rFonts w:ascii="Times New Roman" w:hAnsi="Times New Roman" w:eastAsia="宋体"/>
          <w:sz w:val="24"/>
        </w:rPr>
        <w:t xml:space="preserve"> </w:t>
      </w:r>
      <w:r>
        <w:rPr>
          <w:rFonts w:hint="eastAsia" w:ascii="Times New Roman" w:hAnsi="Times New Roman" w:eastAsia="宋体"/>
          <w:sz w:val="24"/>
        </w:rPr>
        <w:t>呈现”的四层应用架构，形成从文本到资产化数据的完整</w:t>
      </w:r>
      <w:r>
        <w:rPr>
          <w:rFonts w:ascii="Times New Roman" w:hAnsi="Times New Roman" w:eastAsia="宋体"/>
          <w:sz w:val="24"/>
        </w:rPr>
        <w:t xml:space="preserve"> AI </w:t>
      </w:r>
      <w:r>
        <w:rPr>
          <w:rFonts w:hint="eastAsia" w:ascii="Times New Roman" w:hAnsi="Times New Roman" w:eastAsia="宋体"/>
          <w:sz w:val="24"/>
        </w:rPr>
        <w:t>工作流：</w:t>
      </w:r>
    </w:p>
    <w:p w14:paraId="1A4628A6">
      <w:pPr>
        <w:numPr>
          <w:ilvl w:val="0"/>
          <w:numId w:val="4"/>
        </w:numPr>
        <w:spacing w:before="40" w:after="40" w:line="360" w:lineRule="auto"/>
        <w:ind w:firstLine="480"/>
      </w:pPr>
      <w:r>
        <w:rPr>
          <w:rFonts w:ascii="Times New Roman" w:hAnsi="Times New Roman" w:eastAsia="宋体"/>
          <w:sz w:val="24"/>
        </w:rPr>
        <w:t xml:space="preserve">NLP </w:t>
      </w:r>
      <w:r>
        <w:rPr>
          <w:rFonts w:hint="eastAsia" w:ascii="Times New Roman" w:hAnsi="Times New Roman" w:eastAsia="宋体"/>
          <w:sz w:val="24"/>
        </w:rPr>
        <w:t>文本挖掘层（弱监督信号生成）：关键词矩阵正则检索</w:t>
      </w:r>
      <w:r>
        <w:rPr>
          <w:rFonts w:ascii="Times New Roman" w:hAnsi="Times New Roman" w:eastAsia="宋体"/>
          <w:sz w:val="24"/>
        </w:rPr>
        <w:t xml:space="preserve"> + HTML </w:t>
      </w:r>
      <w:r>
        <w:rPr>
          <w:rFonts w:hint="eastAsia" w:ascii="Times New Roman" w:hAnsi="Times New Roman" w:eastAsia="宋体"/>
          <w:sz w:val="24"/>
        </w:rPr>
        <w:t>解析与</w:t>
      </w:r>
      <w:r>
        <w:rPr>
          <w:rFonts w:ascii="Times New Roman" w:hAnsi="Times New Roman" w:eastAsia="宋体"/>
          <w:sz w:val="24"/>
        </w:rPr>
        <w:t xml:space="preserve"> XBRL </w:t>
      </w:r>
      <w:r>
        <w:rPr>
          <w:rFonts w:hint="eastAsia" w:ascii="Times New Roman" w:hAnsi="Times New Roman" w:eastAsia="宋体"/>
          <w:sz w:val="24"/>
        </w:rPr>
        <w:t>标签剥离，实现十万字级年报的秒级定位。该层在架构中的真正角色并非“简单检索”，而是弱监督标注管线（weak-supervision</w:t>
      </w:r>
      <w:r>
        <w:rPr>
          <w:rFonts w:ascii="Times New Roman" w:hAnsi="Times New Roman" w:eastAsia="宋体"/>
          <w:sz w:val="24"/>
        </w:rPr>
        <w:t xml:space="preserve"> labeling </w:t>
      </w:r>
      <w:r>
        <w:rPr>
          <w:rFonts w:hint="eastAsia" w:ascii="Times New Roman" w:hAnsi="Times New Roman" w:eastAsia="宋体"/>
          <w:sz w:val="24"/>
        </w:rPr>
        <w:t>pipeline）：关键词矩阵按信号强度分级（最强/强/中）充当自动标注器（labeling</w:t>
      </w:r>
      <w:r>
        <w:rPr>
          <w:rFonts w:ascii="Times New Roman" w:hAnsi="Times New Roman" w:eastAsia="宋体"/>
          <w:sz w:val="24"/>
        </w:rPr>
        <w:t xml:space="preserve"> </w:t>
      </w:r>
      <w:r>
        <w:rPr>
          <w:rFonts w:hint="eastAsia" w:ascii="Times New Roman" w:hAnsi="Times New Roman" w:eastAsia="宋体"/>
          <w:sz w:val="24"/>
        </w:rPr>
        <w:t>function），为下游模型化路径批量生成带证据的候选标签——这是</w:t>
      </w:r>
      <w:r>
        <w:rPr>
          <w:rFonts w:ascii="Times New Roman" w:hAnsi="Times New Roman" w:eastAsia="宋体"/>
          <w:sz w:val="24"/>
        </w:rPr>
        <w:t xml:space="preserve"> Snorkel </w:t>
      </w:r>
      <w:r>
        <w:rPr>
          <w:rFonts w:hint="eastAsia" w:ascii="Times New Roman" w:hAnsi="Times New Roman" w:eastAsia="宋体"/>
          <w:sz w:val="24"/>
        </w:rPr>
        <w:t>式弱监督范式在财报风险场景的实现。</w:t>
      </w:r>
    </w:p>
    <w:p w14:paraId="3F2CD6ED">
      <w:pPr>
        <w:numPr>
          <w:ilvl w:val="0"/>
          <w:numId w:val="4"/>
        </w:numPr>
        <w:spacing w:before="40" w:after="40" w:line="360" w:lineRule="auto"/>
        <w:ind w:firstLine="480"/>
      </w:pPr>
      <w:r>
        <w:rPr>
          <w:rFonts w:hint="eastAsia" w:ascii="Times New Roman" w:hAnsi="Times New Roman" w:eastAsia="宋体"/>
          <w:sz w:val="24"/>
        </w:rPr>
        <w:t>大模型辅助标注</w:t>
      </w:r>
      <w:r>
        <w:rPr>
          <w:rFonts w:ascii="Times New Roman" w:hAnsi="Times New Roman" w:eastAsia="宋体"/>
          <w:sz w:val="24"/>
        </w:rPr>
        <w:t xml:space="preserve"> + </w:t>
      </w:r>
      <w:r>
        <w:rPr>
          <w:rFonts w:hint="eastAsia" w:ascii="Times New Roman" w:hAnsi="Times New Roman" w:eastAsia="宋体"/>
          <w:sz w:val="24"/>
        </w:rPr>
        <w:t>人工复核闭环：利用大语言模型完成候选段落初筛、证据链草拟与评分建议，项目负责人逐条复核原文（逐字一致性、正文位置、推断逻辑、锚点符合度四项检查），复核通过后标注状态方由</w:t>
      </w:r>
      <w:r>
        <w:rPr>
          <w:rFonts w:ascii="Times New Roman" w:hAnsi="Times New Roman" w:eastAsia="宋体"/>
          <w:sz w:val="24"/>
        </w:rPr>
        <w:t xml:space="preserve"> draft_pending_review </w:t>
      </w:r>
      <w:r>
        <w:rPr>
          <w:rFonts w:hint="eastAsia" w:ascii="Times New Roman" w:hAnsi="Times New Roman" w:eastAsia="宋体"/>
          <w:sz w:val="24"/>
        </w:rPr>
        <w:t>转为</w:t>
      </w:r>
      <w:r>
        <w:rPr>
          <w:rFonts w:ascii="Times New Roman" w:hAnsi="Times New Roman" w:eastAsia="宋体"/>
          <w:sz w:val="24"/>
        </w:rPr>
        <w:t xml:space="preserve"> </w:t>
      </w:r>
      <w:r>
        <w:rPr>
          <w:rFonts w:hint="eastAsia" w:ascii="Times New Roman" w:hAnsi="Times New Roman" w:eastAsia="宋体"/>
          <w:sz w:val="24"/>
        </w:rPr>
        <w:t>confirmed。全部</w:t>
      </w:r>
      <w:r>
        <w:rPr>
          <w:rFonts w:ascii="Times New Roman" w:hAnsi="Times New Roman" w:eastAsia="宋体"/>
          <w:sz w:val="24"/>
        </w:rPr>
        <w:t xml:space="preserve"> 30 </w:t>
      </w:r>
      <w:r>
        <w:rPr>
          <w:rFonts w:hint="eastAsia" w:ascii="Times New Roman" w:hAnsi="Times New Roman" w:eastAsia="宋体"/>
          <w:sz w:val="24"/>
        </w:rPr>
        <w:t>份标注均已完成该闭环并处于</w:t>
      </w:r>
      <w:r>
        <w:rPr>
          <w:rFonts w:ascii="Times New Roman" w:hAnsi="Times New Roman" w:eastAsia="宋体"/>
          <w:sz w:val="24"/>
        </w:rPr>
        <w:t xml:space="preserve"> confirmed </w:t>
      </w:r>
      <w:r>
        <w:rPr>
          <w:rFonts w:hint="eastAsia" w:ascii="Times New Roman" w:hAnsi="Times New Roman" w:eastAsia="宋体"/>
          <w:sz w:val="24"/>
        </w:rPr>
        <w:t>状态。AI</w:t>
      </w:r>
      <w:r>
        <w:rPr>
          <w:rFonts w:ascii="Times New Roman" w:hAnsi="Times New Roman" w:eastAsia="宋体"/>
          <w:sz w:val="24"/>
        </w:rPr>
        <w:t xml:space="preserve"> </w:t>
      </w:r>
      <w:r>
        <w:rPr>
          <w:rFonts w:hint="eastAsia" w:ascii="Times New Roman" w:hAnsi="Times New Roman" w:eastAsia="宋体"/>
          <w:sz w:val="24"/>
        </w:rPr>
        <w:t>负责效率，人负责判断——这一人机协作协议本身就是对“AI</w:t>
      </w:r>
      <w:r>
        <w:rPr>
          <w:rFonts w:ascii="Times New Roman" w:hAnsi="Times New Roman" w:eastAsia="宋体"/>
          <w:sz w:val="24"/>
        </w:rPr>
        <w:t xml:space="preserve"> </w:t>
      </w:r>
      <w:r>
        <w:rPr>
          <w:rFonts w:hint="eastAsia" w:ascii="Times New Roman" w:hAnsi="Times New Roman" w:eastAsia="宋体"/>
          <w:sz w:val="24"/>
        </w:rPr>
        <w:t>双重属性”（赛题导语语）的实践回应。</w:t>
      </w:r>
    </w:p>
    <w:p w14:paraId="7856D566">
      <w:pPr>
        <w:numPr>
          <w:ilvl w:val="0"/>
          <w:numId w:val="4"/>
        </w:numPr>
        <w:spacing w:before="40" w:after="40" w:line="360" w:lineRule="auto"/>
        <w:ind w:firstLine="480"/>
      </w:pPr>
      <w:r>
        <w:rPr>
          <w:rFonts w:ascii="Times New Roman" w:hAnsi="Times New Roman" w:eastAsia="宋体"/>
          <w:sz w:val="24"/>
        </w:rPr>
        <w:t xml:space="preserve">AI </w:t>
      </w:r>
      <w:r>
        <w:rPr>
          <w:rFonts w:hint="eastAsia" w:ascii="Times New Roman" w:hAnsi="Times New Roman" w:eastAsia="宋体"/>
          <w:sz w:val="24"/>
        </w:rPr>
        <w:t>验证层（SHAP</w:t>
      </w:r>
      <w:r>
        <w:rPr>
          <w:rFonts w:ascii="Times New Roman" w:hAnsi="Times New Roman" w:eastAsia="宋体"/>
          <w:sz w:val="24"/>
        </w:rPr>
        <w:t xml:space="preserve"> </w:t>
      </w:r>
      <w:r>
        <w:rPr>
          <w:rFonts w:hint="eastAsia" w:ascii="Times New Roman" w:hAnsi="Times New Roman" w:eastAsia="宋体"/>
          <w:sz w:val="24"/>
        </w:rPr>
        <w:t>可解释性分析）：SHAP</w:t>
      </w:r>
      <w:r>
        <w:rPr>
          <w:rFonts w:ascii="Times New Roman" w:hAnsi="Times New Roman" w:eastAsia="宋体"/>
          <w:sz w:val="24"/>
        </w:rPr>
        <w:t xml:space="preserve"> </w:t>
      </w:r>
      <w:r>
        <w:rPr>
          <w:rFonts w:hint="eastAsia" w:ascii="Times New Roman" w:hAnsi="Times New Roman" w:eastAsia="宋体"/>
          <w:sz w:val="24"/>
        </w:rPr>
        <w:t>分析显示模型学到的特征重要性方向与人工评分依据一致，为指标与人工评分之间存在可学习结构提供了方向一致性验证；但鉴于样本量限制，这一复现不能排除规模变量与标签之间的共享信息（详见附录</w:t>
      </w:r>
      <w:r>
        <w:rPr>
          <w:rFonts w:ascii="Times New Roman" w:hAnsi="Times New Roman" w:eastAsia="宋体"/>
          <w:sz w:val="24"/>
        </w:rPr>
        <w:t xml:space="preserve"> </w:t>
      </w:r>
      <w:r>
        <w:rPr>
          <w:rFonts w:hint="eastAsia" w:ascii="Times New Roman" w:hAnsi="Times New Roman" w:eastAsia="宋体"/>
          <w:sz w:val="24"/>
        </w:rPr>
        <w:t>F），故定位为方向验证而非能力声明。</w:t>
      </w:r>
    </w:p>
    <w:p w14:paraId="561E6349">
      <w:pPr>
        <w:numPr>
          <w:ilvl w:val="0"/>
          <w:numId w:val="4"/>
        </w:numPr>
        <w:spacing w:before="40" w:after="40" w:line="360" w:lineRule="auto"/>
        <w:ind w:firstLine="480"/>
      </w:pPr>
      <w:r>
        <w:rPr>
          <w:rFonts w:hint="eastAsia" w:ascii="Times New Roman" w:hAnsi="Times New Roman" w:eastAsia="宋体"/>
          <w:sz w:val="24"/>
        </w:rPr>
        <w:t>智能识别系统层：基于</w:t>
      </w:r>
      <w:r>
        <w:rPr>
          <w:rFonts w:ascii="Times New Roman" w:hAnsi="Times New Roman" w:eastAsia="宋体"/>
          <w:sz w:val="24"/>
        </w:rPr>
        <w:t xml:space="preserve"> Streamlit </w:t>
      </w:r>
      <w:r>
        <w:rPr>
          <w:rFonts w:hint="eastAsia" w:ascii="Times New Roman" w:hAnsi="Times New Roman" w:eastAsia="宋体"/>
          <w:sz w:val="24"/>
        </w:rPr>
        <w:t>构建可交互的折旧风险识别系统（详见附录</w:t>
      </w:r>
      <w:r>
        <w:rPr>
          <w:rFonts w:ascii="Times New Roman" w:hAnsi="Times New Roman" w:eastAsia="宋体"/>
          <w:sz w:val="24"/>
        </w:rPr>
        <w:t xml:space="preserve"> </w:t>
      </w:r>
      <w:r>
        <w:rPr>
          <w:rFonts w:hint="eastAsia" w:ascii="Times New Roman" w:hAnsi="Times New Roman" w:eastAsia="宋体"/>
          <w:sz w:val="24"/>
        </w:rPr>
        <w:t>D），实现公司选择、评分展示、五维雷达图、风险信号展示的端到端演示；并已将第</w:t>
      </w:r>
      <w:r>
        <w:rPr>
          <w:rFonts w:ascii="Times New Roman" w:hAnsi="Times New Roman" w:eastAsia="宋体"/>
          <w:sz w:val="24"/>
        </w:rPr>
        <w:t xml:space="preserve"> 3 </w:t>
      </w:r>
      <w:r>
        <w:rPr>
          <w:rFonts w:hint="eastAsia" w:ascii="Times New Roman" w:hAnsi="Times New Roman" w:eastAsia="宋体"/>
          <w:sz w:val="24"/>
        </w:rPr>
        <w:t>层的验证模型工程化为实时评分功能——看板</w:t>
      </w:r>
      <w:r>
        <w:rPr>
          <w:rFonts w:ascii="Times New Roman" w:hAnsi="Times New Roman" w:eastAsia="宋体"/>
          <w:sz w:val="24"/>
        </w:rPr>
        <w:t xml:space="preserve"> P6 </w:t>
      </w:r>
      <w:r>
        <w:rPr>
          <w:rFonts w:hint="eastAsia" w:ascii="Times New Roman" w:hAnsi="Times New Roman" w:eastAsia="宋体"/>
          <w:sz w:val="24"/>
        </w:rPr>
        <w:t>页面与</w:t>
      </w:r>
      <w:r>
        <w:rPr>
          <w:rFonts w:ascii="Times New Roman" w:hAnsi="Times New Roman" w:eastAsia="宋体"/>
          <w:sz w:val="24"/>
        </w:rPr>
        <w:t xml:space="preserve"> FastAPI </w:t>
      </w:r>
      <w:r>
        <w:rPr>
          <w:rFonts w:hint="eastAsia" w:ascii="Times New Roman" w:hAnsi="Times New Roman" w:eastAsia="宋体"/>
          <w:sz w:val="24"/>
        </w:rPr>
        <w:t>接口（POST</w:t>
      </w:r>
      <w:r>
        <w:rPr>
          <w:rFonts w:ascii="Times New Roman" w:hAnsi="Times New Roman" w:eastAsia="宋体"/>
          <w:sz w:val="24"/>
        </w:rPr>
        <w:t xml:space="preserve"> /predict/POST </w:t>
      </w:r>
      <w:r>
        <w:rPr>
          <w:rFonts w:hint="eastAsia" w:ascii="Times New Roman" w:hAnsi="Times New Roman" w:eastAsia="宋体"/>
          <w:sz w:val="24"/>
        </w:rPr>
        <w:t>/batch_predict）同源调用评分引擎，输入指标即可实时获得评分、风险等级与</w:t>
      </w:r>
      <w:r>
        <w:rPr>
          <w:rFonts w:ascii="Times New Roman" w:hAnsi="Times New Roman" w:eastAsia="宋体"/>
          <w:sz w:val="24"/>
        </w:rPr>
        <w:t xml:space="preserve"> SHAP </w:t>
      </w:r>
      <w:r>
        <w:rPr>
          <w:rFonts w:hint="eastAsia" w:ascii="Times New Roman" w:hAnsi="Times New Roman" w:eastAsia="宋体"/>
          <w:sz w:val="24"/>
        </w:rPr>
        <w:t>驱动因素解释，缺失指标由模型自动处理。代码开源（附录</w:t>
      </w:r>
      <w:r>
        <w:rPr>
          <w:rFonts w:ascii="Times New Roman" w:hAnsi="Times New Roman" w:eastAsia="宋体"/>
          <w:sz w:val="24"/>
        </w:rPr>
        <w:t xml:space="preserve"> </w:t>
      </w:r>
      <w:r>
        <w:rPr>
          <w:rFonts w:hint="eastAsia" w:ascii="Times New Roman" w:hAnsi="Times New Roman" w:eastAsia="宋体"/>
          <w:sz w:val="24"/>
        </w:rPr>
        <w:t>D），满足“代码、程序等需要自行验证，确保真实可靠、可验证”的竞赛要求。</w:t>
      </w:r>
    </w:p>
    <w:p w14:paraId="334675D6">
      <w:pPr>
        <w:pStyle w:val="25"/>
        <w:spacing w:before="40" w:after="40" w:line="360" w:lineRule="auto"/>
        <w:ind w:firstLine="480"/>
      </w:pPr>
      <w:r>
        <w:rPr>
          <w:rFonts w:hint="eastAsia" w:ascii="Times New Roman" w:hAnsi="Times New Roman" w:eastAsia="宋体"/>
          <w:sz w:val="24"/>
        </w:rPr>
        <w:t>方法选择说明：本研究已接入</w:t>
      </w:r>
      <w:r>
        <w:rPr>
          <w:rFonts w:ascii="Times New Roman" w:hAnsi="Times New Roman" w:eastAsia="宋体"/>
          <w:sz w:val="24"/>
        </w:rPr>
        <w:t xml:space="preserve"> DeepSeek </w:t>
      </w:r>
      <w:r>
        <w:rPr>
          <w:rFonts w:hint="eastAsia" w:ascii="Times New Roman" w:hAnsi="Times New Roman" w:eastAsia="宋体"/>
          <w:sz w:val="24"/>
        </w:rPr>
        <w:t>大模型，实现美股</w:t>
      </w:r>
      <w:r>
        <w:rPr>
          <w:rFonts w:ascii="Times New Roman" w:hAnsi="Times New Roman" w:eastAsia="宋体"/>
          <w:sz w:val="24"/>
        </w:rPr>
        <w:t xml:space="preserve"> 10-K </w:t>
      </w:r>
      <w:r>
        <w:rPr>
          <w:rFonts w:hint="eastAsia" w:ascii="Times New Roman" w:hAnsi="Times New Roman" w:eastAsia="宋体"/>
          <w:sz w:val="24"/>
        </w:rPr>
        <w:t>年报“全自动下载</w:t>
      </w:r>
      <w:r>
        <w:rPr>
          <w:rFonts w:ascii="Times New Roman" w:hAnsi="Times New Roman" w:eastAsia="宋体"/>
          <w:sz w:val="24"/>
        </w:rPr>
        <w:t xml:space="preserve"> → </w:t>
      </w:r>
      <w:r>
        <w:rPr>
          <w:rFonts w:hint="eastAsia" w:ascii="Times New Roman" w:hAnsi="Times New Roman" w:eastAsia="宋体"/>
          <w:sz w:val="24"/>
        </w:rPr>
        <w:t>信号识别</w:t>
      </w:r>
      <w:r>
        <w:rPr>
          <w:rFonts w:ascii="Times New Roman" w:hAnsi="Times New Roman" w:eastAsia="宋体"/>
          <w:sz w:val="24"/>
        </w:rPr>
        <w:t xml:space="preserve"> → </w:t>
      </w:r>
      <w:r>
        <w:rPr>
          <w:rFonts w:hint="eastAsia" w:ascii="Times New Roman" w:hAnsi="Times New Roman" w:eastAsia="宋体"/>
          <w:sz w:val="24"/>
        </w:rPr>
        <w:t>证据链标注</w:t>
      </w:r>
      <w:r>
        <w:rPr>
          <w:rFonts w:ascii="Times New Roman" w:hAnsi="Times New Roman" w:eastAsia="宋体"/>
          <w:sz w:val="24"/>
        </w:rPr>
        <w:t xml:space="preserve"> → </w:t>
      </w:r>
      <w:r>
        <w:rPr>
          <w:rFonts w:hint="eastAsia" w:ascii="Times New Roman" w:hAnsi="Times New Roman" w:eastAsia="宋体"/>
          <w:sz w:val="24"/>
        </w:rPr>
        <w:t>五维评分”的完整自动流水线（系统</w:t>
      </w:r>
      <w:r>
        <w:rPr>
          <w:rFonts w:ascii="Times New Roman" w:hAnsi="Times New Roman" w:eastAsia="宋体"/>
          <w:sz w:val="24"/>
        </w:rPr>
        <w:t xml:space="preserve"> P7 </w:t>
      </w:r>
      <w:r>
        <w:rPr>
          <w:rFonts w:hint="eastAsia" w:ascii="Times New Roman" w:hAnsi="Times New Roman" w:eastAsia="宋体"/>
          <w:sz w:val="24"/>
        </w:rPr>
        <w:t>页面可现场演示，见</w:t>
      </w:r>
      <w:r>
        <w:rPr>
          <w:rFonts w:ascii="Times New Roman" w:hAnsi="Times New Roman" w:eastAsia="宋体"/>
          <w:sz w:val="24"/>
        </w:rPr>
        <w:t xml:space="preserve"> 5.2 </w:t>
      </w:r>
      <w:r>
        <w:rPr>
          <w:rFonts w:hint="eastAsia" w:ascii="Times New Roman" w:hAnsi="Times New Roman" w:eastAsia="宋体"/>
          <w:sz w:val="24"/>
        </w:rPr>
        <w:t>节与附录</w:t>
      </w:r>
      <w:r>
        <w:rPr>
          <w:rFonts w:ascii="Times New Roman" w:hAnsi="Times New Roman" w:eastAsia="宋体"/>
          <w:sz w:val="24"/>
        </w:rPr>
        <w:t xml:space="preserve"> </w:t>
      </w:r>
      <w:r>
        <w:rPr>
          <w:rFonts w:hint="eastAsia" w:ascii="Times New Roman" w:hAnsi="Times New Roman" w:eastAsia="宋体"/>
          <w:sz w:val="24"/>
        </w:rPr>
        <w:t>D）。在此能力之上，最终入库的</w:t>
      </w:r>
      <w:r>
        <w:rPr>
          <w:rFonts w:ascii="Times New Roman" w:hAnsi="Times New Roman" w:eastAsia="宋体"/>
          <w:sz w:val="24"/>
        </w:rPr>
        <w:t xml:space="preserve"> 30 </w:t>
      </w:r>
      <w:r>
        <w:rPr>
          <w:rFonts w:hint="eastAsia" w:ascii="Times New Roman" w:hAnsi="Times New Roman" w:eastAsia="宋体"/>
          <w:sz w:val="24"/>
        </w:rPr>
        <w:t>份标注仍采用“规则检索</w:t>
      </w:r>
      <w:r>
        <w:rPr>
          <w:rFonts w:ascii="Times New Roman" w:hAnsi="Times New Roman" w:eastAsia="宋体"/>
          <w:sz w:val="24"/>
        </w:rPr>
        <w:t xml:space="preserve"> + </w:t>
      </w:r>
      <w:r>
        <w:rPr>
          <w:rFonts w:hint="eastAsia" w:ascii="Times New Roman" w:hAnsi="Times New Roman" w:eastAsia="宋体"/>
          <w:sz w:val="24"/>
        </w:rPr>
        <w:t>弱监督标注</w:t>
      </w:r>
      <w:r>
        <w:rPr>
          <w:rFonts w:ascii="Times New Roman" w:hAnsi="Times New Roman" w:eastAsia="宋体"/>
          <w:sz w:val="24"/>
        </w:rPr>
        <w:t xml:space="preserve"> + </w:t>
      </w:r>
      <w:r>
        <w:rPr>
          <w:rFonts w:hint="eastAsia" w:ascii="Times New Roman" w:hAnsi="Times New Roman" w:eastAsia="宋体"/>
          <w:sz w:val="24"/>
        </w:rPr>
        <w:t>大模型初筛</w:t>
      </w:r>
      <w:r>
        <w:rPr>
          <w:rFonts w:ascii="Times New Roman" w:hAnsi="Times New Roman" w:eastAsia="宋体"/>
          <w:sz w:val="24"/>
        </w:rPr>
        <w:t xml:space="preserve"> + </w:t>
      </w:r>
      <w:r>
        <w:rPr>
          <w:rFonts w:hint="eastAsia" w:ascii="Times New Roman" w:hAnsi="Times New Roman" w:eastAsia="宋体"/>
          <w:sz w:val="24"/>
        </w:rPr>
        <w:t>人工复核”的混合架构，而非由</w:t>
      </w:r>
      <w:r>
        <w:rPr>
          <w:rFonts w:ascii="Times New Roman" w:hAnsi="Times New Roman" w:eastAsia="宋体"/>
          <w:sz w:val="24"/>
        </w:rPr>
        <w:t xml:space="preserve"> LLM </w:t>
      </w:r>
      <w:r>
        <w:rPr>
          <w:rFonts w:hint="eastAsia" w:ascii="Times New Roman" w:hAnsi="Times New Roman" w:eastAsia="宋体"/>
          <w:sz w:val="24"/>
        </w:rPr>
        <w:t>直接生成评分直接入库，核心原因在于会计估计变更的识别需要行号级精确溯源。LLM</w:t>
      </w:r>
      <w:r>
        <w:rPr>
          <w:rFonts w:ascii="Times New Roman" w:hAnsi="Times New Roman" w:eastAsia="宋体"/>
          <w:sz w:val="24"/>
        </w:rPr>
        <w:t xml:space="preserve"> </w:t>
      </w:r>
      <w:r>
        <w:rPr>
          <w:rFonts w:hint="eastAsia" w:ascii="Times New Roman" w:hAnsi="Times New Roman" w:eastAsia="宋体"/>
          <w:sz w:val="24"/>
        </w:rPr>
        <w:t>在财务文本上的幻觉率（hallucination</w:t>
      </w:r>
      <w:r>
        <w:rPr>
          <w:rFonts w:ascii="Times New Roman" w:hAnsi="Times New Roman" w:eastAsia="宋体"/>
          <w:sz w:val="24"/>
        </w:rPr>
        <w:t xml:space="preserve"> </w:t>
      </w:r>
      <w:r>
        <w:rPr>
          <w:rFonts w:hint="eastAsia" w:ascii="Times New Roman" w:hAnsi="Times New Roman" w:eastAsia="宋体"/>
          <w:sz w:val="24"/>
        </w:rPr>
        <w:t>rate）仍处于较高水平——试验表明，GPT-4</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10-K </w:t>
      </w:r>
      <w:r>
        <w:rPr>
          <w:rFonts w:hint="eastAsia" w:ascii="Times New Roman" w:hAnsi="Times New Roman" w:eastAsia="宋体"/>
          <w:sz w:val="24"/>
        </w:rPr>
        <w:t>中定位</w:t>
      </w:r>
      <w:r>
        <w:rPr>
          <w:rFonts w:ascii="Times New Roman" w:hAnsi="Times New Roman" w:eastAsia="宋体"/>
          <w:sz w:val="24"/>
        </w:rPr>
        <w:t xml:space="preserve"> useful life </w:t>
      </w:r>
      <w:r>
        <w:rPr>
          <w:rFonts w:hint="eastAsia" w:ascii="Times New Roman" w:hAnsi="Times New Roman" w:eastAsia="宋体"/>
          <w:sz w:val="24"/>
        </w:rPr>
        <w:t>变更段落的召回率约为</w:t>
      </w:r>
      <w:r>
        <w:rPr>
          <w:rFonts w:ascii="Times New Roman" w:hAnsi="Times New Roman" w:eastAsia="宋体"/>
          <w:sz w:val="24"/>
        </w:rPr>
        <w:t xml:space="preserve"> </w:t>
      </w:r>
      <w:r>
        <w:rPr>
          <w:rFonts w:hint="eastAsia" w:ascii="Times New Roman" w:hAnsi="Times New Roman" w:eastAsia="宋体"/>
          <w:sz w:val="24"/>
        </w:rPr>
        <w:t>78%，但将变更金额、生效日期、资产类别与原文行号一一对应的准确率仅约</w:t>
      </w:r>
      <w:r>
        <w:rPr>
          <w:rFonts w:ascii="Times New Roman" w:hAnsi="Times New Roman" w:eastAsia="宋体"/>
          <w:sz w:val="24"/>
        </w:rPr>
        <w:t xml:space="preserve"> </w:t>
      </w:r>
      <w:r>
        <w:rPr>
          <w:rFonts w:hint="eastAsia" w:ascii="Times New Roman" w:hAnsi="Times New Roman" w:eastAsia="宋体"/>
          <w:sz w:val="24"/>
        </w:rPr>
        <w:t>52%，难以达到审计级精度要求。因此本研究将</w:t>
      </w:r>
      <w:r>
        <w:rPr>
          <w:rFonts w:ascii="Times New Roman" w:hAnsi="Times New Roman" w:eastAsia="宋体"/>
          <w:sz w:val="24"/>
        </w:rPr>
        <w:t xml:space="preserve"> DeepSeek </w:t>
      </w:r>
      <w:r>
        <w:rPr>
          <w:rFonts w:hint="eastAsia" w:ascii="Times New Roman" w:hAnsi="Times New Roman" w:eastAsia="宋体"/>
          <w:sz w:val="24"/>
        </w:rPr>
        <w:t>自动流水线的产出定位为“高质量草稿”，人工复核作为质量门（quality</w:t>
      </w:r>
      <w:r>
        <w:rPr>
          <w:rFonts w:ascii="Times New Roman" w:hAnsi="Times New Roman" w:eastAsia="宋体"/>
          <w:sz w:val="24"/>
        </w:rPr>
        <w:t xml:space="preserve"> </w:t>
      </w:r>
      <w:r>
        <w:rPr>
          <w:rFonts w:hint="eastAsia" w:ascii="Times New Roman" w:hAnsi="Times New Roman" w:eastAsia="宋体"/>
          <w:sz w:val="24"/>
        </w:rPr>
        <w:t>gate）：复核通过率、退回修改原因均留痕于标注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review_status </w:t>
      </w:r>
      <w:r>
        <w:rPr>
          <w:rFonts w:hint="eastAsia" w:ascii="Times New Roman" w:hAnsi="Times New Roman" w:eastAsia="宋体"/>
          <w:sz w:val="24"/>
        </w:rPr>
        <w:t>字段，全部</w:t>
      </w:r>
      <w:r>
        <w:rPr>
          <w:rFonts w:ascii="Times New Roman" w:hAnsi="Times New Roman" w:eastAsia="宋体"/>
          <w:sz w:val="24"/>
        </w:rPr>
        <w:t xml:space="preserve"> 30 </w:t>
      </w:r>
      <w:r>
        <w:rPr>
          <w:rFonts w:hint="eastAsia" w:ascii="Times New Roman" w:hAnsi="Times New Roman" w:eastAsia="宋体"/>
          <w:sz w:val="24"/>
        </w:rPr>
        <w:t>份标注经复核后方转为</w:t>
      </w:r>
      <w:r>
        <w:rPr>
          <w:rFonts w:ascii="Times New Roman" w:hAnsi="Times New Roman" w:eastAsia="宋体"/>
          <w:sz w:val="24"/>
        </w:rPr>
        <w:t xml:space="preserve"> </w:t>
      </w:r>
      <w:r>
        <w:rPr>
          <w:rFonts w:hint="eastAsia" w:ascii="Times New Roman" w:hAnsi="Times New Roman" w:eastAsia="宋体"/>
          <w:sz w:val="24"/>
        </w:rPr>
        <w:t>confirmed。规则矩阵</w:t>
      </w:r>
      <w:r>
        <w:rPr>
          <w:rFonts w:ascii="Times New Roman" w:hAnsi="Times New Roman" w:eastAsia="宋体"/>
          <w:sz w:val="24"/>
        </w:rPr>
        <w:t xml:space="preserve"> + </w:t>
      </w:r>
      <w:r>
        <w:rPr>
          <w:rFonts w:hint="eastAsia" w:ascii="Times New Roman" w:hAnsi="Times New Roman" w:eastAsia="宋体"/>
          <w:sz w:val="24"/>
        </w:rPr>
        <w:t>人工复核的组合召回率</w:t>
      </w:r>
      <w:r>
        <w:rPr>
          <w:rFonts w:ascii="Times New Roman" w:hAnsi="Times New Roman" w:eastAsia="宋体"/>
          <w:sz w:val="24"/>
        </w:rPr>
        <w:t xml:space="preserve"> </w:t>
      </w:r>
      <w:r>
        <w:rPr>
          <w:rFonts w:hint="eastAsia" w:ascii="Times New Roman" w:hAnsi="Times New Roman" w:eastAsia="宋体"/>
          <w:sz w:val="24"/>
        </w:rPr>
        <w:t>&gt;95%、准确率</w:t>
      </w:r>
      <w:r>
        <w:rPr>
          <w:rFonts w:ascii="Times New Roman" w:hAnsi="Times New Roman" w:eastAsia="宋体"/>
          <w:sz w:val="24"/>
        </w:rPr>
        <w:t xml:space="preserve"> </w:t>
      </w:r>
      <w:r>
        <w:rPr>
          <w:rFonts w:hint="eastAsia" w:ascii="Times New Roman" w:hAnsi="Times New Roman" w:eastAsia="宋体"/>
          <w:sz w:val="24"/>
        </w:rPr>
        <w:t>&gt;98%，且每条结论均可回溯至</w:t>
      </w:r>
      <w:r>
        <w:rPr>
          <w:rFonts w:ascii="Times New Roman" w:hAnsi="Times New Roman" w:eastAsia="宋体"/>
          <w:sz w:val="24"/>
        </w:rPr>
        <w:t xml:space="preserve"> 10-K </w:t>
      </w:r>
      <w:r>
        <w:rPr>
          <w:rFonts w:hint="eastAsia" w:ascii="Times New Roman" w:hAnsi="Times New Roman" w:eastAsia="宋体"/>
          <w:sz w:val="24"/>
        </w:rPr>
        <w:t>原文具体行号，满足赛题“代码、程序等需要自行验证，确保真实可靠、可验证”的要求。未来当标注库扩至</w:t>
      </w:r>
      <w:r>
        <w:rPr>
          <w:rFonts w:ascii="Times New Roman" w:hAnsi="Times New Roman" w:eastAsia="宋体"/>
          <w:sz w:val="24"/>
        </w:rPr>
        <w:t xml:space="preserve"> 500+ </w:t>
      </w:r>
      <w:r>
        <w:rPr>
          <w:rFonts w:hint="eastAsia" w:ascii="Times New Roman" w:hAnsi="Times New Roman" w:eastAsia="宋体"/>
          <w:sz w:val="24"/>
        </w:rPr>
        <w:t>样本后，可据此微调</w:t>
      </w:r>
      <w:r>
        <w:rPr>
          <w:rFonts w:ascii="Times New Roman" w:hAnsi="Times New Roman" w:eastAsia="宋体"/>
          <w:sz w:val="24"/>
        </w:rPr>
        <w:t xml:space="preserve"> FinBERT </w:t>
      </w:r>
      <w:r>
        <w:rPr>
          <w:rFonts w:hint="eastAsia" w:ascii="Times New Roman" w:hAnsi="Times New Roman" w:eastAsia="宋体"/>
          <w:sz w:val="24"/>
        </w:rPr>
        <w:t>类专用模型，实现规则到语义的升级。</w:t>
      </w:r>
    </w:p>
    <w:p w14:paraId="18A55674">
      <w:pPr>
        <w:pStyle w:val="3"/>
        <w:spacing w:before="40" w:after="40" w:line="360" w:lineRule="auto"/>
        <w:ind w:firstLine="480"/>
      </w:pPr>
      <w:r>
        <w:rPr>
          <w:rFonts w:hint="eastAsia" w:ascii="Times New Roman" w:hAnsi="Times New Roman" w:eastAsia="宋体"/>
          <w:sz w:val="24"/>
        </w:rPr>
        <w:t>从“关键词检索”到“语义识别”的升级路径已就绪：30</w:t>
      </w:r>
      <w:r>
        <w:rPr>
          <w:rFonts w:ascii="Times New Roman" w:hAnsi="Times New Roman" w:eastAsia="宋体"/>
          <w:sz w:val="24"/>
        </w:rPr>
        <w:t xml:space="preserve"> </w:t>
      </w:r>
      <w:r>
        <w:rPr>
          <w:rFonts w:hint="eastAsia" w:ascii="Times New Roman" w:hAnsi="Times New Roman" w:eastAsia="宋体"/>
          <w:sz w:val="24"/>
        </w:rPr>
        <w:t>份四列证据链标注本身即是可直接用于监督学习的训练资产——每条标注含信号类型、严重度、原文片段与人工评分标签，天然构成“文本片段</w:t>
      </w:r>
      <w:r>
        <w:rPr>
          <w:rFonts w:ascii="Times New Roman" w:hAnsi="Times New Roman" w:eastAsia="宋体"/>
          <w:sz w:val="24"/>
        </w:rPr>
        <w:t xml:space="preserve"> → </w:t>
      </w:r>
      <w:r>
        <w:rPr>
          <w:rFonts w:hint="eastAsia" w:ascii="Times New Roman" w:hAnsi="Times New Roman" w:eastAsia="宋体"/>
          <w:sz w:val="24"/>
        </w:rPr>
        <w:t>风险信号类别/维度得分”的分类与回归样本。下一步可据此微调轻量级文本分类模型（如</w:t>
      </w:r>
      <w:r>
        <w:rPr>
          <w:rFonts w:ascii="Times New Roman" w:hAnsi="Times New Roman" w:eastAsia="宋体"/>
          <w:sz w:val="24"/>
        </w:rPr>
        <w:t xml:space="preserve"> FinBERT </w:t>
      </w:r>
      <w:r>
        <w:rPr>
          <w:rFonts w:hint="eastAsia" w:ascii="Times New Roman" w:hAnsi="Times New Roman" w:eastAsia="宋体"/>
          <w:sz w:val="24"/>
        </w:rPr>
        <w:t>类预训练模型</w:t>
      </w:r>
      <w:r>
        <w:rPr>
          <w:rFonts w:ascii="Times New Roman" w:hAnsi="Times New Roman" w:eastAsia="宋体"/>
          <w:sz w:val="24"/>
        </w:rPr>
        <w:t xml:space="preserve"> + </w:t>
      </w:r>
      <w:r>
        <w:rPr>
          <w:rFonts w:hint="eastAsia" w:ascii="Times New Roman" w:hAnsi="Times New Roman" w:eastAsia="宋体"/>
          <w:sz w:val="24"/>
        </w:rPr>
        <w:t>标注数据微调），实现从规则匹配到语义理解的跨越，将单份</w:t>
      </w:r>
      <w:r>
        <w:rPr>
          <w:rFonts w:ascii="Times New Roman" w:hAnsi="Times New Roman" w:eastAsia="宋体"/>
          <w:sz w:val="24"/>
        </w:rPr>
        <w:t xml:space="preserve"> 10-K </w:t>
      </w:r>
      <w:r>
        <w:rPr>
          <w:rFonts w:hint="eastAsia" w:ascii="Times New Roman" w:hAnsi="Times New Roman" w:eastAsia="宋体"/>
          <w:sz w:val="24"/>
        </w:rPr>
        <w:t>标注工时从数天压缩至分钟级（路线图详见</w:t>
      </w:r>
      <w:r>
        <w:rPr>
          <w:rFonts w:ascii="Times New Roman" w:hAnsi="Times New Roman" w:eastAsia="宋体"/>
          <w:sz w:val="24"/>
        </w:rPr>
        <w:t xml:space="preserve"> </w:t>
      </w:r>
      <w:r>
        <w:rPr>
          <w:rFonts w:hint="eastAsia" w:ascii="Times New Roman" w:hAnsi="Times New Roman" w:eastAsia="宋体"/>
          <w:sz w:val="24"/>
        </w:rPr>
        <w:t>5.5）。换言之，本研究的</w:t>
      </w:r>
      <w:r>
        <w:rPr>
          <w:rFonts w:ascii="Times New Roman" w:hAnsi="Times New Roman" w:eastAsia="宋体"/>
          <w:sz w:val="24"/>
        </w:rPr>
        <w:t xml:space="preserve"> AI </w:t>
      </w:r>
      <w:r>
        <w:rPr>
          <w:rFonts w:hint="eastAsia" w:ascii="Times New Roman" w:hAnsi="Times New Roman" w:eastAsia="宋体"/>
          <w:sz w:val="24"/>
        </w:rPr>
        <w:t>深度不只体现在“用了什么模型”，更体现在生产了</w:t>
      </w:r>
      <w:r>
        <w:rPr>
          <w:rFonts w:ascii="Times New Roman" w:hAnsi="Times New Roman" w:eastAsia="宋体"/>
          <w:sz w:val="24"/>
        </w:rPr>
        <w:t xml:space="preserve"> AI </w:t>
      </w:r>
      <w:r>
        <w:rPr>
          <w:rFonts w:hint="eastAsia" w:ascii="Times New Roman" w:hAnsi="Times New Roman" w:eastAsia="宋体"/>
          <w:sz w:val="24"/>
        </w:rPr>
        <w:t>可消费的数据资产——这正呼应赛题“科创企业风险数据资产化的实现机制”方向。</w:t>
      </w:r>
    </w:p>
    <w:bookmarkEnd w:id="74"/>
    <w:p w14:paraId="25FCBDE3">
      <w:pPr>
        <w:pStyle w:val="4"/>
        <w:spacing w:before="320" w:after="160" w:line="360" w:lineRule="auto"/>
      </w:pPr>
      <w:bookmarkStart w:id="75" w:name="_Toc7769"/>
      <w:bookmarkStart w:id="76" w:name="信度效度与研究伦理"/>
      <w:r>
        <w:rPr>
          <w:rFonts w:ascii="Times New Roman" w:hAnsi="Times New Roman" w:eastAsia="黑体"/>
          <w:b/>
          <w:color w:val="003366"/>
          <w:sz w:val="28"/>
        </w:rPr>
        <w:t xml:space="preserve">3.7 </w:t>
      </w:r>
      <w:r>
        <w:rPr>
          <w:rFonts w:hint="eastAsia" w:ascii="Times New Roman" w:hAnsi="Times New Roman" w:eastAsia="黑体"/>
          <w:b/>
          <w:color w:val="003366"/>
          <w:sz w:val="28"/>
        </w:rPr>
        <w:t>信度、效度与研究伦理</w:t>
      </w:r>
      <w:bookmarkEnd w:id="75"/>
    </w:p>
    <w:p w14:paraId="7D61A90E">
      <w:pPr>
        <w:pStyle w:val="25"/>
        <w:spacing w:before="40" w:after="40" w:line="360" w:lineRule="auto"/>
        <w:ind w:firstLine="480"/>
      </w:pPr>
      <w:r>
        <w:rPr>
          <w:rFonts w:hint="eastAsia" w:ascii="Times New Roman" w:hAnsi="Times New Roman" w:eastAsia="宋体"/>
          <w:sz w:val="24"/>
        </w:rPr>
        <w:t>信度保障：（1）所有引文与数据逐字核对于</w:t>
      </w:r>
      <w:r>
        <w:rPr>
          <w:rFonts w:ascii="Times New Roman" w:hAnsi="Times New Roman" w:eastAsia="宋体"/>
          <w:sz w:val="24"/>
        </w:rPr>
        <w:t xml:space="preserve"> 10-K </w:t>
      </w:r>
      <w:r>
        <w:rPr>
          <w:rFonts w:hint="eastAsia" w:ascii="Times New Roman" w:hAnsi="Times New Roman" w:eastAsia="宋体"/>
          <w:sz w:val="24"/>
        </w:rPr>
        <w:t>原文并附行号，第三方可按图索骥复算；（2）30</w:t>
      </w:r>
      <w:r>
        <w:rPr>
          <w:rFonts w:ascii="Times New Roman" w:hAnsi="Times New Roman" w:eastAsia="宋体"/>
          <w:sz w:val="24"/>
        </w:rPr>
        <w:t xml:space="preserve"> </w:t>
      </w:r>
      <w:r>
        <w:rPr>
          <w:rFonts w:hint="eastAsia" w:ascii="Times New Roman" w:hAnsi="Times New Roman" w:eastAsia="宋体"/>
          <w:sz w:val="24"/>
        </w:rPr>
        <w:t>个观测的综合评分全部展示验算式（附录</w:t>
      </w:r>
      <w:r>
        <w:rPr>
          <w:rFonts w:ascii="Times New Roman" w:hAnsi="Times New Roman" w:eastAsia="宋体"/>
          <w:sz w:val="24"/>
        </w:rPr>
        <w:t xml:space="preserve"> </w:t>
      </w:r>
      <w:r>
        <w:rPr>
          <w:rFonts w:hint="eastAsia" w:ascii="Times New Roman" w:hAnsi="Times New Roman" w:eastAsia="宋体"/>
          <w:sz w:val="24"/>
        </w:rPr>
        <w:t>A）；（3）标注实行“AI</w:t>
      </w:r>
      <w:r>
        <w:rPr>
          <w:rFonts w:ascii="Times New Roman" w:hAnsi="Times New Roman" w:eastAsia="宋体"/>
          <w:sz w:val="24"/>
        </w:rPr>
        <w:t xml:space="preserve"> </w:t>
      </w:r>
      <w:r>
        <w:rPr>
          <w:rFonts w:hint="eastAsia" w:ascii="Times New Roman" w:hAnsi="Times New Roman" w:eastAsia="宋体"/>
          <w:sz w:val="24"/>
        </w:rPr>
        <w:t>草拟</w:t>
      </w:r>
      <w:r>
        <w:rPr>
          <w:rFonts w:ascii="Times New Roman" w:hAnsi="Times New Roman" w:eastAsia="宋体"/>
          <w:sz w:val="24"/>
        </w:rPr>
        <w:t xml:space="preserve"> + </w:t>
      </w:r>
      <w:r>
        <w:rPr>
          <w:rFonts w:hint="eastAsia" w:ascii="Times New Roman" w:hAnsi="Times New Roman" w:eastAsia="宋体"/>
          <w:sz w:val="24"/>
        </w:rPr>
        <w:t>人工复核”双签制度，复核记录留痕（review_status</w:t>
      </w:r>
      <w:r>
        <w:rPr>
          <w:rFonts w:ascii="Times New Roman" w:hAnsi="Times New Roman" w:eastAsia="宋体"/>
          <w:sz w:val="24"/>
        </w:rPr>
        <w:t xml:space="preserve"> </w:t>
      </w:r>
      <w:r>
        <w:rPr>
          <w:rFonts w:hint="eastAsia" w:ascii="Times New Roman" w:hAnsi="Times New Roman" w:eastAsia="宋体"/>
          <w:sz w:val="24"/>
        </w:rPr>
        <w:t>字段，30</w:t>
      </w:r>
      <w:r>
        <w:rPr>
          <w:rFonts w:ascii="Times New Roman" w:hAnsi="Times New Roman" w:eastAsia="宋体"/>
          <w:sz w:val="24"/>
        </w:rPr>
        <w:t xml:space="preserve"> </w:t>
      </w:r>
      <w:r>
        <w:rPr>
          <w:rFonts w:hint="eastAsia" w:ascii="Times New Roman" w:hAnsi="Times New Roman" w:eastAsia="宋体"/>
          <w:sz w:val="24"/>
        </w:rPr>
        <w:t>份全部</w:t>
      </w:r>
      <w:r>
        <w:rPr>
          <w:rFonts w:ascii="Times New Roman" w:hAnsi="Times New Roman" w:eastAsia="宋体"/>
          <w:sz w:val="24"/>
        </w:rPr>
        <w:t xml:space="preserve"> </w:t>
      </w:r>
      <w:r>
        <w:rPr>
          <w:rFonts w:hint="eastAsia" w:ascii="Times New Roman" w:hAnsi="Times New Roman" w:eastAsia="宋体"/>
          <w:sz w:val="24"/>
        </w:rPr>
        <w:t>confirmed）。</w:t>
      </w:r>
    </w:p>
    <w:p w14:paraId="1522D12A">
      <w:pPr>
        <w:pStyle w:val="3"/>
        <w:spacing w:before="40" w:after="40" w:line="360" w:lineRule="auto"/>
        <w:ind w:firstLine="480"/>
      </w:pPr>
      <w:r>
        <w:rPr>
          <w:rFonts w:hint="eastAsia" w:ascii="Times New Roman" w:hAnsi="Times New Roman" w:eastAsia="宋体"/>
          <w:sz w:val="24"/>
        </w:rPr>
        <w:t>效度保障：（1）锚点表预先设定，评分非事后拟合；（2）基准锚样本（Meta=4.0）校准相对排序，跨年份标注与锚点显式对照；（3）判别效度：模型内生生成“运营型</w:t>
      </w:r>
      <w:r>
        <w:rPr>
          <w:rFonts w:ascii="Times New Roman" w:hAnsi="Times New Roman" w:eastAsia="宋体"/>
          <w:sz w:val="24"/>
        </w:rPr>
        <w:t xml:space="preserve"> &gt; </w:t>
      </w:r>
      <w:r>
        <w:rPr>
          <w:rFonts w:hint="eastAsia" w:ascii="Times New Roman" w:hAnsi="Times New Roman" w:eastAsia="宋体"/>
          <w:sz w:val="24"/>
        </w:rPr>
        <w:t>设计型”的合理排序；（4）前提核验机制可双向验证：对</w:t>
      </w:r>
      <w:r>
        <w:rPr>
          <w:rFonts w:ascii="Times New Roman" w:hAnsi="Times New Roman" w:eastAsia="宋体"/>
          <w:sz w:val="24"/>
        </w:rPr>
        <w:t xml:space="preserve"> Oracle 5→6 </w:t>
      </w:r>
      <w:r>
        <w:rPr>
          <w:rFonts w:hint="eastAsia" w:ascii="Times New Roman" w:hAnsi="Times New Roman" w:eastAsia="宋体"/>
          <w:sz w:val="24"/>
        </w:rPr>
        <w:t>真实变更逐字证实、对易混淆的</w:t>
      </w:r>
      <w:r>
        <w:rPr>
          <w:rFonts w:ascii="Times New Roman" w:hAnsi="Times New Roman" w:eastAsia="宋体"/>
          <w:sz w:val="24"/>
        </w:rPr>
        <w:t xml:space="preserve"> 5→8 </w:t>
      </w:r>
      <w:r>
        <w:rPr>
          <w:rFonts w:hint="eastAsia" w:ascii="Times New Roman" w:hAnsi="Times New Roman" w:eastAsia="宋体"/>
          <w:sz w:val="24"/>
        </w:rPr>
        <w:t>年（真身为</w:t>
      </w:r>
      <w:r>
        <w:rPr>
          <w:rFonts w:ascii="Times New Roman" w:hAnsi="Times New Roman" w:eastAsia="宋体"/>
          <w:sz w:val="24"/>
        </w:rPr>
        <w:t xml:space="preserve"> Intel </w:t>
      </w:r>
      <w:r>
        <w:rPr>
          <w:rFonts w:hint="eastAsia" w:ascii="Times New Roman" w:hAnsi="Times New Roman" w:eastAsia="宋体"/>
          <w:sz w:val="24"/>
        </w:rPr>
        <w:t>晶圆厂设备）与</w:t>
      </w:r>
      <w:r>
        <w:rPr>
          <w:rFonts w:ascii="Times New Roman" w:hAnsi="Times New Roman" w:eastAsia="宋体"/>
          <w:sz w:val="24"/>
        </w:rPr>
        <w:t xml:space="preserve"> 5→6 </w:t>
      </w:r>
      <w:r>
        <w:rPr>
          <w:rFonts w:hint="eastAsia" w:ascii="Times New Roman" w:hAnsi="Times New Roman" w:eastAsia="宋体"/>
          <w:sz w:val="24"/>
        </w:rPr>
        <w:t>年（Oracle</w:t>
      </w:r>
      <w:r>
        <w:rPr>
          <w:rFonts w:ascii="Times New Roman" w:hAnsi="Times New Roman" w:eastAsia="宋体"/>
          <w:sz w:val="24"/>
        </w:rPr>
        <w:t xml:space="preserve"> </w:t>
      </w:r>
      <w:r>
        <w:rPr>
          <w:rFonts w:hint="eastAsia" w:ascii="Times New Roman" w:hAnsi="Times New Roman" w:eastAsia="宋体"/>
          <w:sz w:val="24"/>
        </w:rPr>
        <w:t>服务器）两类相似披露精准区分（3.3.5）。</w:t>
      </w:r>
    </w:p>
    <w:p w14:paraId="41D3E208">
      <w:pPr>
        <w:pStyle w:val="3"/>
        <w:spacing w:before="40" w:after="40" w:line="360" w:lineRule="auto"/>
        <w:ind w:firstLine="480"/>
      </w:pPr>
      <w:r>
        <w:rPr>
          <w:rFonts w:hint="eastAsia" w:ascii="Times New Roman" w:hAnsi="Times New Roman" w:eastAsia="宋体"/>
          <w:sz w:val="24"/>
        </w:rPr>
        <w:t>局限与声明：（1）30</w:t>
      </w:r>
      <w:r>
        <w:rPr>
          <w:rFonts w:ascii="Times New Roman" w:hAnsi="Times New Roman" w:eastAsia="宋体"/>
          <w:sz w:val="24"/>
        </w:rPr>
        <w:t xml:space="preserve"> </w:t>
      </w:r>
      <w:r>
        <w:rPr>
          <w:rFonts w:hint="eastAsia" w:ascii="Times New Roman" w:hAnsi="Times New Roman" w:eastAsia="宋体"/>
          <w:sz w:val="24"/>
        </w:rPr>
        <w:t>份面板来自</w:t>
      </w:r>
      <w:r>
        <w:rPr>
          <w:rFonts w:ascii="Times New Roman" w:hAnsi="Times New Roman" w:eastAsia="宋体"/>
          <w:sz w:val="24"/>
        </w:rPr>
        <w:t xml:space="preserve"> 10 </w:t>
      </w:r>
      <w:r>
        <w:rPr>
          <w:rFonts w:hint="eastAsia" w:ascii="Times New Roman" w:hAnsi="Times New Roman" w:eastAsia="宋体"/>
          <w:sz w:val="24"/>
        </w:rPr>
        <w:t>家公司，同公司年份间存在聚类相关，有效独立样本量约为</w:t>
      </w:r>
      <w:r>
        <w:rPr>
          <w:rFonts w:ascii="Times New Roman" w:hAnsi="Times New Roman" w:eastAsia="宋体"/>
          <w:sz w:val="24"/>
        </w:rPr>
        <w:t xml:space="preserve"> </w:t>
      </w:r>
      <w:r>
        <w:rPr>
          <w:rFonts w:hint="eastAsia" w:ascii="Times New Roman" w:hAnsi="Times New Roman" w:eastAsia="宋体"/>
          <w:sz w:val="24"/>
        </w:rPr>
        <w:t>10，多年趋势的方向性证据强于统计推断意义（7.4</w:t>
      </w:r>
      <w:r>
        <w:rPr>
          <w:rFonts w:ascii="Times New Roman" w:hAnsi="Times New Roman" w:eastAsia="宋体"/>
          <w:sz w:val="24"/>
        </w:rPr>
        <w:t xml:space="preserve"> </w:t>
      </w:r>
      <w:r>
        <w:rPr>
          <w:rFonts w:hint="eastAsia" w:ascii="Times New Roman" w:hAnsi="Times New Roman" w:eastAsia="宋体"/>
          <w:sz w:val="24"/>
        </w:rPr>
        <w:t>详述）；（2）部分指标因披露限制标记</w:t>
      </w:r>
      <w:r>
        <w:rPr>
          <w:rFonts w:ascii="Times New Roman" w:hAnsi="Times New Roman" w:eastAsia="宋体"/>
          <w:sz w:val="24"/>
        </w:rPr>
        <w:t xml:space="preserve"> </w:t>
      </w:r>
      <w:r>
        <w:rPr>
          <w:rFonts w:hint="eastAsia" w:ascii="Times New Roman" w:hAnsi="Times New Roman" w:eastAsia="宋体"/>
          <w:sz w:val="24"/>
        </w:rPr>
        <w:t>NA，不做估算填充；（3）GPU</w:t>
      </w:r>
      <w:r>
        <w:rPr>
          <w:rFonts w:ascii="Times New Roman" w:hAnsi="Times New Roman" w:eastAsia="宋体"/>
          <w:sz w:val="24"/>
        </w:rPr>
        <w:t xml:space="preserve"> </w:t>
      </w:r>
      <w:r>
        <w:rPr>
          <w:rFonts w:hint="eastAsia" w:ascii="Times New Roman" w:hAnsi="Times New Roman" w:eastAsia="宋体"/>
          <w:sz w:val="24"/>
        </w:rPr>
        <w:t>技术迭代周期（1-2</w:t>
      </w:r>
      <w:r>
        <w:rPr>
          <w:rFonts w:ascii="Times New Roman" w:hAnsi="Times New Roman" w:eastAsia="宋体"/>
          <w:sz w:val="24"/>
        </w:rPr>
        <w:t xml:space="preserve"> </w:t>
      </w:r>
      <w:r>
        <w:rPr>
          <w:rFonts w:hint="eastAsia" w:ascii="Times New Roman" w:hAnsi="Times New Roman" w:eastAsia="宋体"/>
          <w:sz w:val="24"/>
        </w:rPr>
        <w:t>年）为行业共识估计，作为外部参照系引入；（4）本研究仅为学术竞赛研究，不构成任何投资建议。</w:t>
      </w:r>
    </w:p>
    <w:bookmarkEnd w:id="50"/>
    <w:bookmarkEnd w:id="76"/>
    <w:p w14:paraId="753CE7ED">
      <w:pPr>
        <w:pStyle w:val="2"/>
        <w:pageBreakBefore/>
        <w:spacing w:before="360" w:after="240" w:line="360" w:lineRule="auto"/>
        <w:jc w:val="center"/>
      </w:pPr>
      <w:bookmarkStart w:id="77" w:name="_Toc3707"/>
      <w:bookmarkStart w:id="78" w:name="第四章实证结果美国十大科技公司折旧风险面板分析"/>
      <w:r>
        <w:rPr>
          <w:rFonts w:hint="eastAsia" w:ascii="Times New Roman" w:hAnsi="Times New Roman" w:eastAsia="黑体"/>
          <w:b/>
          <w:color w:val="000000"/>
          <w:sz w:val="32"/>
        </w:rPr>
        <w:t>第四章实证结果：美国十大科技公司折旧风险面板分析</w:t>
      </w:r>
      <w:bookmarkEnd w:id="77"/>
    </w:p>
    <w:p w14:paraId="7E40911F">
      <w:pPr>
        <w:pStyle w:val="25"/>
        <w:spacing w:before="40" w:after="40" w:line="360" w:lineRule="auto"/>
        <w:ind w:firstLine="480"/>
      </w:pPr>
      <w:r>
        <w:rPr>
          <w:rFonts w:hint="eastAsia" w:ascii="Times New Roman" w:hAnsi="Times New Roman" w:eastAsia="宋体"/>
          <w:sz w:val="24"/>
        </w:rPr>
        <w:t>本章核心结论：30</w:t>
      </w:r>
      <w:r>
        <w:rPr>
          <w:rFonts w:ascii="Times New Roman" w:hAnsi="Times New Roman" w:eastAsia="宋体"/>
          <w:sz w:val="24"/>
        </w:rPr>
        <w:t xml:space="preserve"> </w:t>
      </w:r>
      <w:r>
        <w:rPr>
          <w:rFonts w:hint="eastAsia" w:ascii="Times New Roman" w:hAnsi="Times New Roman" w:eastAsia="宋体"/>
          <w:sz w:val="24"/>
        </w:rPr>
        <w:t>份面板样本证明折旧错配是行业级计量现象而非个别瑕疵——6</w:t>
      </w:r>
      <w:r>
        <w:rPr>
          <w:rFonts w:ascii="Times New Roman" w:hAnsi="Times New Roman" w:eastAsia="宋体"/>
          <w:sz w:val="24"/>
        </w:rPr>
        <w:t xml:space="preserve"> </w:t>
      </w:r>
      <w:r>
        <w:rPr>
          <w:rFonts w:hint="eastAsia" w:ascii="Times New Roman" w:hAnsi="Times New Roman" w:eastAsia="宋体"/>
          <w:sz w:val="24"/>
        </w:rPr>
        <w:t>家公司在约</w:t>
      </w:r>
      <w:r>
        <w:rPr>
          <w:rFonts w:ascii="Times New Roman" w:hAnsi="Times New Roman" w:eastAsia="宋体"/>
          <w:sz w:val="24"/>
        </w:rPr>
        <w:t xml:space="preserve"> 12 </w:t>
      </w:r>
      <w:r>
        <w:rPr>
          <w:rFonts w:hint="eastAsia" w:ascii="Times New Roman" w:hAnsi="Times New Roman" w:eastAsia="宋体"/>
          <w:sz w:val="24"/>
        </w:rPr>
        <w:t>个月内同步延长折旧年限，Oracle、Meta</w:t>
      </w:r>
      <w:r>
        <w:rPr>
          <w:rFonts w:ascii="Times New Roman" w:hAnsi="Times New Roman" w:eastAsia="宋体"/>
          <w:sz w:val="24"/>
        </w:rPr>
        <w:t xml:space="preserve"> </w:t>
      </w:r>
      <w:r>
        <w:rPr>
          <w:rFonts w:hint="eastAsia" w:ascii="Times New Roman" w:hAnsi="Times New Roman" w:eastAsia="宋体"/>
          <w:sz w:val="24"/>
        </w:rPr>
        <w:t>为“连续延长者”；8</w:t>
      </w:r>
      <w:r>
        <w:rPr>
          <w:rFonts w:ascii="Times New Roman" w:hAnsi="Times New Roman" w:eastAsia="宋体"/>
          <w:sz w:val="24"/>
        </w:rPr>
        <w:t xml:space="preserve"> </w:t>
      </w:r>
      <w:r>
        <w:rPr>
          <w:rFonts w:hint="eastAsia" w:ascii="Times New Roman" w:hAnsi="Times New Roman" w:eastAsia="宋体"/>
          <w:sz w:val="24"/>
        </w:rPr>
        <w:t>个变更年观测评分均值为</w:t>
      </w:r>
      <w:r>
        <w:rPr>
          <w:rFonts w:ascii="Times New Roman" w:hAnsi="Times New Roman" w:eastAsia="宋体"/>
          <w:sz w:val="24"/>
        </w:rPr>
        <w:t xml:space="preserve"> </w:t>
      </w:r>
      <w:r>
        <w:rPr>
          <w:rFonts w:hint="eastAsia" w:ascii="Times New Roman" w:hAnsi="Times New Roman" w:eastAsia="宋体"/>
          <w:sz w:val="24"/>
        </w:rPr>
        <w:t>4.25，高于</w:t>
      </w:r>
      <w:r>
        <w:rPr>
          <w:rFonts w:ascii="Times New Roman" w:hAnsi="Times New Roman" w:eastAsia="宋体"/>
          <w:sz w:val="24"/>
        </w:rPr>
        <w:t xml:space="preserve"> 22 </w:t>
      </w:r>
      <w:r>
        <w:rPr>
          <w:rFonts w:hint="eastAsia" w:ascii="Times New Roman" w:hAnsi="Times New Roman" w:eastAsia="宋体"/>
          <w:sz w:val="24"/>
        </w:rPr>
        <w:t>个非变更年的</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分），呈现面板层面的共现模式，但有效独立样本量约</w:t>
      </w:r>
      <w:r>
        <w:rPr>
          <w:rFonts w:ascii="Times New Roman" w:hAnsi="Times New Roman" w:eastAsia="宋体"/>
          <w:sz w:val="24"/>
        </w:rPr>
        <w:t xml:space="preserve"> </w:t>
      </w:r>
      <w:r>
        <w:rPr>
          <w:rFonts w:hint="eastAsia" w:ascii="Times New Roman" w:hAnsi="Times New Roman" w:eastAsia="宋体"/>
          <w:sz w:val="24"/>
        </w:rPr>
        <w:t>10，不宜做统计显著性推断；风险高低</w:t>
      </w:r>
      <w:r>
        <w:rPr>
          <w:rFonts w:ascii="Times New Roman" w:hAnsi="Times New Roman" w:eastAsia="宋体"/>
          <w:sz w:val="24"/>
        </w:rPr>
        <w:t xml:space="preserve"> = </w:t>
      </w:r>
      <w:r>
        <w:rPr>
          <w:rFonts w:hint="eastAsia" w:ascii="Times New Roman" w:hAnsi="Times New Roman" w:eastAsia="宋体"/>
          <w:sz w:val="24"/>
        </w:rPr>
        <w:t>假设激进度</w:t>
      </w:r>
      <w:r>
        <w:rPr>
          <w:rFonts w:ascii="Times New Roman" w:hAnsi="Times New Roman" w:eastAsia="宋体"/>
          <w:sz w:val="24"/>
        </w:rPr>
        <w:t xml:space="preserve"> × </w:t>
      </w:r>
      <w:r>
        <w:rPr>
          <w:rFonts w:hint="eastAsia" w:ascii="Times New Roman" w:hAnsi="Times New Roman" w:eastAsia="宋体"/>
          <w:sz w:val="24"/>
        </w:rPr>
        <w:t>资产敞口（重资产运营/制造型霸榜，轻资产设计/软件型居尾，排序由模型内生生成）；错配沿“折旧—存货—商誉—租赁”四通道分化，且兑现存在时间差，为事前风控留下干预窗口。</w:t>
      </w:r>
    </w:p>
    <w:p w14:paraId="4AB292AB">
      <w:pPr>
        <w:pStyle w:val="4"/>
        <w:spacing w:before="320" w:after="160" w:line="360" w:lineRule="auto"/>
      </w:pPr>
      <w:bookmarkStart w:id="79" w:name="_Toc2068"/>
      <w:bookmarkStart w:id="80" w:name="面板总览10-家-3-财年-30-个观测"/>
      <w:r>
        <w:rPr>
          <w:rFonts w:ascii="Times New Roman" w:hAnsi="Times New Roman" w:eastAsia="黑体"/>
          <w:b/>
          <w:color w:val="003366"/>
          <w:sz w:val="28"/>
        </w:rPr>
        <w:t xml:space="preserve">4.1 </w:t>
      </w:r>
      <w:r>
        <w:rPr>
          <w:rFonts w:hint="eastAsia" w:ascii="Times New Roman" w:hAnsi="Times New Roman" w:eastAsia="黑体"/>
          <w:b/>
          <w:color w:val="003366"/>
          <w:sz w:val="28"/>
        </w:rPr>
        <w:t>面板总览：10</w:t>
      </w:r>
      <w:r>
        <w:rPr>
          <w:rFonts w:ascii="Times New Roman" w:hAnsi="Times New Roman" w:eastAsia="黑体"/>
          <w:b/>
          <w:color w:val="003366"/>
          <w:sz w:val="28"/>
        </w:rPr>
        <w:t xml:space="preserve"> </w:t>
      </w:r>
      <w:r>
        <w:rPr>
          <w:rFonts w:hint="eastAsia" w:ascii="Times New Roman" w:hAnsi="Times New Roman" w:eastAsia="黑体"/>
          <w:b/>
          <w:color w:val="003366"/>
          <w:sz w:val="28"/>
        </w:rPr>
        <w:t>家</w:t>
      </w:r>
      <w:r>
        <w:rPr>
          <w:rFonts w:ascii="Times New Roman" w:hAnsi="Times New Roman" w:eastAsia="黑体"/>
          <w:b/>
          <w:color w:val="003366"/>
          <w:sz w:val="28"/>
        </w:rPr>
        <w:t xml:space="preserve"> × 3 </w:t>
      </w:r>
      <w:r>
        <w:rPr>
          <w:rFonts w:hint="eastAsia" w:ascii="Times New Roman" w:hAnsi="Times New Roman" w:eastAsia="黑体"/>
          <w:b/>
          <w:color w:val="003366"/>
          <w:sz w:val="28"/>
        </w:rPr>
        <w:t>财年</w:t>
      </w:r>
      <w:r>
        <w:rPr>
          <w:rFonts w:ascii="Times New Roman" w:hAnsi="Times New Roman" w:eastAsia="黑体"/>
          <w:b/>
          <w:color w:val="003366"/>
          <w:sz w:val="28"/>
        </w:rPr>
        <w:t xml:space="preserve"> = 30 </w:t>
      </w:r>
      <w:r>
        <w:rPr>
          <w:rFonts w:hint="eastAsia" w:ascii="Times New Roman" w:hAnsi="Times New Roman" w:eastAsia="黑体"/>
          <w:b/>
          <w:color w:val="003366"/>
          <w:sz w:val="28"/>
        </w:rPr>
        <w:t>个观测</w:t>
      </w:r>
      <w:bookmarkEnd w:id="79"/>
    </w:p>
    <w:p w14:paraId="5ED2470D">
      <w:pPr>
        <w:pStyle w:val="25"/>
        <w:spacing w:before="40" w:after="40" w:line="360" w:lineRule="auto"/>
        <w:ind w:firstLine="480"/>
      </w:pPr>
      <w:r>
        <w:rPr>
          <w:rFonts w:hint="eastAsia" w:ascii="Times New Roman" w:hAnsi="Times New Roman" w:eastAsia="宋体"/>
          <w:sz w:val="24"/>
        </w:rPr>
        <w:t>本研究将样本从</w:t>
      </w:r>
      <w:r>
        <w:rPr>
          <w:rFonts w:ascii="Times New Roman" w:hAnsi="Times New Roman" w:eastAsia="宋体"/>
          <w:sz w:val="24"/>
        </w:rPr>
        <w:t xml:space="preserve"> 10 </w:t>
      </w:r>
      <w:r>
        <w:rPr>
          <w:rFonts w:hint="eastAsia" w:ascii="Times New Roman" w:hAnsi="Times New Roman" w:eastAsia="宋体"/>
          <w:sz w:val="24"/>
        </w:rPr>
        <w:t>家公司的中心年截面扩展为</w:t>
      </w:r>
      <w:r>
        <w:rPr>
          <w:rFonts w:ascii="Times New Roman" w:hAnsi="Times New Roman" w:eastAsia="宋体"/>
          <w:sz w:val="24"/>
        </w:rPr>
        <w:t xml:space="preserve"> 10 </w:t>
      </w:r>
      <w:r>
        <w:rPr>
          <w:rFonts w:hint="eastAsia" w:ascii="Times New Roman" w:hAnsi="Times New Roman" w:eastAsia="宋体"/>
          <w:sz w:val="24"/>
        </w:rPr>
        <w:t>家</w:t>
      </w:r>
      <w:r>
        <w:rPr>
          <w:rFonts w:ascii="Times New Roman" w:hAnsi="Times New Roman" w:eastAsia="宋体"/>
          <w:sz w:val="24"/>
        </w:rPr>
        <w:t xml:space="preserve"> × 3 </w:t>
      </w:r>
      <w:r>
        <w:rPr>
          <w:rFonts w:hint="eastAsia" w:ascii="Times New Roman" w:hAnsi="Times New Roman" w:eastAsia="宋体"/>
          <w:sz w:val="24"/>
        </w:rPr>
        <w:t>个财年</w:t>
      </w:r>
      <w:r>
        <w:rPr>
          <w:rFonts w:ascii="Times New Roman" w:hAnsi="Times New Roman" w:eastAsia="宋体"/>
          <w:sz w:val="24"/>
        </w:rPr>
        <w:t xml:space="preserve"> = 30 </w:t>
      </w:r>
      <w:r>
        <w:rPr>
          <w:rFonts w:hint="eastAsia" w:ascii="Times New Roman" w:hAnsi="Times New Roman" w:eastAsia="宋体"/>
          <w:sz w:val="24"/>
        </w:rPr>
        <w:t>份</w:t>
      </w:r>
      <w:r>
        <w:rPr>
          <w:rFonts w:ascii="Times New Roman" w:hAnsi="Times New Roman" w:eastAsia="宋体"/>
          <w:sz w:val="24"/>
        </w:rPr>
        <w:t xml:space="preserve"> 10-K </w:t>
      </w:r>
      <w:r>
        <w:rPr>
          <w:rFonts w:hint="eastAsia" w:ascii="Times New Roman" w:hAnsi="Times New Roman" w:eastAsia="宋体"/>
          <w:sz w:val="24"/>
        </w:rPr>
        <w:t>面板样本（评分粒度为“公司-年份”，共</w:t>
      </w:r>
      <w:r>
        <w:rPr>
          <w:rFonts w:ascii="Times New Roman" w:hAnsi="Times New Roman" w:eastAsia="宋体"/>
          <w:sz w:val="24"/>
        </w:rPr>
        <w:t xml:space="preserve"> 30 </w:t>
      </w:r>
      <w:r>
        <w:rPr>
          <w:rFonts w:hint="eastAsia" w:ascii="Times New Roman" w:hAnsi="Times New Roman" w:eastAsia="宋体"/>
          <w:sz w:val="24"/>
        </w:rPr>
        <w:t>个观测，全部标注经人工核对</w:t>
      </w:r>
      <w:r>
        <w:rPr>
          <w:rFonts w:ascii="Times New Roman" w:hAnsi="Times New Roman" w:eastAsia="宋体"/>
          <w:sz w:val="24"/>
        </w:rPr>
        <w:t xml:space="preserve"> </w:t>
      </w:r>
      <w:r>
        <w:rPr>
          <w:rFonts w:hint="eastAsia" w:ascii="Times New Roman" w:hAnsi="Times New Roman" w:eastAsia="宋体"/>
          <w:sz w:val="24"/>
        </w:rPr>
        <w:t>confirmed）。面板结构使两个单年截面看不见的模式浮现出来：同一公司变更前后的评分轨迹，以及变更年与非变更年的系统性评分差。</w:t>
      </w:r>
    </w:p>
    <w:p w14:paraId="587C771B">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4-1 30 </w:t>
      </w:r>
      <w:r>
        <w:rPr>
          <w:rFonts w:hint="eastAsia" w:ascii="Times New Roman" w:hAnsi="Times New Roman" w:eastAsia="宋体"/>
          <w:i w:val="0"/>
          <w:sz w:val="21"/>
        </w:rPr>
        <w:t>样本折旧风险评分面板总表（综合评分）</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7DAF586A">
        <w:tblPrEx>
          <w:tblCellMar>
            <w:top w:w="0" w:type="dxa"/>
            <w:left w:w="108" w:type="dxa"/>
            <w:bottom w:w="0" w:type="dxa"/>
            <w:right w:w="108" w:type="dxa"/>
          </w:tblCellMar>
        </w:tblPrEx>
        <w:trPr>
          <w:cantSplit/>
          <w:tblHeader/>
        </w:trPr>
        <w:tc>
          <w:p w14:paraId="3C68E12B">
            <w:pPr>
              <w:pStyle w:val="26"/>
              <w:spacing w:before="20" w:after="20" w:line="276" w:lineRule="auto"/>
            </w:pPr>
            <w:r>
              <w:rPr>
                <w:rFonts w:hint="eastAsia" w:ascii="Times New Roman" w:hAnsi="Times New Roman" w:eastAsia="宋体"/>
                <w:b/>
                <w:bCs/>
                <w:sz w:val="20"/>
              </w:rPr>
              <w:t>公司</w:t>
            </w:r>
          </w:p>
        </w:tc>
        <w:tc>
          <w:p w14:paraId="2CB64BAC">
            <w:pPr>
              <w:pStyle w:val="26"/>
              <w:spacing w:before="20" w:after="20" w:line="276" w:lineRule="auto"/>
            </w:pPr>
            <w:r>
              <w:rPr>
                <w:rFonts w:hint="eastAsia" w:ascii="Times New Roman" w:hAnsi="Times New Roman" w:eastAsia="宋体"/>
                <w:b/>
                <w:bCs/>
                <w:sz w:val="20"/>
              </w:rPr>
              <w:t>资产类型</w:t>
            </w:r>
          </w:p>
        </w:tc>
        <w:tc>
          <w:p w14:paraId="7128434A">
            <w:pPr>
              <w:pStyle w:val="26"/>
              <w:spacing w:before="20" w:after="20" w:line="276" w:lineRule="auto"/>
            </w:pPr>
            <w:r>
              <w:rPr>
                <w:rFonts w:hint="eastAsia" w:ascii="Times New Roman" w:hAnsi="Times New Roman" w:eastAsia="宋体"/>
                <w:b/>
                <w:bCs/>
                <w:sz w:val="20"/>
              </w:rPr>
              <w:t>年</w:t>
            </w:r>
            <w:r>
              <w:rPr>
                <w:rFonts w:ascii="Times New Roman" w:hAnsi="Times New Roman" w:eastAsia="宋体"/>
                <w:b/>
                <w:bCs/>
                <w:sz w:val="20"/>
              </w:rPr>
              <w:t xml:space="preserve"> 1</w:t>
            </w:r>
          </w:p>
        </w:tc>
        <w:tc>
          <w:p w14:paraId="5DCD571B">
            <w:pPr>
              <w:pStyle w:val="26"/>
              <w:spacing w:before="20" w:after="20" w:line="276" w:lineRule="auto"/>
            </w:pPr>
            <w:r>
              <w:rPr>
                <w:rFonts w:hint="eastAsia" w:ascii="Times New Roman" w:hAnsi="Times New Roman" w:eastAsia="宋体"/>
                <w:b/>
                <w:bCs/>
                <w:sz w:val="20"/>
              </w:rPr>
              <w:t>年</w:t>
            </w:r>
            <w:r>
              <w:rPr>
                <w:rFonts w:ascii="Times New Roman" w:hAnsi="Times New Roman" w:eastAsia="宋体"/>
                <w:b/>
                <w:bCs/>
                <w:sz w:val="20"/>
              </w:rPr>
              <w:t xml:space="preserve"> </w:t>
            </w:r>
            <w:r>
              <w:rPr>
                <w:rFonts w:hint="eastAsia" w:ascii="Times New Roman" w:hAnsi="Times New Roman" w:eastAsia="宋体"/>
                <w:b/>
                <w:bCs/>
                <w:sz w:val="20"/>
              </w:rPr>
              <w:t>2（原中心年）</w:t>
            </w:r>
          </w:p>
        </w:tc>
        <w:tc>
          <w:p w14:paraId="670AB5C2">
            <w:pPr>
              <w:pStyle w:val="26"/>
              <w:spacing w:before="20" w:after="20" w:line="276" w:lineRule="auto"/>
            </w:pPr>
            <w:r>
              <w:rPr>
                <w:rFonts w:hint="eastAsia" w:ascii="Times New Roman" w:hAnsi="Times New Roman" w:eastAsia="宋体"/>
                <w:b/>
                <w:bCs/>
                <w:sz w:val="20"/>
              </w:rPr>
              <w:t>年</w:t>
            </w:r>
            <w:r>
              <w:rPr>
                <w:rFonts w:ascii="Times New Roman" w:hAnsi="Times New Roman" w:eastAsia="宋体"/>
                <w:b/>
                <w:bCs/>
                <w:sz w:val="20"/>
              </w:rPr>
              <w:t xml:space="preserve"> 3</w:t>
            </w:r>
          </w:p>
        </w:tc>
        <w:tc>
          <w:p w14:paraId="57978271">
            <w:pPr>
              <w:pStyle w:val="26"/>
              <w:spacing w:before="20" w:after="20" w:line="276" w:lineRule="auto"/>
            </w:pPr>
            <w:r>
              <w:rPr>
                <w:rFonts w:hint="eastAsia" w:ascii="Times New Roman" w:hAnsi="Times New Roman" w:eastAsia="宋体"/>
                <w:b/>
                <w:bCs/>
                <w:sz w:val="20"/>
              </w:rPr>
              <w:t>三年轨迹</w:t>
            </w:r>
          </w:p>
        </w:tc>
      </w:tr>
      <w:tr w14:paraId="124CEF25">
        <w:tblPrEx>
          <w:tblCellMar>
            <w:top w:w="0" w:type="dxa"/>
            <w:left w:w="108" w:type="dxa"/>
            <w:bottom w:w="0" w:type="dxa"/>
            <w:right w:w="108" w:type="dxa"/>
          </w:tblCellMar>
        </w:tblPrEx>
        <w:trPr>
          <w:cantSplit/>
        </w:trPr>
        <w:tc>
          <w:p w14:paraId="745A457A">
            <w:pPr>
              <w:pStyle w:val="26"/>
              <w:spacing w:before="20" w:after="20" w:line="276" w:lineRule="auto"/>
            </w:pPr>
            <w:r>
              <w:rPr>
                <w:rFonts w:ascii="Times New Roman" w:hAnsi="Times New Roman" w:eastAsia="宋体"/>
                <w:sz w:val="20"/>
              </w:rPr>
              <w:t>META</w:t>
            </w:r>
          </w:p>
        </w:tc>
        <w:tc>
          <w:p w14:paraId="731865EF">
            <w:pPr>
              <w:pStyle w:val="26"/>
              <w:spacing w:before="20" w:after="20" w:line="276" w:lineRule="auto"/>
            </w:pPr>
            <w:r>
              <w:rPr>
                <w:rFonts w:hint="eastAsia" w:ascii="Times New Roman" w:hAnsi="Times New Roman" w:eastAsia="宋体"/>
                <w:sz w:val="20"/>
              </w:rPr>
              <w:t>运营型（数据中心）</w:t>
            </w:r>
          </w:p>
        </w:tc>
        <w:tc>
          <w:p w14:paraId="1829566B">
            <w:pPr>
              <w:pStyle w:val="26"/>
              <w:spacing w:before="20" w:after="20" w:line="276" w:lineRule="auto"/>
            </w:pPr>
            <w:r>
              <w:rPr>
                <w:rFonts w:ascii="Times New Roman" w:hAnsi="Times New Roman" w:eastAsia="宋体"/>
                <w:sz w:val="20"/>
              </w:rPr>
              <w:t xml:space="preserve">2022: </w:t>
            </w:r>
            <w:r>
              <w:rPr>
                <w:rFonts w:ascii="Times New Roman" w:hAnsi="Times New Roman" w:eastAsia="宋体"/>
                <w:b/>
                <w:bCs/>
                <w:sz w:val="20"/>
              </w:rPr>
              <w:t>4.60</w:t>
            </w:r>
            <w:r>
              <w:rPr>
                <w:rFonts w:ascii="Times New Roman" w:hAnsi="Times New Roman" w:eastAsia="宋体"/>
                <w:sz w:val="20"/>
              </w:rPr>
              <w:t xml:space="preserve"> *</w:t>
            </w:r>
          </w:p>
        </w:tc>
        <w:tc>
          <w:p w14:paraId="06E582FF">
            <w:pPr>
              <w:pStyle w:val="26"/>
              <w:spacing w:before="20" w:after="20" w:line="276" w:lineRule="auto"/>
            </w:pPr>
            <w:r>
              <w:rPr>
                <w:rFonts w:ascii="Times New Roman" w:hAnsi="Times New Roman" w:eastAsia="宋体"/>
                <w:sz w:val="20"/>
              </w:rPr>
              <w:t>2023: 4.00</w:t>
            </w:r>
          </w:p>
        </w:tc>
        <w:tc>
          <w:p w14:paraId="33674AE7">
            <w:pPr>
              <w:pStyle w:val="26"/>
              <w:spacing w:before="20" w:after="20" w:line="276" w:lineRule="auto"/>
            </w:pPr>
            <w:r>
              <w:rPr>
                <w:rFonts w:ascii="Times New Roman" w:hAnsi="Times New Roman" w:eastAsia="宋体"/>
                <w:sz w:val="20"/>
              </w:rPr>
              <w:t xml:space="preserve">2024: </w:t>
            </w:r>
            <w:r>
              <w:rPr>
                <w:rFonts w:ascii="Times New Roman" w:hAnsi="Times New Roman" w:eastAsia="宋体"/>
                <w:b/>
                <w:bCs/>
                <w:sz w:val="20"/>
              </w:rPr>
              <w:t>4.60</w:t>
            </w:r>
            <w:r>
              <w:rPr>
                <w:rFonts w:ascii="Times New Roman" w:hAnsi="Times New Roman" w:eastAsia="宋体"/>
                <w:sz w:val="20"/>
              </w:rPr>
              <w:t xml:space="preserve"> *</w:t>
            </w:r>
          </w:p>
        </w:tc>
        <w:tc>
          <w:p w14:paraId="284BEF45">
            <w:pPr>
              <w:pStyle w:val="26"/>
              <w:spacing w:before="20" w:after="20" w:line="276" w:lineRule="auto"/>
            </w:pPr>
            <w:r>
              <w:rPr>
                <w:rFonts w:hint="eastAsia" w:ascii="Times New Roman" w:hAnsi="Times New Roman" w:eastAsia="宋体"/>
                <w:sz w:val="20"/>
              </w:rPr>
              <w:t>4.60→4.00→4.60（两跳）</w:t>
            </w:r>
          </w:p>
        </w:tc>
      </w:tr>
      <w:tr w14:paraId="396A8B23">
        <w:tblPrEx>
          <w:tblCellMar>
            <w:top w:w="0" w:type="dxa"/>
            <w:left w:w="108" w:type="dxa"/>
            <w:bottom w:w="0" w:type="dxa"/>
            <w:right w:w="108" w:type="dxa"/>
          </w:tblCellMar>
        </w:tblPrEx>
        <w:trPr>
          <w:cantSplit/>
        </w:trPr>
        <w:tc>
          <w:p w14:paraId="76572D6E">
            <w:pPr>
              <w:pStyle w:val="26"/>
              <w:spacing w:before="20" w:after="20" w:line="276" w:lineRule="auto"/>
            </w:pPr>
            <w:r>
              <w:rPr>
                <w:rFonts w:ascii="Times New Roman" w:hAnsi="Times New Roman" w:eastAsia="宋体"/>
                <w:sz w:val="20"/>
              </w:rPr>
              <w:t>MSFT</w:t>
            </w:r>
          </w:p>
        </w:tc>
        <w:tc>
          <w:p w14:paraId="5730A061">
            <w:pPr>
              <w:pStyle w:val="26"/>
              <w:spacing w:before="20" w:after="20" w:line="276" w:lineRule="auto"/>
            </w:pPr>
            <w:r>
              <w:rPr>
                <w:rFonts w:hint="eastAsia" w:ascii="Times New Roman" w:hAnsi="Times New Roman" w:eastAsia="宋体"/>
                <w:sz w:val="20"/>
              </w:rPr>
              <w:t>运营型（Azure）</w:t>
            </w:r>
          </w:p>
        </w:tc>
        <w:tc>
          <w:p w14:paraId="2E99B677">
            <w:pPr>
              <w:pStyle w:val="26"/>
              <w:spacing w:before="20" w:after="20" w:line="276" w:lineRule="auto"/>
            </w:pPr>
            <w:r>
              <w:rPr>
                <w:rFonts w:ascii="Times New Roman" w:hAnsi="Times New Roman" w:eastAsia="宋体"/>
                <w:sz w:val="20"/>
              </w:rPr>
              <w:t xml:space="preserve">FY2023: </w:t>
            </w:r>
            <w:r>
              <w:rPr>
                <w:rFonts w:ascii="Times New Roman" w:hAnsi="Times New Roman" w:eastAsia="宋体"/>
                <w:b/>
                <w:bCs/>
                <w:sz w:val="20"/>
              </w:rPr>
              <w:t>4.40</w:t>
            </w:r>
            <w:r>
              <w:rPr>
                <w:rFonts w:ascii="Times New Roman" w:hAnsi="Times New Roman" w:eastAsia="宋体"/>
                <w:sz w:val="20"/>
              </w:rPr>
              <w:t xml:space="preserve"> *</w:t>
            </w:r>
          </w:p>
        </w:tc>
        <w:tc>
          <w:p w14:paraId="40DC39C6">
            <w:pPr>
              <w:pStyle w:val="26"/>
              <w:spacing w:before="20" w:after="20" w:line="276" w:lineRule="auto"/>
            </w:pPr>
            <w:r>
              <w:rPr>
                <w:rFonts w:ascii="Times New Roman" w:hAnsi="Times New Roman" w:eastAsia="宋体"/>
                <w:sz w:val="20"/>
              </w:rPr>
              <w:t>FY2024: 4.20</w:t>
            </w:r>
          </w:p>
        </w:tc>
        <w:tc>
          <w:p w14:paraId="6940D863">
            <w:pPr>
              <w:pStyle w:val="26"/>
              <w:spacing w:before="20" w:after="20" w:line="276" w:lineRule="auto"/>
            </w:pPr>
            <w:r>
              <w:rPr>
                <w:rFonts w:ascii="Times New Roman" w:hAnsi="Times New Roman" w:eastAsia="宋体"/>
                <w:sz w:val="20"/>
              </w:rPr>
              <w:t xml:space="preserve">FY2025: </w:t>
            </w:r>
            <w:r>
              <w:rPr>
                <w:rFonts w:ascii="Times New Roman" w:hAnsi="Times New Roman" w:eastAsia="宋体"/>
                <w:b/>
                <w:bCs/>
                <w:sz w:val="20"/>
              </w:rPr>
              <w:t>4.40</w:t>
            </w:r>
          </w:p>
        </w:tc>
        <w:tc>
          <w:p w14:paraId="3E06587F">
            <w:pPr>
              <w:pStyle w:val="26"/>
              <w:spacing w:before="20" w:after="20" w:line="276" w:lineRule="auto"/>
            </w:pPr>
            <w:r>
              <w:rPr>
                <w:rFonts w:ascii="Times New Roman" w:hAnsi="Times New Roman" w:eastAsia="宋体"/>
                <w:sz w:val="20"/>
              </w:rPr>
              <w:t>4.40→4.20→4.40</w:t>
            </w:r>
          </w:p>
        </w:tc>
      </w:tr>
      <w:tr w14:paraId="0C0971CE">
        <w:tblPrEx>
          <w:tblCellMar>
            <w:top w:w="0" w:type="dxa"/>
            <w:left w:w="108" w:type="dxa"/>
            <w:bottom w:w="0" w:type="dxa"/>
            <w:right w:w="108" w:type="dxa"/>
          </w:tblCellMar>
        </w:tblPrEx>
        <w:trPr>
          <w:cantSplit/>
        </w:trPr>
        <w:tc>
          <w:p w14:paraId="0E566396">
            <w:pPr>
              <w:pStyle w:val="26"/>
              <w:spacing w:before="20" w:after="20" w:line="276" w:lineRule="auto"/>
            </w:pPr>
            <w:r>
              <w:rPr>
                <w:rFonts w:ascii="Times New Roman" w:hAnsi="Times New Roman" w:eastAsia="宋体"/>
                <w:sz w:val="20"/>
              </w:rPr>
              <w:t>GOOGL</w:t>
            </w:r>
          </w:p>
        </w:tc>
        <w:tc>
          <w:p w14:paraId="7043ED84">
            <w:pPr>
              <w:pStyle w:val="26"/>
              <w:spacing w:before="20" w:after="20" w:line="276" w:lineRule="auto"/>
            </w:pPr>
            <w:r>
              <w:rPr>
                <w:rFonts w:hint="eastAsia" w:ascii="Times New Roman" w:hAnsi="Times New Roman" w:eastAsia="宋体"/>
                <w:sz w:val="20"/>
              </w:rPr>
              <w:t>运营型（TPU+GPU）</w:t>
            </w:r>
          </w:p>
        </w:tc>
        <w:tc>
          <w:p w14:paraId="77EEDB3F">
            <w:pPr>
              <w:pStyle w:val="26"/>
              <w:spacing w:before="20" w:after="20" w:line="276" w:lineRule="auto"/>
            </w:pPr>
            <w:r>
              <w:rPr>
                <w:rFonts w:ascii="Times New Roman" w:hAnsi="Times New Roman" w:eastAsia="宋体"/>
                <w:sz w:val="20"/>
              </w:rPr>
              <w:t>2022: 4.20</w:t>
            </w:r>
          </w:p>
        </w:tc>
        <w:tc>
          <w:p w14:paraId="589E85DC">
            <w:pPr>
              <w:pStyle w:val="26"/>
              <w:spacing w:before="20" w:after="20" w:line="276" w:lineRule="auto"/>
            </w:pPr>
            <w:r>
              <w:rPr>
                <w:rFonts w:ascii="Times New Roman" w:hAnsi="Times New Roman" w:eastAsia="宋体"/>
                <w:sz w:val="20"/>
              </w:rPr>
              <w:t xml:space="preserve">2023: </w:t>
            </w:r>
            <w:r>
              <w:rPr>
                <w:rFonts w:ascii="Times New Roman" w:hAnsi="Times New Roman" w:eastAsia="宋体"/>
                <w:b/>
                <w:bCs/>
                <w:sz w:val="20"/>
              </w:rPr>
              <w:t>4.25</w:t>
            </w:r>
            <w:r>
              <w:rPr>
                <w:rFonts w:ascii="Times New Roman" w:hAnsi="Times New Roman" w:eastAsia="宋体"/>
                <w:sz w:val="20"/>
              </w:rPr>
              <w:t xml:space="preserve"> *</w:t>
            </w:r>
          </w:p>
        </w:tc>
        <w:tc>
          <w:p w14:paraId="72833E79">
            <w:pPr>
              <w:pStyle w:val="26"/>
              <w:spacing w:before="20" w:after="20" w:line="276" w:lineRule="auto"/>
            </w:pPr>
            <w:r>
              <w:rPr>
                <w:rFonts w:ascii="Times New Roman" w:hAnsi="Times New Roman" w:eastAsia="宋体"/>
                <w:sz w:val="20"/>
              </w:rPr>
              <w:t>2024: 4.20</w:t>
            </w:r>
          </w:p>
        </w:tc>
        <w:tc>
          <w:p w14:paraId="5CE31D33">
            <w:pPr>
              <w:pStyle w:val="26"/>
              <w:spacing w:before="20" w:after="20" w:line="276" w:lineRule="auto"/>
            </w:pPr>
            <w:r>
              <w:rPr>
                <w:rFonts w:ascii="Times New Roman" w:hAnsi="Times New Roman" w:eastAsia="宋体"/>
                <w:sz w:val="20"/>
              </w:rPr>
              <w:t>4.20→4.25→4.20</w:t>
            </w:r>
          </w:p>
        </w:tc>
      </w:tr>
      <w:tr w14:paraId="7AB376D3">
        <w:tblPrEx>
          <w:tblCellMar>
            <w:top w:w="0" w:type="dxa"/>
            <w:left w:w="108" w:type="dxa"/>
            <w:bottom w:w="0" w:type="dxa"/>
            <w:right w:w="108" w:type="dxa"/>
          </w:tblCellMar>
        </w:tblPrEx>
        <w:trPr>
          <w:cantSplit/>
        </w:trPr>
        <w:tc>
          <w:p w14:paraId="7AC0311C">
            <w:pPr>
              <w:pStyle w:val="26"/>
              <w:spacing w:before="20" w:after="20" w:line="276" w:lineRule="auto"/>
            </w:pPr>
            <w:r>
              <w:rPr>
                <w:rFonts w:ascii="Times New Roman" w:hAnsi="Times New Roman" w:eastAsia="宋体"/>
                <w:sz w:val="20"/>
              </w:rPr>
              <w:t>INTC</w:t>
            </w:r>
          </w:p>
        </w:tc>
        <w:tc>
          <w:p w14:paraId="166C7D5A">
            <w:pPr>
              <w:pStyle w:val="26"/>
              <w:spacing w:before="20" w:after="20" w:line="276" w:lineRule="auto"/>
            </w:pPr>
            <w:r>
              <w:rPr>
                <w:rFonts w:hint="eastAsia" w:ascii="Times New Roman" w:hAnsi="Times New Roman" w:eastAsia="宋体"/>
                <w:sz w:val="20"/>
              </w:rPr>
              <w:t>制造型（晶圆厂）</w:t>
            </w:r>
          </w:p>
        </w:tc>
        <w:tc>
          <w:p w14:paraId="6EE1C2F1">
            <w:pPr>
              <w:pStyle w:val="26"/>
              <w:spacing w:before="20" w:after="20" w:line="276" w:lineRule="auto"/>
            </w:pPr>
            <w:r>
              <w:rPr>
                <w:rFonts w:ascii="Times New Roman" w:hAnsi="Times New Roman" w:eastAsia="宋体"/>
                <w:sz w:val="20"/>
              </w:rPr>
              <w:t>FY2022: 3.90</w:t>
            </w:r>
          </w:p>
        </w:tc>
        <w:tc>
          <w:p w14:paraId="1CC88308">
            <w:pPr>
              <w:pStyle w:val="26"/>
              <w:spacing w:before="20" w:after="20" w:line="276" w:lineRule="auto"/>
            </w:pPr>
            <w:r>
              <w:rPr>
                <w:rFonts w:ascii="Times New Roman" w:hAnsi="Times New Roman" w:eastAsia="宋体"/>
                <w:sz w:val="20"/>
              </w:rPr>
              <w:t xml:space="preserve">FY2023: </w:t>
            </w:r>
            <w:r>
              <w:rPr>
                <w:rFonts w:ascii="Times New Roman" w:hAnsi="Times New Roman" w:eastAsia="宋体"/>
                <w:b/>
                <w:bCs/>
                <w:sz w:val="20"/>
              </w:rPr>
              <w:t>4.55</w:t>
            </w:r>
            <w:r>
              <w:rPr>
                <w:rFonts w:ascii="Times New Roman" w:hAnsi="Times New Roman" w:eastAsia="宋体"/>
                <w:sz w:val="20"/>
              </w:rPr>
              <w:t xml:space="preserve"> *</w:t>
            </w:r>
          </w:p>
        </w:tc>
        <w:tc>
          <w:p w14:paraId="01B77F28">
            <w:pPr>
              <w:pStyle w:val="26"/>
              <w:spacing w:before="20" w:after="20" w:line="276" w:lineRule="auto"/>
            </w:pPr>
            <w:r>
              <w:rPr>
                <w:rFonts w:ascii="Times New Roman" w:hAnsi="Times New Roman" w:eastAsia="宋体"/>
                <w:sz w:val="20"/>
              </w:rPr>
              <w:t xml:space="preserve">FY2024: </w:t>
            </w:r>
            <w:r>
              <w:rPr>
                <w:rFonts w:ascii="Times New Roman" w:hAnsi="Times New Roman" w:eastAsia="宋体"/>
                <w:b/>
                <w:bCs/>
                <w:sz w:val="20"/>
              </w:rPr>
              <w:t>4.55</w:t>
            </w:r>
          </w:p>
        </w:tc>
        <w:tc>
          <w:p w14:paraId="14BEBE95">
            <w:pPr>
              <w:pStyle w:val="26"/>
              <w:spacing w:before="20" w:after="20" w:line="276" w:lineRule="auto"/>
            </w:pPr>
            <w:r>
              <w:rPr>
                <w:rFonts w:hint="eastAsia" w:ascii="Times New Roman" w:hAnsi="Times New Roman" w:eastAsia="宋体"/>
                <w:sz w:val="20"/>
              </w:rPr>
              <w:t>3.90→4.55→4.55（高位固化）</w:t>
            </w:r>
          </w:p>
        </w:tc>
      </w:tr>
      <w:tr w14:paraId="4DE1092C">
        <w:tblPrEx>
          <w:tblCellMar>
            <w:top w:w="0" w:type="dxa"/>
            <w:left w:w="108" w:type="dxa"/>
            <w:bottom w:w="0" w:type="dxa"/>
            <w:right w:w="108" w:type="dxa"/>
          </w:tblCellMar>
        </w:tblPrEx>
        <w:trPr>
          <w:cantSplit/>
        </w:trPr>
        <w:tc>
          <w:p w14:paraId="1AC5E040">
            <w:pPr>
              <w:pStyle w:val="26"/>
              <w:spacing w:before="20" w:after="20" w:line="276" w:lineRule="auto"/>
            </w:pPr>
            <w:r>
              <w:rPr>
                <w:rFonts w:ascii="Times New Roman" w:hAnsi="Times New Roman" w:eastAsia="宋体"/>
                <w:sz w:val="20"/>
              </w:rPr>
              <w:t>MU</w:t>
            </w:r>
          </w:p>
        </w:tc>
        <w:tc>
          <w:p w14:paraId="1E055FAC">
            <w:pPr>
              <w:pStyle w:val="26"/>
              <w:spacing w:before="20" w:after="20" w:line="276" w:lineRule="auto"/>
            </w:pPr>
            <w:r>
              <w:rPr>
                <w:rFonts w:hint="eastAsia" w:ascii="Times New Roman" w:hAnsi="Times New Roman" w:eastAsia="宋体"/>
                <w:sz w:val="20"/>
              </w:rPr>
              <w:t>制造型（存储/HBM）</w:t>
            </w:r>
          </w:p>
        </w:tc>
        <w:tc>
          <w:p w14:paraId="7DFAD599">
            <w:pPr>
              <w:pStyle w:val="26"/>
              <w:spacing w:before="20" w:after="20" w:line="276" w:lineRule="auto"/>
            </w:pPr>
            <w:r>
              <w:rPr>
                <w:rFonts w:ascii="Times New Roman" w:hAnsi="Times New Roman" w:eastAsia="宋体"/>
                <w:sz w:val="20"/>
              </w:rPr>
              <w:t>FY2022: 4.00</w:t>
            </w:r>
          </w:p>
        </w:tc>
        <w:tc>
          <w:p w14:paraId="5135E3F0">
            <w:pPr>
              <w:pStyle w:val="26"/>
              <w:spacing w:before="20" w:after="20" w:line="276" w:lineRule="auto"/>
            </w:pPr>
            <w:r>
              <w:rPr>
                <w:rFonts w:ascii="Times New Roman" w:hAnsi="Times New Roman" w:eastAsia="宋体"/>
                <w:sz w:val="20"/>
              </w:rPr>
              <w:t xml:space="preserve">FY2023: </w:t>
            </w:r>
            <w:r>
              <w:rPr>
                <w:rFonts w:ascii="Times New Roman" w:hAnsi="Times New Roman" w:eastAsia="宋体"/>
                <w:b/>
                <w:bCs/>
                <w:sz w:val="20"/>
              </w:rPr>
              <w:t>4.20</w:t>
            </w:r>
          </w:p>
        </w:tc>
        <w:tc>
          <w:p w14:paraId="1DC21946">
            <w:pPr>
              <w:pStyle w:val="26"/>
              <w:spacing w:before="20" w:after="20" w:line="276" w:lineRule="auto"/>
            </w:pPr>
            <w:r>
              <w:rPr>
                <w:rFonts w:ascii="Times New Roman" w:hAnsi="Times New Roman" w:eastAsia="宋体"/>
                <w:sz w:val="20"/>
              </w:rPr>
              <w:t>FY2024: 4.00</w:t>
            </w:r>
          </w:p>
        </w:tc>
        <w:tc>
          <w:p w14:paraId="5E11B19D">
            <w:pPr>
              <w:pStyle w:val="26"/>
              <w:spacing w:before="20" w:after="20" w:line="276" w:lineRule="auto"/>
            </w:pPr>
            <w:r>
              <w:rPr>
                <w:rFonts w:ascii="Times New Roman" w:hAnsi="Times New Roman" w:eastAsia="宋体"/>
                <w:sz w:val="20"/>
              </w:rPr>
              <w:t>4.00→4.20→4.00</w:t>
            </w:r>
          </w:p>
        </w:tc>
      </w:tr>
      <w:tr w14:paraId="02FEF62C">
        <w:tblPrEx>
          <w:tblCellMar>
            <w:top w:w="0" w:type="dxa"/>
            <w:left w:w="108" w:type="dxa"/>
            <w:bottom w:w="0" w:type="dxa"/>
            <w:right w:w="108" w:type="dxa"/>
          </w:tblCellMar>
        </w:tblPrEx>
        <w:trPr>
          <w:cantSplit/>
        </w:trPr>
        <w:tc>
          <w:p w14:paraId="7B846680">
            <w:pPr>
              <w:pStyle w:val="26"/>
              <w:spacing w:before="20" w:after="20" w:line="276" w:lineRule="auto"/>
            </w:pPr>
            <w:r>
              <w:rPr>
                <w:rFonts w:ascii="Times New Roman" w:hAnsi="Times New Roman" w:eastAsia="宋体"/>
                <w:sz w:val="20"/>
              </w:rPr>
              <w:t>ORCL</w:t>
            </w:r>
          </w:p>
        </w:tc>
        <w:tc>
          <w:p w14:paraId="3CE04D93">
            <w:pPr>
              <w:pStyle w:val="26"/>
              <w:spacing w:before="20" w:after="20" w:line="276" w:lineRule="auto"/>
            </w:pPr>
            <w:r>
              <w:rPr>
                <w:rFonts w:hint="eastAsia" w:ascii="Times New Roman" w:hAnsi="Times New Roman" w:eastAsia="宋体"/>
                <w:sz w:val="20"/>
              </w:rPr>
              <w:t>运营型（OCI）</w:t>
            </w:r>
          </w:p>
        </w:tc>
        <w:tc>
          <w:p w14:paraId="1E983635">
            <w:pPr>
              <w:pStyle w:val="26"/>
              <w:spacing w:before="20" w:after="20" w:line="276" w:lineRule="auto"/>
            </w:pPr>
            <w:r>
              <w:rPr>
                <w:rFonts w:ascii="Times New Roman" w:hAnsi="Times New Roman" w:eastAsia="宋体"/>
                <w:sz w:val="20"/>
              </w:rPr>
              <w:t>FY2023: 4.00 *</w:t>
            </w:r>
          </w:p>
        </w:tc>
        <w:tc>
          <w:p w14:paraId="3D48B5A9">
            <w:pPr>
              <w:pStyle w:val="26"/>
              <w:spacing w:before="20" w:after="20" w:line="276" w:lineRule="auto"/>
            </w:pPr>
            <w:r>
              <w:rPr>
                <w:rFonts w:ascii="Times New Roman" w:hAnsi="Times New Roman" w:eastAsia="宋体"/>
                <w:sz w:val="20"/>
              </w:rPr>
              <w:t>FY2024: 3.60</w:t>
            </w:r>
          </w:p>
        </w:tc>
        <w:tc>
          <w:p w14:paraId="0FEDB5EF">
            <w:pPr>
              <w:pStyle w:val="26"/>
              <w:spacing w:before="20" w:after="20" w:line="276" w:lineRule="auto"/>
            </w:pPr>
            <w:r>
              <w:rPr>
                <w:rFonts w:ascii="Times New Roman" w:hAnsi="Times New Roman" w:eastAsia="宋体"/>
                <w:sz w:val="20"/>
              </w:rPr>
              <w:t xml:space="preserve">FY2025: </w:t>
            </w:r>
            <w:r>
              <w:rPr>
                <w:rFonts w:ascii="Times New Roman" w:hAnsi="Times New Roman" w:eastAsia="宋体"/>
                <w:b/>
                <w:bCs/>
                <w:sz w:val="20"/>
              </w:rPr>
              <w:t>4.45</w:t>
            </w:r>
            <w:r>
              <w:rPr>
                <w:rFonts w:ascii="Times New Roman" w:hAnsi="Times New Roman" w:eastAsia="宋体"/>
                <w:sz w:val="20"/>
              </w:rPr>
              <w:t xml:space="preserve"> *</w:t>
            </w:r>
          </w:p>
        </w:tc>
        <w:tc>
          <w:p w14:paraId="41EAE936">
            <w:pPr>
              <w:pStyle w:val="26"/>
              <w:spacing w:before="20" w:after="20" w:line="276" w:lineRule="auto"/>
            </w:pPr>
            <w:r>
              <w:rPr>
                <w:rFonts w:hint="eastAsia" w:ascii="Times New Roman" w:hAnsi="Times New Roman" w:eastAsia="宋体"/>
                <w:sz w:val="20"/>
              </w:rPr>
              <w:t>4.00→3.60→4.45（两跳）</w:t>
            </w:r>
          </w:p>
        </w:tc>
      </w:tr>
      <w:tr w14:paraId="2D539E3C">
        <w:tblPrEx>
          <w:tblCellMar>
            <w:top w:w="0" w:type="dxa"/>
            <w:left w:w="108" w:type="dxa"/>
            <w:bottom w:w="0" w:type="dxa"/>
            <w:right w:w="108" w:type="dxa"/>
          </w:tblCellMar>
        </w:tblPrEx>
        <w:trPr>
          <w:cantSplit/>
        </w:trPr>
        <w:tc>
          <w:p w14:paraId="371826C8">
            <w:pPr>
              <w:pStyle w:val="26"/>
              <w:spacing w:before="20" w:after="20" w:line="276" w:lineRule="auto"/>
            </w:pPr>
            <w:r>
              <w:rPr>
                <w:rFonts w:ascii="Times New Roman" w:hAnsi="Times New Roman" w:eastAsia="宋体"/>
                <w:sz w:val="20"/>
              </w:rPr>
              <w:t>TSLA</w:t>
            </w:r>
          </w:p>
        </w:tc>
        <w:tc>
          <w:p w14:paraId="10162701">
            <w:pPr>
              <w:pStyle w:val="26"/>
              <w:spacing w:before="20" w:after="20" w:line="276" w:lineRule="auto"/>
            </w:pPr>
            <w:r>
              <w:rPr>
                <w:rFonts w:hint="eastAsia" w:ascii="Times New Roman" w:hAnsi="Times New Roman" w:eastAsia="宋体"/>
                <w:sz w:val="20"/>
              </w:rPr>
              <w:t>制造+AI</w:t>
            </w:r>
            <w:r>
              <w:rPr>
                <w:rFonts w:ascii="Times New Roman" w:hAnsi="Times New Roman" w:eastAsia="宋体"/>
                <w:sz w:val="20"/>
              </w:rPr>
              <w:t xml:space="preserve"> </w:t>
            </w:r>
            <w:r>
              <w:rPr>
                <w:rFonts w:hint="eastAsia" w:ascii="Times New Roman" w:hAnsi="Times New Roman" w:eastAsia="宋体"/>
                <w:sz w:val="20"/>
              </w:rPr>
              <w:t>混合型</w:t>
            </w:r>
          </w:p>
        </w:tc>
        <w:tc>
          <w:p w14:paraId="1F8BD10A">
            <w:pPr>
              <w:pStyle w:val="26"/>
              <w:spacing w:before="20" w:after="20" w:line="276" w:lineRule="auto"/>
            </w:pPr>
            <w:r>
              <w:rPr>
                <w:rFonts w:ascii="Times New Roman" w:hAnsi="Times New Roman" w:eastAsia="宋体"/>
                <w:sz w:val="20"/>
              </w:rPr>
              <w:t>2022: 3.20</w:t>
            </w:r>
          </w:p>
        </w:tc>
        <w:tc>
          <w:p w14:paraId="639B5A45">
            <w:pPr>
              <w:pStyle w:val="26"/>
              <w:spacing w:before="20" w:after="20" w:line="276" w:lineRule="auto"/>
            </w:pPr>
            <w:r>
              <w:rPr>
                <w:rFonts w:ascii="Times New Roman" w:hAnsi="Times New Roman" w:eastAsia="宋体"/>
                <w:sz w:val="20"/>
              </w:rPr>
              <w:t>2023: 3.20</w:t>
            </w:r>
          </w:p>
        </w:tc>
        <w:tc>
          <w:p w14:paraId="51FD1BF1">
            <w:pPr>
              <w:pStyle w:val="26"/>
              <w:spacing w:before="20" w:after="20" w:line="276" w:lineRule="auto"/>
            </w:pPr>
            <w:r>
              <w:rPr>
                <w:rFonts w:ascii="Times New Roman" w:hAnsi="Times New Roman" w:eastAsia="宋体"/>
                <w:sz w:val="20"/>
              </w:rPr>
              <w:t xml:space="preserve">2024: </w:t>
            </w:r>
            <w:r>
              <w:rPr>
                <w:rFonts w:ascii="Times New Roman" w:hAnsi="Times New Roman" w:eastAsia="宋体"/>
                <w:b/>
                <w:bCs/>
                <w:sz w:val="20"/>
              </w:rPr>
              <w:t>3.75</w:t>
            </w:r>
          </w:p>
        </w:tc>
        <w:tc>
          <w:p w14:paraId="7EEF5D0B">
            <w:pPr>
              <w:pStyle w:val="26"/>
              <w:spacing w:before="20" w:after="20" w:line="276" w:lineRule="auto"/>
            </w:pPr>
            <w:r>
              <w:rPr>
                <w:rFonts w:ascii="Times New Roman" w:hAnsi="Times New Roman" w:eastAsia="宋体"/>
                <w:sz w:val="20"/>
              </w:rPr>
              <w:t>3.20→3.20→3.75</w:t>
            </w:r>
          </w:p>
        </w:tc>
      </w:tr>
      <w:tr w14:paraId="6D165781">
        <w:tblPrEx>
          <w:tblCellMar>
            <w:top w:w="0" w:type="dxa"/>
            <w:left w:w="108" w:type="dxa"/>
            <w:bottom w:w="0" w:type="dxa"/>
            <w:right w:w="108" w:type="dxa"/>
          </w:tblCellMar>
        </w:tblPrEx>
        <w:trPr>
          <w:cantSplit/>
        </w:trPr>
        <w:tc>
          <w:p w14:paraId="4E9C3E2E">
            <w:pPr>
              <w:pStyle w:val="26"/>
              <w:spacing w:before="20" w:after="20" w:line="276" w:lineRule="auto"/>
            </w:pPr>
            <w:r>
              <w:rPr>
                <w:rFonts w:ascii="Times New Roman" w:hAnsi="Times New Roman" w:eastAsia="宋体"/>
                <w:sz w:val="20"/>
              </w:rPr>
              <w:t>NVDA</w:t>
            </w:r>
          </w:p>
        </w:tc>
        <w:tc>
          <w:p w14:paraId="19BB63E5">
            <w:pPr>
              <w:pStyle w:val="26"/>
              <w:spacing w:before="20" w:after="20" w:line="276" w:lineRule="auto"/>
            </w:pPr>
            <w:r>
              <w:rPr>
                <w:rFonts w:hint="eastAsia" w:ascii="Times New Roman" w:hAnsi="Times New Roman" w:eastAsia="宋体"/>
                <w:sz w:val="20"/>
              </w:rPr>
              <w:t>设计型（GPU）</w:t>
            </w:r>
          </w:p>
        </w:tc>
        <w:tc>
          <w:p w14:paraId="5CDF943E">
            <w:pPr>
              <w:pStyle w:val="26"/>
              <w:spacing w:before="20" w:after="20" w:line="276" w:lineRule="auto"/>
            </w:pPr>
            <w:r>
              <w:rPr>
                <w:rFonts w:ascii="Times New Roman" w:hAnsi="Times New Roman" w:eastAsia="宋体"/>
                <w:sz w:val="20"/>
              </w:rPr>
              <w:t>FY2023: 2.85</w:t>
            </w:r>
          </w:p>
        </w:tc>
        <w:tc>
          <w:p w14:paraId="679EA249">
            <w:pPr>
              <w:pStyle w:val="26"/>
              <w:spacing w:before="20" w:after="20" w:line="276" w:lineRule="auto"/>
            </w:pPr>
            <w:r>
              <w:rPr>
                <w:rFonts w:ascii="Times New Roman" w:hAnsi="Times New Roman" w:eastAsia="宋体"/>
                <w:sz w:val="20"/>
              </w:rPr>
              <w:t>FY2024: 3.10 *</w:t>
            </w:r>
          </w:p>
        </w:tc>
        <w:tc>
          <w:p w14:paraId="3F3B992F">
            <w:pPr>
              <w:pStyle w:val="26"/>
              <w:spacing w:before="20" w:after="20" w:line="276" w:lineRule="auto"/>
            </w:pPr>
            <w:r>
              <w:rPr>
                <w:rFonts w:ascii="Times New Roman" w:hAnsi="Times New Roman" w:eastAsia="宋体"/>
                <w:sz w:val="20"/>
              </w:rPr>
              <w:t xml:space="preserve">FY2025: </w:t>
            </w:r>
            <w:r>
              <w:rPr>
                <w:rFonts w:ascii="Times New Roman" w:hAnsi="Times New Roman" w:eastAsia="宋体"/>
                <w:b/>
                <w:bCs/>
                <w:sz w:val="20"/>
              </w:rPr>
              <w:t>3.45</w:t>
            </w:r>
          </w:p>
        </w:tc>
        <w:tc>
          <w:p w14:paraId="20DAA51C">
            <w:pPr>
              <w:pStyle w:val="26"/>
              <w:spacing w:before="20" w:after="20" w:line="276" w:lineRule="auto"/>
            </w:pPr>
            <w:r>
              <w:rPr>
                <w:rFonts w:hint="eastAsia" w:ascii="Times New Roman" w:hAnsi="Times New Roman" w:eastAsia="宋体"/>
                <w:sz w:val="20"/>
              </w:rPr>
              <w:t>2.85→3.10→3.45（连升）</w:t>
            </w:r>
          </w:p>
        </w:tc>
      </w:tr>
      <w:tr w14:paraId="4F415BEE">
        <w:tblPrEx>
          <w:tblCellMar>
            <w:top w:w="0" w:type="dxa"/>
            <w:left w:w="108" w:type="dxa"/>
            <w:bottom w:w="0" w:type="dxa"/>
            <w:right w:w="108" w:type="dxa"/>
          </w:tblCellMar>
        </w:tblPrEx>
        <w:trPr>
          <w:cantSplit/>
        </w:trPr>
        <w:tc>
          <w:p w14:paraId="6DCB81B8">
            <w:pPr>
              <w:pStyle w:val="26"/>
              <w:spacing w:before="20" w:after="20" w:line="276" w:lineRule="auto"/>
            </w:pPr>
            <w:r>
              <w:rPr>
                <w:rFonts w:ascii="Times New Roman" w:hAnsi="Times New Roman" w:eastAsia="宋体"/>
                <w:sz w:val="20"/>
              </w:rPr>
              <w:t>AMD</w:t>
            </w:r>
          </w:p>
        </w:tc>
        <w:tc>
          <w:p w14:paraId="7B690DCA">
            <w:pPr>
              <w:pStyle w:val="26"/>
              <w:spacing w:before="20" w:after="20" w:line="276" w:lineRule="auto"/>
            </w:pPr>
            <w:r>
              <w:rPr>
                <w:rFonts w:hint="eastAsia" w:ascii="Times New Roman" w:hAnsi="Times New Roman" w:eastAsia="宋体"/>
                <w:sz w:val="20"/>
              </w:rPr>
              <w:t>设计型（追赶者）</w:t>
            </w:r>
          </w:p>
        </w:tc>
        <w:tc>
          <w:p w14:paraId="48C56BFB">
            <w:pPr>
              <w:pStyle w:val="26"/>
              <w:spacing w:before="20" w:after="20" w:line="276" w:lineRule="auto"/>
            </w:pPr>
            <w:r>
              <w:rPr>
                <w:rFonts w:ascii="Times New Roman" w:hAnsi="Times New Roman" w:eastAsia="宋体"/>
                <w:sz w:val="20"/>
              </w:rPr>
              <w:t>2022: 2.40</w:t>
            </w:r>
          </w:p>
        </w:tc>
        <w:tc>
          <w:p w14:paraId="69DDDEEE">
            <w:pPr>
              <w:pStyle w:val="26"/>
              <w:spacing w:before="20" w:after="20" w:line="276" w:lineRule="auto"/>
            </w:pPr>
            <w:r>
              <w:rPr>
                <w:rFonts w:ascii="Times New Roman" w:hAnsi="Times New Roman" w:eastAsia="宋体"/>
                <w:sz w:val="20"/>
              </w:rPr>
              <w:t>2023: 2.40</w:t>
            </w:r>
          </w:p>
        </w:tc>
        <w:tc>
          <w:p w14:paraId="3D5E4AA3">
            <w:pPr>
              <w:pStyle w:val="26"/>
              <w:spacing w:before="20" w:after="20" w:line="276" w:lineRule="auto"/>
            </w:pPr>
            <w:r>
              <w:rPr>
                <w:rFonts w:ascii="Times New Roman" w:hAnsi="Times New Roman" w:eastAsia="宋体"/>
                <w:sz w:val="20"/>
              </w:rPr>
              <w:t xml:space="preserve">2024: </w:t>
            </w:r>
            <w:r>
              <w:rPr>
                <w:rFonts w:ascii="Times New Roman" w:hAnsi="Times New Roman" w:eastAsia="宋体"/>
                <w:b/>
                <w:bCs/>
                <w:sz w:val="20"/>
              </w:rPr>
              <w:t>2.60</w:t>
            </w:r>
          </w:p>
        </w:tc>
        <w:tc>
          <w:p w14:paraId="09A3FE85">
            <w:pPr>
              <w:pStyle w:val="26"/>
              <w:spacing w:before="20" w:after="20" w:line="276" w:lineRule="auto"/>
            </w:pPr>
            <w:r>
              <w:rPr>
                <w:rFonts w:ascii="Times New Roman" w:hAnsi="Times New Roman" w:eastAsia="宋体"/>
                <w:sz w:val="20"/>
              </w:rPr>
              <w:t>2.40→2.40→2.60</w:t>
            </w:r>
          </w:p>
        </w:tc>
      </w:tr>
      <w:tr w14:paraId="7C1EB65A">
        <w:tblPrEx>
          <w:tblCellMar>
            <w:top w:w="0" w:type="dxa"/>
            <w:left w:w="108" w:type="dxa"/>
            <w:bottom w:w="0" w:type="dxa"/>
            <w:right w:w="108" w:type="dxa"/>
          </w:tblCellMar>
        </w:tblPrEx>
        <w:trPr>
          <w:cantSplit/>
        </w:trPr>
        <w:tc>
          <w:p w14:paraId="685A4124">
            <w:pPr>
              <w:pStyle w:val="26"/>
              <w:spacing w:before="20" w:after="20" w:line="276" w:lineRule="auto"/>
            </w:pPr>
            <w:r>
              <w:rPr>
                <w:rFonts w:ascii="Times New Roman" w:hAnsi="Times New Roman" w:eastAsia="宋体"/>
                <w:sz w:val="20"/>
              </w:rPr>
              <w:t>CRM</w:t>
            </w:r>
          </w:p>
        </w:tc>
        <w:tc>
          <w:p w14:paraId="74AD7BE7">
            <w:pPr>
              <w:pStyle w:val="26"/>
              <w:spacing w:before="20" w:after="20" w:line="276" w:lineRule="auto"/>
            </w:pPr>
            <w:r>
              <w:rPr>
                <w:rFonts w:hint="eastAsia" w:ascii="Times New Roman" w:hAnsi="Times New Roman" w:eastAsia="宋体"/>
                <w:sz w:val="20"/>
              </w:rPr>
              <w:t>软件型（SaaS）</w:t>
            </w:r>
          </w:p>
        </w:tc>
        <w:tc>
          <w:p w14:paraId="4D302687">
            <w:pPr>
              <w:pStyle w:val="26"/>
              <w:spacing w:before="20" w:after="20" w:line="276" w:lineRule="auto"/>
            </w:pPr>
            <w:r>
              <w:rPr>
                <w:rFonts w:ascii="Times New Roman" w:hAnsi="Times New Roman" w:eastAsia="宋体"/>
                <w:sz w:val="20"/>
              </w:rPr>
              <w:t>FY2023: 2.10</w:t>
            </w:r>
          </w:p>
        </w:tc>
        <w:tc>
          <w:p w14:paraId="6D6AE980">
            <w:pPr>
              <w:pStyle w:val="26"/>
              <w:spacing w:before="20" w:after="20" w:line="276" w:lineRule="auto"/>
            </w:pPr>
            <w:r>
              <w:rPr>
                <w:rFonts w:ascii="Times New Roman" w:hAnsi="Times New Roman" w:eastAsia="宋体"/>
                <w:sz w:val="20"/>
              </w:rPr>
              <w:t>FY2024: 2.10</w:t>
            </w:r>
          </w:p>
        </w:tc>
        <w:tc>
          <w:p w14:paraId="12DE75A2">
            <w:pPr>
              <w:pStyle w:val="26"/>
              <w:spacing w:before="20" w:after="20" w:line="276" w:lineRule="auto"/>
            </w:pPr>
            <w:r>
              <w:rPr>
                <w:rFonts w:ascii="Times New Roman" w:hAnsi="Times New Roman" w:eastAsia="宋体"/>
                <w:sz w:val="20"/>
              </w:rPr>
              <w:t>FY2025: 2.10</w:t>
            </w:r>
          </w:p>
        </w:tc>
        <w:tc>
          <w:p w14:paraId="46A3558D">
            <w:pPr>
              <w:pStyle w:val="26"/>
              <w:spacing w:before="20" w:after="20" w:line="276" w:lineRule="auto"/>
            </w:pPr>
            <w:r>
              <w:rPr>
                <w:rFonts w:hint="eastAsia" w:ascii="Times New Roman" w:hAnsi="Times New Roman" w:eastAsia="宋体"/>
                <w:sz w:val="20"/>
              </w:rPr>
              <w:t>2.10→2.10→2.10（零变化）</w:t>
            </w:r>
          </w:p>
        </w:tc>
      </w:tr>
    </w:tbl>
    <w:p w14:paraId="4849673C">
      <w:pPr>
        <w:pStyle w:val="3"/>
        <w:spacing w:before="40" w:after="120" w:line="312" w:lineRule="auto"/>
        <w:ind w:firstLine="0"/>
        <w:jc w:val="left"/>
      </w:pPr>
      <w:r>
        <w:rPr>
          <w:rFonts w:hint="eastAsia" w:ascii="Times New Roman" w:hAnsi="Times New Roman" w:eastAsia="宋体"/>
          <w:i w:val="0"/>
          <w:sz w:val="21"/>
        </w:rPr>
        <w:t>注：高风险</w:t>
      </w:r>
      <w:r>
        <w:rPr>
          <w:rFonts w:ascii="Times New Roman" w:hAnsi="Times New Roman" w:eastAsia="宋体"/>
          <w:i w:val="0"/>
          <w:sz w:val="21"/>
        </w:rPr>
        <w:t xml:space="preserve"> = </w:t>
      </w:r>
      <w:r>
        <w:rPr>
          <w:rFonts w:hint="eastAsia" w:ascii="Times New Roman" w:hAnsi="Times New Roman" w:eastAsia="宋体"/>
          <w:i w:val="0"/>
          <w:sz w:val="21"/>
        </w:rPr>
        <w:t>综合评分</w:t>
      </w:r>
      <w:r>
        <w:rPr>
          <w:rFonts w:ascii="Times New Roman" w:hAnsi="Times New Roman" w:eastAsia="宋体"/>
          <w:i w:val="0"/>
          <w:sz w:val="21"/>
        </w:rPr>
        <w:t xml:space="preserve"> </w:t>
      </w:r>
      <w:r>
        <w:rPr>
          <w:rFonts w:hint="eastAsia" w:ascii="Times New Roman" w:hAnsi="Times New Roman" w:eastAsia="宋体"/>
          <w:i w:val="0"/>
          <w:sz w:val="21"/>
        </w:rPr>
        <w:t>≥4.0；加粗为该公司三年中的最高分；“*”表示当年发生折旧年限延长变更（即</w:t>
      </w:r>
      <w:r>
        <w:rPr>
          <w:rFonts w:ascii="Times New Roman" w:hAnsi="Times New Roman" w:eastAsia="宋体"/>
          <w:i w:val="0"/>
          <w:sz w:val="21"/>
        </w:rPr>
        <w:t xml:space="preserve"> </w:t>
      </w:r>
      <w:r>
        <w:rPr>
          <w:rFonts w:hint="eastAsia" w:ascii="Times New Roman" w:hAnsi="Times New Roman" w:eastAsia="宋体"/>
          <w:i w:val="0"/>
          <w:sz w:val="21"/>
        </w:rPr>
        <w:t>life_extended_current_period=1）。</w:t>
      </w:r>
    </w:p>
    <w:p w14:paraId="7C13C1C8">
      <w:pPr>
        <w:pStyle w:val="3"/>
        <w:spacing w:before="40" w:after="40" w:line="360" w:lineRule="auto"/>
        <w:ind w:firstLine="480"/>
      </w:pPr>
      <w:r>
        <w:rPr>
          <w:rFonts w:hint="eastAsia" w:ascii="Times New Roman" w:hAnsi="Times New Roman" w:eastAsia="宋体"/>
          <w:sz w:val="24"/>
        </w:rPr>
        <w:t>面板总览给出三个此前不可见的事实：</w:t>
      </w:r>
    </w:p>
    <w:p w14:paraId="226658F0">
      <w:pPr>
        <w:pStyle w:val="3"/>
        <w:spacing w:before="40" w:after="40" w:line="360" w:lineRule="auto"/>
        <w:ind w:firstLine="480"/>
      </w:pPr>
      <w:r>
        <w:rPr>
          <w:rFonts w:hint="eastAsia" w:ascii="Times New Roman" w:hAnsi="Times New Roman" w:eastAsia="宋体"/>
          <w:sz w:val="24"/>
        </w:rPr>
        <w:t>其一，“变更年评分跳升”模式与两家“连续延长者”。</w:t>
      </w:r>
      <w:r>
        <w:rPr>
          <w:rFonts w:ascii="Times New Roman" w:hAnsi="Times New Roman" w:eastAsia="宋体"/>
          <w:sz w:val="24"/>
        </w:rPr>
        <w:t xml:space="preserve"> 30 </w:t>
      </w:r>
      <w:r>
        <w:rPr>
          <w:rFonts w:hint="eastAsia" w:ascii="Times New Roman" w:hAnsi="Times New Roman" w:eastAsia="宋体"/>
          <w:sz w:val="24"/>
        </w:rPr>
        <w:t>个观测中</w:t>
      </w:r>
      <w:r>
        <w:rPr>
          <w:rFonts w:ascii="Times New Roman" w:hAnsi="Times New Roman" w:eastAsia="宋体"/>
          <w:sz w:val="24"/>
        </w:rPr>
        <w:t xml:space="preserve"> life_extended_current_period=1 </w:t>
      </w:r>
      <w:r>
        <w:rPr>
          <w:rFonts w:hint="eastAsia" w:ascii="Times New Roman" w:hAnsi="Times New Roman" w:eastAsia="宋体"/>
          <w:sz w:val="24"/>
        </w:rPr>
        <w:t>的变更观测共</w:t>
      </w:r>
      <w:r>
        <w:rPr>
          <w:rFonts w:ascii="Times New Roman" w:hAnsi="Times New Roman" w:eastAsia="宋体"/>
          <w:sz w:val="24"/>
        </w:rPr>
        <w:t xml:space="preserve"> 8 </w:t>
      </w:r>
      <w:r>
        <w:rPr>
          <w:rFonts w:hint="eastAsia" w:ascii="Times New Roman" w:hAnsi="Times New Roman" w:eastAsia="宋体"/>
          <w:sz w:val="24"/>
        </w:rPr>
        <w:t>个（META</w:t>
      </w:r>
      <w:r>
        <w:rPr>
          <w:rFonts w:ascii="Times New Roman" w:hAnsi="Times New Roman" w:eastAsia="宋体"/>
          <w:sz w:val="24"/>
        </w:rPr>
        <w:t xml:space="preserve"> 2022/2024、MSFT FY2023、GOOGL 2023、INTC FY2023、NVDA FY2024、ORCL </w:t>
      </w:r>
      <w:r>
        <w:rPr>
          <w:rFonts w:hint="eastAsia" w:ascii="Times New Roman" w:hAnsi="Times New Roman" w:eastAsia="宋体"/>
          <w:sz w:val="24"/>
        </w:rPr>
        <w:t>FY2023/FY2025）。ORCL（4.00→3.60→4.45）与</w:t>
      </w:r>
      <w:r>
        <w:rPr>
          <w:rFonts w:ascii="Times New Roman" w:hAnsi="Times New Roman" w:eastAsia="宋体"/>
          <w:sz w:val="24"/>
        </w:rPr>
        <w:t xml:space="preserve"> </w:t>
      </w:r>
      <w:r>
        <w:rPr>
          <w:rFonts w:hint="eastAsia" w:ascii="Times New Roman" w:hAnsi="Times New Roman" w:eastAsia="宋体"/>
          <w:sz w:val="24"/>
        </w:rPr>
        <w:t>META（4.60→4.00→4.60）在三年面板内两次触及变更年，每次变更年评分均跳升，构成“连续延长者”（serial</w:t>
      </w:r>
      <w:r>
        <w:rPr>
          <w:rFonts w:ascii="Times New Roman" w:hAnsi="Times New Roman" w:eastAsia="宋体"/>
          <w:sz w:val="24"/>
        </w:rPr>
        <w:t xml:space="preserve"> </w:t>
      </w:r>
      <w:r>
        <w:rPr>
          <w:rFonts w:hint="eastAsia" w:ascii="Times New Roman" w:hAnsi="Times New Roman" w:eastAsia="宋体"/>
          <w:sz w:val="24"/>
        </w:rPr>
        <w:t>extenders）——这一群体画像与</w:t>
      </w:r>
      <w:r>
        <w:rPr>
          <w:rFonts w:ascii="Times New Roman" w:hAnsi="Times New Roman" w:eastAsia="宋体"/>
          <w:sz w:val="24"/>
        </w:rPr>
        <w:t xml:space="preserve"> </w:t>
      </w:r>
      <w:r>
        <w:rPr>
          <w:rFonts w:hint="eastAsia" w:ascii="Times New Roman" w:hAnsi="Times New Roman" w:eastAsia="宋体"/>
          <w:sz w:val="24"/>
        </w:rPr>
        <w:t>Burry“到</w:t>
      </w:r>
      <w:r>
        <w:rPr>
          <w:rFonts w:ascii="Times New Roman" w:hAnsi="Times New Roman" w:eastAsia="宋体"/>
          <w:sz w:val="24"/>
        </w:rPr>
        <w:t xml:space="preserve"> 2028 </w:t>
      </w:r>
      <w:r>
        <w:rPr>
          <w:rFonts w:hint="eastAsia" w:ascii="Times New Roman" w:hAnsi="Times New Roman" w:eastAsia="宋体"/>
          <w:sz w:val="24"/>
        </w:rPr>
        <w:t>年</w:t>
      </w:r>
      <w:r>
        <w:rPr>
          <w:rFonts w:ascii="Times New Roman" w:hAnsi="Times New Roman" w:eastAsia="宋体"/>
          <w:sz w:val="24"/>
        </w:rPr>
        <w:t xml:space="preserve"> Oracle </w:t>
      </w:r>
      <w:r>
        <w:rPr>
          <w:rFonts w:hint="eastAsia" w:ascii="Times New Roman" w:hAnsi="Times New Roman" w:eastAsia="宋体"/>
          <w:sz w:val="24"/>
        </w:rPr>
        <w:t>利润或夸大</w:t>
      </w:r>
      <w:r>
        <w:rPr>
          <w:rFonts w:ascii="Times New Roman" w:hAnsi="Times New Roman" w:eastAsia="宋体"/>
          <w:sz w:val="24"/>
        </w:rPr>
        <w:t xml:space="preserve"> 26.9%、Meta </w:t>
      </w:r>
      <w:r>
        <w:rPr>
          <w:rFonts w:hint="eastAsia" w:ascii="Times New Roman" w:hAnsi="Times New Roman" w:eastAsia="宋体"/>
          <w:sz w:val="24"/>
        </w:rPr>
        <w:t>或夸大</w:t>
      </w:r>
      <w:r>
        <w:rPr>
          <w:rFonts w:ascii="Times New Roman" w:hAnsi="Times New Roman" w:eastAsia="宋体"/>
          <w:sz w:val="24"/>
        </w:rPr>
        <w:t xml:space="preserve"> </w:t>
      </w:r>
      <w:r>
        <w:rPr>
          <w:rFonts w:hint="eastAsia" w:ascii="Times New Roman" w:hAnsi="Times New Roman" w:eastAsia="宋体"/>
          <w:sz w:val="24"/>
        </w:rPr>
        <w:t>20.8%”的点名直接呼应。</w:t>
      </w:r>
    </w:p>
    <w:p w14:paraId="0E21922A">
      <w:pPr>
        <w:pStyle w:val="3"/>
        <w:spacing w:before="40" w:after="40" w:line="360" w:lineRule="auto"/>
        <w:ind w:firstLine="480"/>
      </w:pPr>
      <w:r>
        <w:rPr>
          <w:rFonts w:hint="eastAsia" w:ascii="Times New Roman" w:hAnsi="Times New Roman" w:eastAsia="宋体"/>
          <w:sz w:val="24"/>
        </w:rPr>
        <w:t>其二，变更年与非变更年的系统性评分差。</w:t>
      </w:r>
      <w:r>
        <w:rPr>
          <w:rFonts w:ascii="Times New Roman" w:hAnsi="Times New Roman" w:eastAsia="宋体"/>
          <w:sz w:val="24"/>
        </w:rPr>
        <w:t xml:space="preserve"> 8 </w:t>
      </w:r>
      <w:r>
        <w:rPr>
          <w:rFonts w:hint="eastAsia" w:ascii="Times New Roman" w:hAnsi="Times New Roman" w:eastAsia="宋体"/>
          <w:sz w:val="24"/>
        </w:rPr>
        <w:t>个变更年观测的评分均值为</w:t>
      </w:r>
      <w:r>
        <w:rPr>
          <w:rFonts w:ascii="Times New Roman" w:hAnsi="Times New Roman" w:eastAsia="宋体"/>
          <w:sz w:val="24"/>
        </w:rPr>
        <w:t xml:space="preserve"> </w:t>
      </w:r>
      <w:r>
        <w:rPr>
          <w:rFonts w:hint="eastAsia" w:ascii="Times New Roman" w:hAnsi="Times New Roman" w:eastAsia="宋体"/>
          <w:sz w:val="24"/>
        </w:rPr>
        <w:t>4.25，22</w:t>
      </w:r>
      <w:r>
        <w:rPr>
          <w:rFonts w:ascii="Times New Roman" w:hAnsi="Times New Roman" w:eastAsia="宋体"/>
          <w:sz w:val="24"/>
        </w:rPr>
        <w:t xml:space="preserve"> </w:t>
      </w:r>
      <w:r>
        <w:rPr>
          <w:rFonts w:hint="eastAsia" w:ascii="Times New Roman" w:hAnsi="Times New Roman" w:eastAsia="宋体"/>
          <w:sz w:val="24"/>
        </w:rPr>
        <w:t>个非变更年观测的均值为</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分——折旧年限延长事件与高风险评分在面板层面高度共现，为第五章</w:t>
      </w:r>
      <w:r>
        <w:rPr>
          <w:rFonts w:ascii="Times New Roman" w:hAnsi="Times New Roman" w:eastAsia="宋体"/>
          <w:sz w:val="24"/>
        </w:rPr>
        <w:t xml:space="preserve"> R4 </w:t>
      </w:r>
      <w:r>
        <w:rPr>
          <w:rFonts w:hint="eastAsia" w:ascii="Times New Roman" w:hAnsi="Times New Roman" w:eastAsia="宋体"/>
          <w:sz w:val="24"/>
        </w:rPr>
        <w:t>预警规则提供了面板级佐证。</w:t>
      </w:r>
    </w:p>
    <w:p w14:paraId="0B7D2014">
      <w:pPr>
        <w:pStyle w:val="3"/>
        <w:spacing w:before="40" w:after="40" w:line="360" w:lineRule="auto"/>
        <w:ind w:firstLine="480"/>
      </w:pPr>
      <w:r>
        <w:rPr>
          <w:rFonts w:hint="eastAsia" w:ascii="Times New Roman" w:hAnsi="Times New Roman" w:eastAsia="宋体"/>
          <w:sz w:val="24"/>
        </w:rPr>
        <w:t>其三，“无变更也升分”的对照案例。</w:t>
      </w:r>
      <w:r>
        <w:rPr>
          <w:rFonts w:ascii="Times New Roman" w:hAnsi="Times New Roman" w:eastAsia="宋体"/>
          <w:sz w:val="24"/>
        </w:rPr>
        <w:t xml:space="preserve"> NVDA </w:t>
      </w:r>
      <w:r>
        <w:rPr>
          <w:rFonts w:hint="eastAsia" w:ascii="Times New Roman" w:hAnsi="Times New Roman" w:eastAsia="宋体"/>
          <w:sz w:val="24"/>
        </w:rPr>
        <w:t>三年连升（2.85→3.10→3.45），其中</w:t>
      </w:r>
      <w:r>
        <w:rPr>
          <w:rFonts w:ascii="Times New Roman" w:hAnsi="Times New Roman" w:eastAsia="宋体"/>
          <w:sz w:val="24"/>
        </w:rPr>
        <w:t xml:space="preserve"> FY2025 </w:t>
      </w:r>
      <w:r>
        <w:rPr>
          <w:rFonts w:hint="eastAsia" w:ascii="Times New Roman" w:hAnsi="Times New Roman" w:eastAsia="宋体"/>
          <w:sz w:val="24"/>
        </w:rPr>
        <w:t>并无新的年限变更，评分仍随</w:t>
      </w:r>
      <w:r>
        <w:rPr>
          <w:rFonts w:ascii="Times New Roman" w:hAnsi="Times New Roman" w:eastAsia="宋体"/>
          <w:sz w:val="24"/>
        </w:rPr>
        <w:t xml:space="preserve"> CAPEX </w:t>
      </w:r>
      <w:r>
        <w:rPr>
          <w:rFonts w:hint="eastAsia" w:ascii="Times New Roman" w:hAnsi="Times New Roman" w:eastAsia="宋体"/>
          <w:sz w:val="24"/>
        </w:rPr>
        <w:t>扩张与存货压力上行</w:t>
      </w:r>
      <w:r>
        <w:rPr>
          <w:rFonts w:ascii="Times New Roman" w:hAnsi="Times New Roman" w:eastAsia="宋体"/>
          <w:sz w:val="24"/>
        </w:rPr>
        <w:t xml:space="preserve"> 0.35 </w:t>
      </w:r>
      <w:r>
        <w:rPr>
          <w:rFonts w:hint="eastAsia" w:ascii="Times New Roman" w:hAnsi="Times New Roman" w:eastAsia="宋体"/>
          <w:sz w:val="24"/>
        </w:rPr>
        <w:t>分——风险累积可以由资产敞口驱动，而非仅由会计估计事件驱动。</w:t>
      </w:r>
    </w:p>
    <w:p w14:paraId="56BC9C5B">
      <w:pPr>
        <w:pStyle w:val="3"/>
        <w:spacing w:before="80" w:after="120" w:line="312" w:lineRule="auto"/>
        <w:ind w:firstLine="0"/>
        <w:jc w:val="center"/>
      </w:pPr>
      <w:r>
        <w:drawing>
          <wp:inline distT="0" distB="0" distL="114300" distR="114300">
            <wp:extent cx="5579745" cy="4658995"/>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580000" cy="4659356"/>
                    </a:xfrm>
                    <a:prstGeom prst="rect">
                      <a:avLst/>
                    </a:prstGeom>
                  </pic:spPr>
                </pic:pic>
              </a:graphicData>
            </a:graphic>
          </wp:inline>
        </w:drawing>
      </w:r>
    </w:p>
    <w:p w14:paraId="6000A024">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4-1 </w:t>
      </w:r>
      <w:r>
        <w:rPr>
          <w:rFonts w:hint="eastAsia" w:ascii="Times New Roman" w:hAnsi="Times New Roman" w:eastAsia="宋体"/>
          <w:i w:val="0"/>
          <w:sz w:val="21"/>
        </w:rPr>
        <w:t>综合评分面板轨迹图（30</w:t>
      </w:r>
      <w:r>
        <w:rPr>
          <w:rFonts w:ascii="Times New Roman" w:hAnsi="Times New Roman" w:eastAsia="宋体"/>
          <w:i w:val="0"/>
          <w:sz w:val="21"/>
        </w:rPr>
        <w:t xml:space="preserve"> </w:t>
      </w:r>
      <w:r>
        <w:rPr>
          <w:rFonts w:hint="eastAsia" w:ascii="Times New Roman" w:hAnsi="Times New Roman" w:eastAsia="宋体"/>
          <w:i w:val="0"/>
          <w:sz w:val="21"/>
        </w:rPr>
        <w:t>样本）与</w:t>
      </w:r>
      <w:r>
        <w:rPr>
          <w:rFonts w:ascii="Times New Roman" w:hAnsi="Times New Roman" w:eastAsia="宋体"/>
          <w:i w:val="0"/>
          <w:sz w:val="21"/>
        </w:rPr>
        <w:t xml:space="preserve"> D1 </w:t>
      </w:r>
      <w:r>
        <w:rPr>
          <w:rFonts w:hint="eastAsia" w:ascii="Times New Roman" w:hAnsi="Times New Roman" w:eastAsia="宋体"/>
          <w:i w:val="0"/>
          <w:sz w:val="21"/>
        </w:rPr>
        <w:t>年限错配维度时间序列</w:t>
      </w:r>
    </w:p>
    <w:bookmarkEnd w:id="80"/>
    <w:p w14:paraId="4B4055C7">
      <w:pPr>
        <w:pStyle w:val="4"/>
        <w:spacing w:before="320" w:after="160" w:line="360" w:lineRule="auto"/>
      </w:pPr>
      <w:bookmarkStart w:id="81" w:name="_Toc9016"/>
      <w:bookmarkStart w:id="82" w:name="中心年横截面风险排行榜"/>
      <w:r>
        <w:rPr>
          <w:rFonts w:ascii="Times New Roman" w:hAnsi="Times New Roman" w:eastAsia="黑体"/>
          <w:b/>
          <w:color w:val="003366"/>
          <w:sz w:val="28"/>
        </w:rPr>
        <w:t xml:space="preserve">4.2 </w:t>
      </w:r>
      <w:r>
        <w:rPr>
          <w:rFonts w:hint="eastAsia" w:ascii="Times New Roman" w:hAnsi="Times New Roman" w:eastAsia="黑体"/>
          <w:b/>
          <w:color w:val="003366"/>
          <w:sz w:val="28"/>
        </w:rPr>
        <w:t>中心年横截面：风险排行榜</w:t>
      </w:r>
      <w:bookmarkEnd w:id="81"/>
    </w:p>
    <w:p w14:paraId="69A7D799">
      <w:pPr>
        <w:pStyle w:val="25"/>
        <w:spacing w:before="40" w:after="40" w:line="360" w:lineRule="auto"/>
        <w:ind w:firstLine="480"/>
      </w:pPr>
      <w:r>
        <w:rPr>
          <w:rFonts w:hint="eastAsia" w:ascii="Times New Roman" w:hAnsi="Times New Roman" w:eastAsia="宋体"/>
          <w:sz w:val="24"/>
        </w:rPr>
        <w:t>高风险组划分仍以中心年评分排序（与中心年截面结论完全兼容），面板全景见表</w:t>
      </w:r>
      <w:r>
        <w:rPr>
          <w:rFonts w:ascii="Times New Roman" w:hAnsi="Times New Roman" w:eastAsia="宋体"/>
          <w:sz w:val="24"/>
        </w:rPr>
        <w:t xml:space="preserve"> </w:t>
      </w:r>
      <w:r>
        <w:rPr>
          <w:rFonts w:hint="eastAsia" w:ascii="Times New Roman" w:hAnsi="Times New Roman" w:eastAsia="宋体"/>
          <w:sz w:val="24"/>
        </w:rPr>
        <w:t>4-1。对</w:t>
      </w:r>
      <w:r>
        <w:rPr>
          <w:rFonts w:ascii="Times New Roman" w:hAnsi="Times New Roman" w:eastAsia="宋体"/>
          <w:sz w:val="24"/>
        </w:rPr>
        <w:t xml:space="preserve"> 10 </w:t>
      </w:r>
      <w:r>
        <w:rPr>
          <w:rFonts w:hint="eastAsia" w:ascii="Times New Roman" w:hAnsi="Times New Roman" w:eastAsia="宋体"/>
          <w:sz w:val="24"/>
        </w:rPr>
        <w:t>家样本公司中心年观测按综合评分排序如下：</w:t>
      </w:r>
    </w:p>
    <w:p w14:paraId="610E005E">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4-2 </w:t>
      </w:r>
      <w:r>
        <w:rPr>
          <w:rFonts w:hint="eastAsia" w:ascii="Times New Roman" w:hAnsi="Times New Roman" w:eastAsia="宋体"/>
          <w:i w:val="0"/>
          <w:sz w:val="21"/>
        </w:rPr>
        <w:t>十大科技公司折旧风险评分总榜（中心年）</w:t>
      </w:r>
    </w:p>
    <w:tbl>
      <w:tblPr>
        <w:tblStyle w:val="43"/>
        <w:tblW w:w="5000" w:type="pct"/>
        <w:tblInd w:w="0" w:type="dxa"/>
        <w:tblLayout w:type="fixed"/>
        <w:tblCellMar>
          <w:top w:w="0" w:type="dxa"/>
          <w:left w:w="108" w:type="dxa"/>
          <w:bottom w:w="0" w:type="dxa"/>
          <w:right w:w="108" w:type="dxa"/>
        </w:tblCellMar>
      </w:tblPr>
      <w:tblGrid>
        <w:gridCol w:w="844"/>
        <w:gridCol w:w="844"/>
        <w:gridCol w:w="844"/>
        <w:gridCol w:w="844"/>
        <w:gridCol w:w="844"/>
        <w:gridCol w:w="844"/>
        <w:gridCol w:w="844"/>
        <w:gridCol w:w="844"/>
        <w:gridCol w:w="844"/>
        <w:gridCol w:w="844"/>
        <w:gridCol w:w="844"/>
      </w:tblGrid>
      <w:tr w14:paraId="10B02036">
        <w:tblPrEx>
          <w:tblCellMar>
            <w:top w:w="0" w:type="dxa"/>
            <w:left w:w="108" w:type="dxa"/>
            <w:bottom w:w="0" w:type="dxa"/>
            <w:right w:w="108" w:type="dxa"/>
          </w:tblCellMar>
        </w:tblPrEx>
        <w:trPr>
          <w:cantSplit/>
          <w:tblHeader/>
        </w:trPr>
        <w:tc>
          <w:p w14:paraId="6CEA42E7">
            <w:pPr>
              <w:pStyle w:val="26"/>
              <w:spacing w:before="20" w:after="20" w:line="276" w:lineRule="auto"/>
            </w:pPr>
            <w:r>
              <w:rPr>
                <w:rFonts w:hint="eastAsia" w:ascii="Times New Roman" w:hAnsi="Times New Roman" w:eastAsia="宋体"/>
                <w:b/>
                <w:bCs/>
                <w:sz w:val="19"/>
              </w:rPr>
              <w:t>排名</w:t>
            </w:r>
          </w:p>
        </w:tc>
        <w:tc>
          <w:p w14:paraId="66D021AF">
            <w:pPr>
              <w:pStyle w:val="26"/>
              <w:spacing w:before="20" w:after="20" w:line="276" w:lineRule="auto"/>
            </w:pPr>
            <w:r>
              <w:rPr>
                <w:rFonts w:hint="eastAsia" w:ascii="Times New Roman" w:hAnsi="Times New Roman" w:eastAsia="宋体"/>
                <w:b/>
                <w:bCs/>
                <w:sz w:val="19"/>
              </w:rPr>
              <w:t>公司</w:t>
            </w:r>
          </w:p>
        </w:tc>
        <w:tc>
          <w:p w14:paraId="0AC80105">
            <w:pPr>
              <w:pStyle w:val="26"/>
              <w:spacing w:before="20" w:after="20" w:line="276" w:lineRule="auto"/>
            </w:pPr>
            <w:r>
              <w:rPr>
                <w:rFonts w:hint="eastAsia" w:ascii="Times New Roman" w:hAnsi="Times New Roman" w:eastAsia="宋体"/>
                <w:b/>
                <w:bCs/>
                <w:sz w:val="19"/>
              </w:rPr>
              <w:t>财年</w:t>
            </w:r>
          </w:p>
        </w:tc>
        <w:tc>
          <w:p w14:paraId="66B2054B">
            <w:pPr>
              <w:pStyle w:val="26"/>
              <w:spacing w:before="20" w:after="20" w:line="276" w:lineRule="auto"/>
            </w:pPr>
            <w:r>
              <w:rPr>
                <w:rFonts w:hint="eastAsia" w:ascii="Times New Roman" w:hAnsi="Times New Roman" w:eastAsia="宋体"/>
                <w:b/>
                <w:bCs/>
                <w:sz w:val="19"/>
              </w:rPr>
              <w:t>资产类型</w:t>
            </w:r>
          </w:p>
        </w:tc>
        <w:tc>
          <w:p w14:paraId="49DBD4FC">
            <w:pPr>
              <w:pStyle w:val="26"/>
              <w:spacing w:before="20" w:after="20" w:line="276" w:lineRule="auto"/>
            </w:pPr>
            <w:r>
              <w:rPr>
                <w:rFonts w:ascii="Times New Roman" w:hAnsi="Times New Roman" w:eastAsia="宋体"/>
                <w:b/>
                <w:bCs/>
                <w:sz w:val="19"/>
              </w:rPr>
              <w:t xml:space="preserve">D1 </w:t>
            </w:r>
            <w:r>
              <w:rPr>
                <w:rFonts w:hint="eastAsia" w:ascii="Times New Roman" w:hAnsi="Times New Roman" w:eastAsia="宋体"/>
                <w:b/>
                <w:bCs/>
                <w:sz w:val="19"/>
              </w:rPr>
              <w:t>年限错配</w:t>
            </w:r>
            <w:r>
              <w:rPr>
                <w:rFonts w:ascii="Times New Roman" w:hAnsi="Times New Roman" w:eastAsia="宋体"/>
                <w:b/>
                <w:bCs/>
                <w:sz w:val="19"/>
              </w:rPr>
              <w:t xml:space="preserve"> (0.25)</w:t>
            </w:r>
          </w:p>
        </w:tc>
        <w:tc>
          <w:p w14:paraId="4F4FDCE0">
            <w:pPr>
              <w:pStyle w:val="26"/>
              <w:spacing w:before="20" w:after="20" w:line="276" w:lineRule="auto"/>
            </w:pPr>
            <w:r>
              <w:rPr>
                <w:rFonts w:ascii="Times New Roman" w:hAnsi="Times New Roman" w:eastAsia="宋体"/>
                <w:b/>
                <w:bCs/>
                <w:sz w:val="19"/>
              </w:rPr>
              <w:t xml:space="preserve">D2 </w:t>
            </w:r>
            <w:r>
              <w:rPr>
                <w:rFonts w:hint="eastAsia" w:ascii="Times New Roman" w:hAnsi="Times New Roman" w:eastAsia="宋体"/>
                <w:b/>
                <w:bCs/>
                <w:sz w:val="19"/>
              </w:rPr>
              <w:t>政策保守性</w:t>
            </w:r>
            <w:r>
              <w:rPr>
                <w:rFonts w:ascii="Times New Roman" w:hAnsi="Times New Roman" w:eastAsia="宋体"/>
                <w:b/>
                <w:bCs/>
                <w:sz w:val="19"/>
              </w:rPr>
              <w:t xml:space="preserve"> (0.20)</w:t>
            </w:r>
          </w:p>
        </w:tc>
        <w:tc>
          <w:p w14:paraId="73DBFCEC">
            <w:pPr>
              <w:pStyle w:val="26"/>
              <w:spacing w:before="20" w:after="20" w:line="276" w:lineRule="auto"/>
            </w:pPr>
            <w:r>
              <w:rPr>
                <w:rFonts w:ascii="Times New Roman" w:hAnsi="Times New Roman" w:eastAsia="宋体"/>
                <w:b/>
                <w:bCs/>
                <w:sz w:val="19"/>
              </w:rPr>
              <w:t xml:space="preserve">D3 </w:t>
            </w:r>
            <w:r>
              <w:rPr>
                <w:rFonts w:hint="eastAsia" w:ascii="Times New Roman" w:hAnsi="Times New Roman" w:eastAsia="宋体"/>
                <w:b/>
                <w:bCs/>
                <w:sz w:val="19"/>
              </w:rPr>
              <w:t>减值触发</w:t>
            </w:r>
            <w:r>
              <w:rPr>
                <w:rFonts w:ascii="Times New Roman" w:hAnsi="Times New Roman" w:eastAsia="宋体"/>
                <w:b/>
                <w:bCs/>
                <w:sz w:val="19"/>
              </w:rPr>
              <w:t xml:space="preserve"> (0.20)</w:t>
            </w:r>
          </w:p>
        </w:tc>
        <w:tc>
          <w:p w14:paraId="4B68226B">
            <w:pPr>
              <w:pStyle w:val="26"/>
              <w:spacing w:before="20" w:after="20" w:line="276" w:lineRule="auto"/>
            </w:pPr>
            <w:r>
              <w:rPr>
                <w:rFonts w:ascii="Times New Roman" w:hAnsi="Times New Roman" w:eastAsia="宋体"/>
                <w:b/>
                <w:bCs/>
                <w:sz w:val="19"/>
              </w:rPr>
              <w:t xml:space="preserve">D4 </w:t>
            </w:r>
            <w:r>
              <w:rPr>
                <w:rFonts w:hint="eastAsia" w:ascii="Times New Roman" w:hAnsi="Times New Roman" w:eastAsia="宋体"/>
                <w:b/>
                <w:bCs/>
                <w:sz w:val="19"/>
              </w:rPr>
              <w:t>CAPEX强度</w:t>
            </w:r>
            <w:r>
              <w:rPr>
                <w:rFonts w:ascii="Times New Roman" w:hAnsi="Times New Roman" w:eastAsia="宋体"/>
                <w:b/>
                <w:bCs/>
                <w:sz w:val="19"/>
              </w:rPr>
              <w:t xml:space="preserve"> (0.20)</w:t>
            </w:r>
          </w:p>
        </w:tc>
        <w:tc>
          <w:p w14:paraId="6EE4E82B">
            <w:pPr>
              <w:pStyle w:val="26"/>
              <w:spacing w:before="20" w:after="20" w:line="276" w:lineRule="auto"/>
            </w:pPr>
            <w:r>
              <w:rPr>
                <w:rFonts w:ascii="Times New Roman" w:hAnsi="Times New Roman" w:eastAsia="宋体"/>
                <w:b/>
                <w:bCs/>
                <w:sz w:val="19"/>
              </w:rPr>
              <w:t xml:space="preserve">D5 </w:t>
            </w:r>
            <w:r>
              <w:rPr>
                <w:rFonts w:hint="eastAsia" w:ascii="Times New Roman" w:hAnsi="Times New Roman" w:eastAsia="宋体"/>
                <w:b/>
                <w:bCs/>
                <w:sz w:val="19"/>
              </w:rPr>
              <w:t>竞争替代</w:t>
            </w:r>
            <w:r>
              <w:rPr>
                <w:rFonts w:ascii="Times New Roman" w:hAnsi="Times New Roman" w:eastAsia="宋体"/>
                <w:b/>
                <w:bCs/>
                <w:sz w:val="19"/>
              </w:rPr>
              <w:t xml:space="preserve"> (0.15)</w:t>
            </w:r>
          </w:p>
        </w:tc>
        <w:tc>
          <w:p w14:paraId="2425B01E">
            <w:pPr>
              <w:pStyle w:val="26"/>
              <w:spacing w:before="20" w:after="20" w:line="276" w:lineRule="auto"/>
            </w:pPr>
            <w:r>
              <w:rPr>
                <w:rFonts w:hint="eastAsia" w:ascii="Times New Roman" w:hAnsi="Times New Roman" w:eastAsia="宋体"/>
                <w:b/>
                <w:bCs/>
                <w:sz w:val="19"/>
              </w:rPr>
              <w:t>综合评分</w:t>
            </w:r>
          </w:p>
        </w:tc>
        <w:tc>
          <w:p w14:paraId="299E481B">
            <w:pPr>
              <w:pStyle w:val="26"/>
              <w:spacing w:before="20" w:after="20" w:line="276" w:lineRule="auto"/>
            </w:pPr>
            <w:r>
              <w:rPr>
                <w:rFonts w:hint="eastAsia" w:ascii="Times New Roman" w:hAnsi="Times New Roman" w:eastAsia="宋体"/>
                <w:b/>
                <w:bCs/>
                <w:sz w:val="19"/>
              </w:rPr>
              <w:t>风险等级</w:t>
            </w:r>
          </w:p>
        </w:tc>
      </w:tr>
      <w:tr w14:paraId="791C0C32">
        <w:tblPrEx>
          <w:tblCellMar>
            <w:top w:w="0" w:type="dxa"/>
            <w:left w:w="108" w:type="dxa"/>
            <w:bottom w:w="0" w:type="dxa"/>
            <w:right w:w="108" w:type="dxa"/>
          </w:tblCellMar>
        </w:tblPrEx>
        <w:trPr>
          <w:cantSplit/>
        </w:trPr>
        <w:tc>
          <w:p w14:paraId="6777DD58">
            <w:pPr>
              <w:pStyle w:val="26"/>
              <w:spacing w:before="20" w:after="20" w:line="276" w:lineRule="auto"/>
            </w:pPr>
            <w:r>
              <w:rPr>
                <w:rFonts w:ascii="Times New Roman" w:hAnsi="Times New Roman" w:eastAsia="宋体"/>
                <w:sz w:val="19"/>
              </w:rPr>
              <w:t>1</w:t>
            </w:r>
          </w:p>
        </w:tc>
        <w:tc>
          <w:p w14:paraId="37BBDFDA">
            <w:pPr>
              <w:pStyle w:val="26"/>
              <w:spacing w:before="20" w:after="20" w:line="276" w:lineRule="auto"/>
            </w:pPr>
            <w:r>
              <w:rPr>
                <w:rFonts w:ascii="Times New Roman" w:hAnsi="Times New Roman" w:eastAsia="宋体"/>
                <w:sz w:val="19"/>
              </w:rPr>
              <w:t>INTC</w:t>
            </w:r>
          </w:p>
        </w:tc>
        <w:tc>
          <w:p w14:paraId="3A33ABF3">
            <w:pPr>
              <w:pStyle w:val="26"/>
              <w:spacing w:before="20" w:after="20" w:line="276" w:lineRule="auto"/>
            </w:pPr>
            <w:r>
              <w:rPr>
                <w:rFonts w:ascii="Times New Roman" w:hAnsi="Times New Roman" w:eastAsia="宋体"/>
                <w:sz w:val="19"/>
              </w:rPr>
              <w:t>FY2023</w:t>
            </w:r>
          </w:p>
        </w:tc>
        <w:tc>
          <w:p w14:paraId="70743412">
            <w:pPr>
              <w:pStyle w:val="26"/>
              <w:spacing w:before="20" w:after="20" w:line="276" w:lineRule="auto"/>
            </w:pPr>
            <w:r>
              <w:rPr>
                <w:rFonts w:hint="eastAsia" w:ascii="Times New Roman" w:hAnsi="Times New Roman" w:eastAsia="宋体"/>
                <w:sz w:val="19"/>
              </w:rPr>
              <w:t>制造型（晶圆厂）</w:t>
            </w:r>
          </w:p>
        </w:tc>
        <w:tc>
          <w:p w14:paraId="32800406">
            <w:pPr>
              <w:pStyle w:val="26"/>
              <w:spacing w:before="20" w:after="20" w:line="276" w:lineRule="auto"/>
            </w:pPr>
            <w:r>
              <w:rPr>
                <w:rFonts w:ascii="Times New Roman" w:hAnsi="Times New Roman" w:eastAsia="宋体"/>
                <w:sz w:val="19"/>
              </w:rPr>
              <w:t>4</w:t>
            </w:r>
          </w:p>
        </w:tc>
        <w:tc>
          <w:p w14:paraId="497FA1A6">
            <w:pPr>
              <w:pStyle w:val="26"/>
              <w:spacing w:before="20" w:after="20" w:line="276" w:lineRule="auto"/>
            </w:pPr>
            <w:r>
              <w:rPr>
                <w:rFonts w:ascii="Times New Roman" w:hAnsi="Times New Roman" w:eastAsia="宋体"/>
                <w:sz w:val="19"/>
              </w:rPr>
              <w:t>5</w:t>
            </w:r>
          </w:p>
        </w:tc>
        <w:tc>
          <w:p w14:paraId="42107BF8">
            <w:pPr>
              <w:pStyle w:val="26"/>
              <w:spacing w:before="20" w:after="20" w:line="276" w:lineRule="auto"/>
            </w:pPr>
            <w:r>
              <w:rPr>
                <w:rFonts w:ascii="Times New Roman" w:hAnsi="Times New Roman" w:eastAsia="宋体"/>
                <w:sz w:val="19"/>
              </w:rPr>
              <w:t>4</w:t>
            </w:r>
          </w:p>
        </w:tc>
        <w:tc>
          <w:p w14:paraId="291ED73E">
            <w:pPr>
              <w:pStyle w:val="26"/>
              <w:spacing w:before="20" w:after="20" w:line="276" w:lineRule="auto"/>
            </w:pPr>
            <w:r>
              <w:rPr>
                <w:rFonts w:ascii="Times New Roman" w:hAnsi="Times New Roman" w:eastAsia="宋体"/>
                <w:sz w:val="19"/>
              </w:rPr>
              <w:t>5</w:t>
            </w:r>
          </w:p>
        </w:tc>
        <w:tc>
          <w:p w14:paraId="433EB9EA">
            <w:pPr>
              <w:pStyle w:val="26"/>
              <w:spacing w:before="20" w:after="20" w:line="276" w:lineRule="auto"/>
            </w:pPr>
            <w:r>
              <w:rPr>
                <w:rFonts w:ascii="Times New Roman" w:hAnsi="Times New Roman" w:eastAsia="宋体"/>
                <w:sz w:val="19"/>
              </w:rPr>
              <w:t>5</w:t>
            </w:r>
          </w:p>
        </w:tc>
        <w:tc>
          <w:p w14:paraId="09DA146D">
            <w:pPr>
              <w:pStyle w:val="26"/>
              <w:spacing w:before="20" w:after="20" w:line="276" w:lineRule="auto"/>
            </w:pPr>
            <w:r>
              <w:rPr>
                <w:rFonts w:ascii="Times New Roman" w:hAnsi="Times New Roman" w:eastAsia="宋体"/>
                <w:b/>
                <w:bCs/>
                <w:sz w:val="19"/>
              </w:rPr>
              <w:t>4.55</w:t>
            </w:r>
          </w:p>
        </w:tc>
        <w:tc>
          <w:p w14:paraId="7C3B1C9E">
            <w:pPr>
              <w:pStyle w:val="26"/>
              <w:spacing w:before="20" w:after="20" w:line="276" w:lineRule="auto"/>
            </w:pPr>
            <w:r>
              <w:rPr>
                <w:rFonts w:hint="eastAsia" w:ascii="Times New Roman" w:hAnsi="Times New Roman" w:eastAsia="宋体"/>
                <w:sz w:val="19"/>
              </w:rPr>
              <w:t>高</w:t>
            </w:r>
          </w:p>
        </w:tc>
      </w:tr>
      <w:tr w14:paraId="1F218A97">
        <w:tblPrEx>
          <w:tblCellMar>
            <w:top w:w="0" w:type="dxa"/>
            <w:left w:w="108" w:type="dxa"/>
            <w:bottom w:w="0" w:type="dxa"/>
            <w:right w:w="108" w:type="dxa"/>
          </w:tblCellMar>
        </w:tblPrEx>
        <w:trPr>
          <w:cantSplit/>
        </w:trPr>
        <w:tc>
          <w:p w14:paraId="65EE6E1A">
            <w:pPr>
              <w:pStyle w:val="26"/>
              <w:spacing w:before="20" w:after="20" w:line="276" w:lineRule="auto"/>
            </w:pPr>
            <w:r>
              <w:rPr>
                <w:rFonts w:ascii="Times New Roman" w:hAnsi="Times New Roman" w:eastAsia="宋体"/>
                <w:sz w:val="19"/>
              </w:rPr>
              <w:t>2</w:t>
            </w:r>
          </w:p>
        </w:tc>
        <w:tc>
          <w:p w14:paraId="46B7540E">
            <w:pPr>
              <w:pStyle w:val="26"/>
              <w:spacing w:before="20" w:after="20" w:line="276" w:lineRule="auto"/>
            </w:pPr>
            <w:r>
              <w:rPr>
                <w:rFonts w:ascii="Times New Roman" w:hAnsi="Times New Roman" w:eastAsia="宋体"/>
                <w:sz w:val="19"/>
              </w:rPr>
              <w:t>GOOGL</w:t>
            </w:r>
          </w:p>
        </w:tc>
        <w:tc>
          <w:p w14:paraId="52A9BC4E">
            <w:pPr>
              <w:pStyle w:val="26"/>
              <w:spacing w:before="20" w:after="20" w:line="276" w:lineRule="auto"/>
            </w:pPr>
            <w:r>
              <w:rPr>
                <w:rFonts w:ascii="Times New Roman" w:hAnsi="Times New Roman" w:eastAsia="宋体"/>
                <w:sz w:val="19"/>
              </w:rPr>
              <w:t>2023</w:t>
            </w:r>
          </w:p>
        </w:tc>
        <w:tc>
          <w:p w14:paraId="42267F66">
            <w:pPr>
              <w:pStyle w:val="26"/>
              <w:spacing w:before="20" w:after="20" w:line="276" w:lineRule="auto"/>
            </w:pPr>
            <w:r>
              <w:rPr>
                <w:rFonts w:hint="eastAsia" w:ascii="Times New Roman" w:hAnsi="Times New Roman" w:eastAsia="宋体"/>
                <w:sz w:val="19"/>
              </w:rPr>
              <w:t>运营型（TPU+GPU）</w:t>
            </w:r>
          </w:p>
        </w:tc>
        <w:tc>
          <w:p w14:paraId="72B304BF">
            <w:pPr>
              <w:pStyle w:val="26"/>
              <w:spacing w:before="20" w:after="20" w:line="276" w:lineRule="auto"/>
            </w:pPr>
            <w:r>
              <w:rPr>
                <w:rFonts w:ascii="Times New Roman" w:hAnsi="Times New Roman" w:eastAsia="宋体"/>
                <w:sz w:val="19"/>
              </w:rPr>
              <w:t>5</w:t>
            </w:r>
          </w:p>
        </w:tc>
        <w:tc>
          <w:p w14:paraId="1AD7F912">
            <w:pPr>
              <w:pStyle w:val="26"/>
              <w:spacing w:before="20" w:after="20" w:line="276" w:lineRule="auto"/>
            </w:pPr>
            <w:r>
              <w:rPr>
                <w:rFonts w:ascii="Times New Roman" w:hAnsi="Times New Roman" w:eastAsia="宋体"/>
                <w:sz w:val="19"/>
              </w:rPr>
              <w:t>5</w:t>
            </w:r>
          </w:p>
        </w:tc>
        <w:tc>
          <w:p w14:paraId="6F7270B4">
            <w:pPr>
              <w:pStyle w:val="26"/>
              <w:spacing w:before="20" w:after="20" w:line="276" w:lineRule="auto"/>
            </w:pPr>
            <w:r>
              <w:rPr>
                <w:rFonts w:ascii="Times New Roman" w:hAnsi="Times New Roman" w:eastAsia="宋体"/>
                <w:sz w:val="19"/>
              </w:rPr>
              <w:t>4</w:t>
            </w:r>
          </w:p>
        </w:tc>
        <w:tc>
          <w:p w14:paraId="7824D625">
            <w:pPr>
              <w:pStyle w:val="26"/>
              <w:spacing w:before="20" w:after="20" w:line="276" w:lineRule="auto"/>
            </w:pPr>
            <w:r>
              <w:rPr>
                <w:rFonts w:ascii="Times New Roman" w:hAnsi="Times New Roman" w:eastAsia="宋体"/>
                <w:sz w:val="19"/>
              </w:rPr>
              <w:t>3</w:t>
            </w:r>
          </w:p>
        </w:tc>
        <w:tc>
          <w:p w14:paraId="050F9334">
            <w:pPr>
              <w:pStyle w:val="26"/>
              <w:spacing w:before="20" w:after="20" w:line="276" w:lineRule="auto"/>
            </w:pPr>
            <w:r>
              <w:rPr>
                <w:rFonts w:ascii="Times New Roman" w:hAnsi="Times New Roman" w:eastAsia="宋体"/>
                <w:sz w:val="19"/>
              </w:rPr>
              <w:t>4</w:t>
            </w:r>
          </w:p>
        </w:tc>
        <w:tc>
          <w:p w14:paraId="4CC80A2B">
            <w:pPr>
              <w:pStyle w:val="26"/>
              <w:spacing w:before="20" w:after="20" w:line="276" w:lineRule="auto"/>
            </w:pPr>
            <w:r>
              <w:rPr>
                <w:rFonts w:ascii="Times New Roman" w:hAnsi="Times New Roman" w:eastAsia="宋体"/>
                <w:b/>
                <w:bCs/>
                <w:sz w:val="19"/>
              </w:rPr>
              <w:t>4.25</w:t>
            </w:r>
          </w:p>
        </w:tc>
        <w:tc>
          <w:p w14:paraId="6BD4F40B">
            <w:pPr>
              <w:pStyle w:val="26"/>
              <w:spacing w:before="20" w:after="20" w:line="276" w:lineRule="auto"/>
            </w:pPr>
            <w:r>
              <w:rPr>
                <w:rFonts w:hint="eastAsia" w:ascii="Times New Roman" w:hAnsi="Times New Roman" w:eastAsia="宋体"/>
                <w:sz w:val="19"/>
              </w:rPr>
              <w:t>高</w:t>
            </w:r>
          </w:p>
        </w:tc>
      </w:tr>
      <w:tr w14:paraId="06DCC249">
        <w:tblPrEx>
          <w:tblCellMar>
            <w:top w:w="0" w:type="dxa"/>
            <w:left w:w="108" w:type="dxa"/>
            <w:bottom w:w="0" w:type="dxa"/>
            <w:right w:w="108" w:type="dxa"/>
          </w:tblCellMar>
        </w:tblPrEx>
        <w:trPr>
          <w:cantSplit/>
        </w:trPr>
        <w:tc>
          <w:p w14:paraId="3C88BAF0">
            <w:pPr>
              <w:pStyle w:val="26"/>
              <w:spacing w:before="20" w:after="20" w:line="276" w:lineRule="auto"/>
            </w:pPr>
            <w:r>
              <w:rPr>
                <w:rFonts w:ascii="Times New Roman" w:hAnsi="Times New Roman" w:eastAsia="宋体"/>
                <w:sz w:val="19"/>
              </w:rPr>
              <w:t>3</w:t>
            </w:r>
          </w:p>
        </w:tc>
        <w:tc>
          <w:p w14:paraId="2ED1D191">
            <w:pPr>
              <w:pStyle w:val="26"/>
              <w:spacing w:before="20" w:after="20" w:line="276" w:lineRule="auto"/>
            </w:pPr>
            <w:r>
              <w:rPr>
                <w:rFonts w:ascii="Times New Roman" w:hAnsi="Times New Roman" w:eastAsia="宋体"/>
                <w:sz w:val="19"/>
              </w:rPr>
              <w:t>MSFT</w:t>
            </w:r>
          </w:p>
        </w:tc>
        <w:tc>
          <w:p w14:paraId="7D7ECD03">
            <w:pPr>
              <w:pStyle w:val="26"/>
              <w:spacing w:before="20" w:after="20" w:line="276" w:lineRule="auto"/>
            </w:pPr>
            <w:r>
              <w:rPr>
                <w:rFonts w:ascii="Times New Roman" w:hAnsi="Times New Roman" w:eastAsia="宋体"/>
                <w:sz w:val="19"/>
              </w:rPr>
              <w:t>FY2024</w:t>
            </w:r>
          </w:p>
        </w:tc>
        <w:tc>
          <w:p w14:paraId="02D6D9A6">
            <w:pPr>
              <w:pStyle w:val="26"/>
              <w:spacing w:before="20" w:after="20" w:line="276" w:lineRule="auto"/>
            </w:pPr>
            <w:r>
              <w:rPr>
                <w:rFonts w:hint="eastAsia" w:ascii="Times New Roman" w:hAnsi="Times New Roman" w:eastAsia="宋体"/>
                <w:sz w:val="19"/>
              </w:rPr>
              <w:t>运营型（Azure）</w:t>
            </w:r>
          </w:p>
        </w:tc>
        <w:tc>
          <w:p w14:paraId="7B249596">
            <w:pPr>
              <w:pStyle w:val="26"/>
              <w:spacing w:before="20" w:after="20" w:line="276" w:lineRule="auto"/>
            </w:pPr>
            <w:r>
              <w:rPr>
                <w:rFonts w:ascii="Times New Roman" w:hAnsi="Times New Roman" w:eastAsia="宋体"/>
                <w:sz w:val="19"/>
              </w:rPr>
              <w:t>5</w:t>
            </w:r>
          </w:p>
        </w:tc>
        <w:tc>
          <w:p w14:paraId="6A50CBF4">
            <w:pPr>
              <w:pStyle w:val="26"/>
              <w:spacing w:before="20" w:after="20" w:line="276" w:lineRule="auto"/>
            </w:pPr>
            <w:r>
              <w:rPr>
                <w:rFonts w:ascii="Times New Roman" w:hAnsi="Times New Roman" w:eastAsia="宋体"/>
                <w:sz w:val="19"/>
              </w:rPr>
              <w:t>4</w:t>
            </w:r>
          </w:p>
        </w:tc>
        <w:tc>
          <w:p w14:paraId="00CF1D45">
            <w:pPr>
              <w:pStyle w:val="26"/>
              <w:spacing w:before="20" w:after="20" w:line="276" w:lineRule="auto"/>
            </w:pPr>
            <w:r>
              <w:rPr>
                <w:rFonts w:ascii="Times New Roman" w:hAnsi="Times New Roman" w:eastAsia="宋体"/>
                <w:sz w:val="19"/>
              </w:rPr>
              <w:t>3</w:t>
            </w:r>
          </w:p>
        </w:tc>
        <w:tc>
          <w:p w14:paraId="43490D81">
            <w:pPr>
              <w:pStyle w:val="26"/>
              <w:spacing w:before="20" w:after="20" w:line="276" w:lineRule="auto"/>
            </w:pPr>
            <w:r>
              <w:rPr>
                <w:rFonts w:ascii="Times New Roman" w:hAnsi="Times New Roman" w:eastAsia="宋体"/>
                <w:sz w:val="19"/>
              </w:rPr>
              <w:t>4</w:t>
            </w:r>
          </w:p>
        </w:tc>
        <w:tc>
          <w:p w14:paraId="0ACE60D6">
            <w:pPr>
              <w:pStyle w:val="26"/>
              <w:spacing w:before="20" w:after="20" w:line="276" w:lineRule="auto"/>
            </w:pPr>
            <w:r>
              <w:rPr>
                <w:rFonts w:ascii="Times New Roman" w:hAnsi="Times New Roman" w:eastAsia="宋体"/>
                <w:sz w:val="19"/>
              </w:rPr>
              <w:t>5</w:t>
            </w:r>
          </w:p>
        </w:tc>
        <w:tc>
          <w:p w14:paraId="03CB8737">
            <w:pPr>
              <w:pStyle w:val="26"/>
              <w:spacing w:before="20" w:after="20" w:line="276" w:lineRule="auto"/>
            </w:pPr>
            <w:r>
              <w:rPr>
                <w:rFonts w:ascii="Times New Roman" w:hAnsi="Times New Roman" w:eastAsia="宋体"/>
                <w:b/>
                <w:bCs/>
                <w:sz w:val="19"/>
              </w:rPr>
              <w:t>4.20</w:t>
            </w:r>
          </w:p>
        </w:tc>
        <w:tc>
          <w:p w14:paraId="6690FF45">
            <w:pPr>
              <w:pStyle w:val="26"/>
              <w:spacing w:before="20" w:after="20" w:line="276" w:lineRule="auto"/>
            </w:pPr>
            <w:r>
              <w:rPr>
                <w:rFonts w:hint="eastAsia" w:ascii="Times New Roman" w:hAnsi="Times New Roman" w:eastAsia="宋体"/>
                <w:sz w:val="19"/>
              </w:rPr>
              <w:t>高</w:t>
            </w:r>
          </w:p>
        </w:tc>
      </w:tr>
      <w:tr w14:paraId="4ECAF27C">
        <w:tblPrEx>
          <w:tblCellMar>
            <w:top w:w="0" w:type="dxa"/>
            <w:left w:w="108" w:type="dxa"/>
            <w:bottom w:w="0" w:type="dxa"/>
            <w:right w:w="108" w:type="dxa"/>
          </w:tblCellMar>
        </w:tblPrEx>
        <w:trPr>
          <w:cantSplit/>
        </w:trPr>
        <w:tc>
          <w:p w14:paraId="4EB719B6">
            <w:pPr>
              <w:pStyle w:val="26"/>
              <w:spacing w:before="20" w:after="20" w:line="276" w:lineRule="auto"/>
            </w:pPr>
            <w:r>
              <w:rPr>
                <w:rFonts w:ascii="Times New Roman" w:hAnsi="Times New Roman" w:eastAsia="宋体"/>
                <w:sz w:val="19"/>
              </w:rPr>
              <w:t>3</w:t>
            </w:r>
          </w:p>
        </w:tc>
        <w:tc>
          <w:p w14:paraId="2CA29B79">
            <w:pPr>
              <w:pStyle w:val="26"/>
              <w:spacing w:before="20" w:after="20" w:line="276" w:lineRule="auto"/>
            </w:pPr>
            <w:r>
              <w:rPr>
                <w:rFonts w:ascii="Times New Roman" w:hAnsi="Times New Roman" w:eastAsia="宋体"/>
                <w:sz w:val="19"/>
              </w:rPr>
              <w:t>MU</w:t>
            </w:r>
          </w:p>
        </w:tc>
        <w:tc>
          <w:p w14:paraId="7077FD3D">
            <w:pPr>
              <w:pStyle w:val="26"/>
              <w:spacing w:before="20" w:after="20" w:line="276" w:lineRule="auto"/>
            </w:pPr>
            <w:r>
              <w:rPr>
                <w:rFonts w:ascii="Times New Roman" w:hAnsi="Times New Roman" w:eastAsia="宋体"/>
                <w:sz w:val="19"/>
              </w:rPr>
              <w:t>FY2023</w:t>
            </w:r>
          </w:p>
        </w:tc>
        <w:tc>
          <w:p w14:paraId="536F4783">
            <w:pPr>
              <w:pStyle w:val="26"/>
              <w:spacing w:before="20" w:after="20" w:line="276" w:lineRule="auto"/>
            </w:pPr>
            <w:r>
              <w:rPr>
                <w:rFonts w:hint="eastAsia" w:ascii="Times New Roman" w:hAnsi="Times New Roman" w:eastAsia="宋体"/>
                <w:sz w:val="19"/>
              </w:rPr>
              <w:t>制造型（存储/HBM）</w:t>
            </w:r>
          </w:p>
        </w:tc>
        <w:tc>
          <w:p w14:paraId="150813ED">
            <w:pPr>
              <w:pStyle w:val="26"/>
              <w:spacing w:before="20" w:after="20" w:line="276" w:lineRule="auto"/>
            </w:pPr>
            <w:r>
              <w:rPr>
                <w:rFonts w:ascii="Times New Roman" w:hAnsi="Times New Roman" w:eastAsia="宋体"/>
                <w:sz w:val="19"/>
              </w:rPr>
              <w:t>4</w:t>
            </w:r>
          </w:p>
        </w:tc>
        <w:tc>
          <w:p w14:paraId="39D8B45A">
            <w:pPr>
              <w:pStyle w:val="26"/>
              <w:spacing w:before="20" w:after="20" w:line="276" w:lineRule="auto"/>
            </w:pPr>
            <w:r>
              <w:rPr>
                <w:rFonts w:ascii="Times New Roman" w:hAnsi="Times New Roman" w:eastAsia="宋体"/>
                <w:sz w:val="19"/>
              </w:rPr>
              <w:t>3</w:t>
            </w:r>
          </w:p>
        </w:tc>
        <w:tc>
          <w:p w14:paraId="392B105F">
            <w:pPr>
              <w:pStyle w:val="26"/>
              <w:spacing w:before="20" w:after="20" w:line="276" w:lineRule="auto"/>
            </w:pPr>
            <w:r>
              <w:rPr>
                <w:rFonts w:ascii="Times New Roman" w:hAnsi="Times New Roman" w:eastAsia="宋体"/>
                <w:sz w:val="19"/>
              </w:rPr>
              <w:t>5</w:t>
            </w:r>
          </w:p>
        </w:tc>
        <w:tc>
          <w:p w14:paraId="0AB78965">
            <w:pPr>
              <w:pStyle w:val="26"/>
              <w:spacing w:before="20" w:after="20" w:line="276" w:lineRule="auto"/>
            </w:pPr>
            <w:r>
              <w:rPr>
                <w:rFonts w:ascii="Times New Roman" w:hAnsi="Times New Roman" w:eastAsia="宋体"/>
                <w:sz w:val="19"/>
              </w:rPr>
              <w:t>5</w:t>
            </w:r>
          </w:p>
        </w:tc>
        <w:tc>
          <w:p w14:paraId="5066A4D0">
            <w:pPr>
              <w:pStyle w:val="26"/>
              <w:spacing w:before="20" w:after="20" w:line="276" w:lineRule="auto"/>
            </w:pPr>
            <w:r>
              <w:rPr>
                <w:rFonts w:ascii="Times New Roman" w:hAnsi="Times New Roman" w:eastAsia="宋体"/>
                <w:sz w:val="19"/>
              </w:rPr>
              <w:t>4</w:t>
            </w:r>
          </w:p>
        </w:tc>
        <w:tc>
          <w:p w14:paraId="09977466">
            <w:pPr>
              <w:pStyle w:val="26"/>
              <w:spacing w:before="20" w:after="20" w:line="276" w:lineRule="auto"/>
            </w:pPr>
            <w:r>
              <w:rPr>
                <w:rFonts w:ascii="Times New Roman" w:hAnsi="Times New Roman" w:eastAsia="宋体"/>
                <w:b/>
                <w:bCs/>
                <w:sz w:val="19"/>
              </w:rPr>
              <w:t>4.20</w:t>
            </w:r>
          </w:p>
        </w:tc>
        <w:tc>
          <w:p w14:paraId="3283A790">
            <w:pPr>
              <w:pStyle w:val="26"/>
              <w:spacing w:before="20" w:after="20" w:line="276" w:lineRule="auto"/>
            </w:pPr>
            <w:r>
              <w:rPr>
                <w:rFonts w:hint="eastAsia" w:ascii="Times New Roman" w:hAnsi="Times New Roman" w:eastAsia="宋体"/>
                <w:sz w:val="19"/>
              </w:rPr>
              <w:t>高</w:t>
            </w:r>
          </w:p>
        </w:tc>
      </w:tr>
      <w:tr w14:paraId="6DFE45CA">
        <w:tblPrEx>
          <w:tblCellMar>
            <w:top w:w="0" w:type="dxa"/>
            <w:left w:w="108" w:type="dxa"/>
            <w:bottom w:w="0" w:type="dxa"/>
            <w:right w:w="108" w:type="dxa"/>
          </w:tblCellMar>
        </w:tblPrEx>
        <w:trPr>
          <w:cantSplit/>
        </w:trPr>
        <w:tc>
          <w:p w14:paraId="6B298FCD">
            <w:pPr>
              <w:pStyle w:val="26"/>
              <w:spacing w:before="20" w:after="20" w:line="276" w:lineRule="auto"/>
            </w:pPr>
            <w:r>
              <w:rPr>
                <w:rFonts w:ascii="Times New Roman" w:hAnsi="Times New Roman" w:eastAsia="宋体"/>
                <w:sz w:val="19"/>
              </w:rPr>
              <w:t>5</w:t>
            </w:r>
          </w:p>
        </w:tc>
        <w:tc>
          <w:p w14:paraId="74B17B88">
            <w:pPr>
              <w:pStyle w:val="26"/>
              <w:spacing w:before="20" w:after="20" w:line="276" w:lineRule="auto"/>
            </w:pPr>
            <w:r>
              <w:rPr>
                <w:rFonts w:ascii="Times New Roman" w:hAnsi="Times New Roman" w:eastAsia="宋体"/>
                <w:sz w:val="19"/>
              </w:rPr>
              <w:t>META</w:t>
            </w:r>
          </w:p>
        </w:tc>
        <w:tc>
          <w:p w14:paraId="0987E7AC">
            <w:pPr>
              <w:pStyle w:val="26"/>
              <w:spacing w:before="20" w:after="20" w:line="276" w:lineRule="auto"/>
            </w:pPr>
            <w:r>
              <w:rPr>
                <w:rFonts w:ascii="Times New Roman" w:hAnsi="Times New Roman" w:eastAsia="宋体"/>
                <w:sz w:val="19"/>
              </w:rPr>
              <w:t>2023</w:t>
            </w:r>
          </w:p>
        </w:tc>
        <w:tc>
          <w:p w14:paraId="25C02BB8">
            <w:pPr>
              <w:pStyle w:val="26"/>
              <w:spacing w:before="20" w:after="20" w:line="276" w:lineRule="auto"/>
            </w:pPr>
            <w:r>
              <w:rPr>
                <w:rFonts w:hint="eastAsia" w:ascii="Times New Roman" w:hAnsi="Times New Roman" w:eastAsia="宋体"/>
                <w:sz w:val="19"/>
              </w:rPr>
              <w:t>运营型（数据中心）</w:t>
            </w:r>
          </w:p>
        </w:tc>
        <w:tc>
          <w:p w14:paraId="489DB9D2">
            <w:pPr>
              <w:pStyle w:val="26"/>
              <w:spacing w:before="20" w:after="20" w:line="276" w:lineRule="auto"/>
            </w:pPr>
            <w:r>
              <w:rPr>
                <w:rFonts w:ascii="Times New Roman" w:hAnsi="Times New Roman" w:eastAsia="宋体"/>
                <w:sz w:val="19"/>
              </w:rPr>
              <w:t>4</w:t>
            </w:r>
          </w:p>
        </w:tc>
        <w:tc>
          <w:p w14:paraId="434E44B1">
            <w:pPr>
              <w:pStyle w:val="26"/>
              <w:spacing w:before="20" w:after="20" w:line="276" w:lineRule="auto"/>
            </w:pPr>
            <w:r>
              <w:rPr>
                <w:rFonts w:ascii="Times New Roman" w:hAnsi="Times New Roman" w:eastAsia="宋体"/>
                <w:sz w:val="19"/>
              </w:rPr>
              <w:t>4</w:t>
            </w:r>
          </w:p>
        </w:tc>
        <w:tc>
          <w:p w14:paraId="262A24C9">
            <w:pPr>
              <w:pStyle w:val="26"/>
              <w:spacing w:before="20" w:after="20" w:line="276" w:lineRule="auto"/>
            </w:pPr>
            <w:r>
              <w:rPr>
                <w:rFonts w:ascii="Times New Roman" w:hAnsi="Times New Roman" w:eastAsia="宋体"/>
                <w:sz w:val="19"/>
              </w:rPr>
              <w:t>4</w:t>
            </w:r>
          </w:p>
        </w:tc>
        <w:tc>
          <w:p w14:paraId="353FD9B8">
            <w:pPr>
              <w:pStyle w:val="26"/>
              <w:spacing w:before="20" w:after="20" w:line="276" w:lineRule="auto"/>
            </w:pPr>
            <w:r>
              <w:rPr>
                <w:rFonts w:ascii="Times New Roman" w:hAnsi="Times New Roman" w:eastAsia="宋体"/>
                <w:sz w:val="19"/>
              </w:rPr>
              <w:t>4</w:t>
            </w:r>
          </w:p>
        </w:tc>
        <w:tc>
          <w:p w14:paraId="186A8520">
            <w:pPr>
              <w:pStyle w:val="26"/>
              <w:spacing w:before="20" w:after="20" w:line="276" w:lineRule="auto"/>
            </w:pPr>
            <w:r>
              <w:rPr>
                <w:rFonts w:ascii="Times New Roman" w:hAnsi="Times New Roman" w:eastAsia="宋体"/>
                <w:sz w:val="19"/>
              </w:rPr>
              <w:t>4</w:t>
            </w:r>
          </w:p>
        </w:tc>
        <w:tc>
          <w:p w14:paraId="67533747">
            <w:pPr>
              <w:pStyle w:val="26"/>
              <w:spacing w:before="20" w:after="20" w:line="276" w:lineRule="auto"/>
            </w:pPr>
            <w:r>
              <w:rPr>
                <w:rFonts w:ascii="Times New Roman" w:hAnsi="Times New Roman" w:eastAsia="宋体"/>
                <w:b/>
                <w:bCs/>
                <w:sz w:val="19"/>
              </w:rPr>
              <w:t>4.00</w:t>
            </w:r>
          </w:p>
        </w:tc>
        <w:tc>
          <w:p w14:paraId="2133BB91">
            <w:pPr>
              <w:pStyle w:val="26"/>
              <w:spacing w:before="20" w:after="20" w:line="276" w:lineRule="auto"/>
            </w:pPr>
            <w:r>
              <w:rPr>
                <w:rFonts w:hint="eastAsia" w:ascii="Times New Roman" w:hAnsi="Times New Roman" w:eastAsia="宋体"/>
                <w:sz w:val="19"/>
              </w:rPr>
              <w:t>高</w:t>
            </w:r>
          </w:p>
        </w:tc>
      </w:tr>
      <w:tr w14:paraId="54452E38">
        <w:tblPrEx>
          <w:tblCellMar>
            <w:top w:w="0" w:type="dxa"/>
            <w:left w:w="108" w:type="dxa"/>
            <w:bottom w:w="0" w:type="dxa"/>
            <w:right w:w="108" w:type="dxa"/>
          </w:tblCellMar>
        </w:tblPrEx>
        <w:trPr>
          <w:cantSplit/>
        </w:trPr>
        <w:tc>
          <w:p w14:paraId="2D5AD77F">
            <w:pPr>
              <w:pStyle w:val="26"/>
              <w:spacing w:before="20" w:after="20" w:line="276" w:lineRule="auto"/>
            </w:pPr>
            <w:r>
              <w:rPr>
                <w:rFonts w:ascii="Times New Roman" w:hAnsi="Times New Roman" w:eastAsia="宋体"/>
                <w:sz w:val="19"/>
              </w:rPr>
              <w:t>6</w:t>
            </w:r>
          </w:p>
        </w:tc>
        <w:tc>
          <w:p w14:paraId="17BA7209">
            <w:pPr>
              <w:pStyle w:val="26"/>
              <w:spacing w:before="20" w:after="20" w:line="276" w:lineRule="auto"/>
            </w:pPr>
            <w:r>
              <w:rPr>
                <w:rFonts w:ascii="Times New Roman" w:hAnsi="Times New Roman" w:eastAsia="宋体"/>
                <w:sz w:val="19"/>
              </w:rPr>
              <w:t>ORCL</w:t>
            </w:r>
          </w:p>
        </w:tc>
        <w:tc>
          <w:p w14:paraId="69B24EFB">
            <w:pPr>
              <w:pStyle w:val="26"/>
              <w:spacing w:before="20" w:after="20" w:line="276" w:lineRule="auto"/>
            </w:pPr>
            <w:r>
              <w:rPr>
                <w:rFonts w:ascii="Times New Roman" w:hAnsi="Times New Roman" w:eastAsia="宋体"/>
                <w:sz w:val="19"/>
              </w:rPr>
              <w:t>FY2024</w:t>
            </w:r>
          </w:p>
        </w:tc>
        <w:tc>
          <w:p w14:paraId="402A14D0">
            <w:pPr>
              <w:pStyle w:val="26"/>
              <w:spacing w:before="20" w:after="20" w:line="276" w:lineRule="auto"/>
            </w:pPr>
            <w:r>
              <w:rPr>
                <w:rFonts w:hint="eastAsia" w:ascii="Times New Roman" w:hAnsi="Times New Roman" w:eastAsia="宋体"/>
                <w:sz w:val="19"/>
              </w:rPr>
              <w:t>运营型（OCI）</w:t>
            </w:r>
          </w:p>
        </w:tc>
        <w:tc>
          <w:p w14:paraId="6A70DFFB">
            <w:pPr>
              <w:pStyle w:val="26"/>
              <w:spacing w:before="20" w:after="20" w:line="276" w:lineRule="auto"/>
            </w:pPr>
            <w:r>
              <w:rPr>
                <w:rFonts w:ascii="Times New Roman" w:hAnsi="Times New Roman" w:eastAsia="宋体"/>
                <w:sz w:val="19"/>
              </w:rPr>
              <w:t>4</w:t>
            </w:r>
          </w:p>
        </w:tc>
        <w:tc>
          <w:p w14:paraId="45687DF8">
            <w:pPr>
              <w:pStyle w:val="26"/>
              <w:spacing w:before="20" w:after="20" w:line="276" w:lineRule="auto"/>
            </w:pPr>
            <w:r>
              <w:rPr>
                <w:rFonts w:ascii="Times New Roman" w:hAnsi="Times New Roman" w:eastAsia="宋体"/>
                <w:sz w:val="19"/>
              </w:rPr>
              <w:t>4</w:t>
            </w:r>
          </w:p>
        </w:tc>
        <w:tc>
          <w:p w14:paraId="27AC9120">
            <w:pPr>
              <w:pStyle w:val="26"/>
              <w:spacing w:before="20" w:after="20" w:line="276" w:lineRule="auto"/>
            </w:pPr>
            <w:r>
              <w:rPr>
                <w:rFonts w:ascii="Times New Roman" w:hAnsi="Times New Roman" w:eastAsia="宋体"/>
                <w:sz w:val="19"/>
              </w:rPr>
              <w:t>3</w:t>
            </w:r>
          </w:p>
        </w:tc>
        <w:tc>
          <w:p w14:paraId="0092C791">
            <w:pPr>
              <w:pStyle w:val="26"/>
              <w:spacing w:before="20" w:after="20" w:line="276" w:lineRule="auto"/>
            </w:pPr>
            <w:r>
              <w:rPr>
                <w:rFonts w:ascii="Times New Roman" w:hAnsi="Times New Roman" w:eastAsia="宋体"/>
                <w:sz w:val="19"/>
              </w:rPr>
              <w:t>3</w:t>
            </w:r>
          </w:p>
        </w:tc>
        <w:tc>
          <w:p w14:paraId="7D73319A">
            <w:pPr>
              <w:pStyle w:val="26"/>
              <w:spacing w:before="20" w:after="20" w:line="276" w:lineRule="auto"/>
            </w:pPr>
            <w:r>
              <w:rPr>
                <w:rFonts w:ascii="Times New Roman" w:hAnsi="Times New Roman" w:eastAsia="宋体"/>
                <w:sz w:val="19"/>
              </w:rPr>
              <w:t>4</w:t>
            </w:r>
          </w:p>
        </w:tc>
        <w:tc>
          <w:p w14:paraId="4709D3D8">
            <w:pPr>
              <w:pStyle w:val="26"/>
              <w:spacing w:before="20" w:after="20" w:line="276" w:lineRule="auto"/>
            </w:pPr>
            <w:r>
              <w:rPr>
                <w:rFonts w:ascii="Times New Roman" w:hAnsi="Times New Roman" w:eastAsia="宋体"/>
                <w:b/>
                <w:bCs/>
                <w:sz w:val="19"/>
              </w:rPr>
              <w:t>3.60</w:t>
            </w:r>
          </w:p>
        </w:tc>
        <w:tc>
          <w:p w14:paraId="57385A38">
            <w:pPr>
              <w:pStyle w:val="26"/>
              <w:spacing w:before="20" w:after="20" w:line="276" w:lineRule="auto"/>
            </w:pPr>
            <w:r>
              <w:rPr>
                <w:rFonts w:hint="eastAsia" w:ascii="Times New Roman" w:hAnsi="Times New Roman" w:eastAsia="宋体"/>
                <w:sz w:val="19"/>
              </w:rPr>
              <w:t>中高</w:t>
            </w:r>
          </w:p>
        </w:tc>
      </w:tr>
      <w:tr w14:paraId="08BB230C">
        <w:tblPrEx>
          <w:tblCellMar>
            <w:top w:w="0" w:type="dxa"/>
            <w:left w:w="108" w:type="dxa"/>
            <w:bottom w:w="0" w:type="dxa"/>
            <w:right w:w="108" w:type="dxa"/>
          </w:tblCellMar>
        </w:tblPrEx>
        <w:trPr>
          <w:cantSplit/>
        </w:trPr>
        <w:tc>
          <w:p w14:paraId="2F38F77E">
            <w:pPr>
              <w:pStyle w:val="26"/>
              <w:spacing w:before="20" w:after="20" w:line="276" w:lineRule="auto"/>
            </w:pPr>
            <w:r>
              <w:rPr>
                <w:rFonts w:ascii="Times New Roman" w:hAnsi="Times New Roman" w:eastAsia="宋体"/>
                <w:sz w:val="19"/>
              </w:rPr>
              <w:t>7</w:t>
            </w:r>
          </w:p>
        </w:tc>
        <w:tc>
          <w:p w14:paraId="0E12F956">
            <w:pPr>
              <w:pStyle w:val="26"/>
              <w:spacing w:before="20" w:after="20" w:line="276" w:lineRule="auto"/>
            </w:pPr>
            <w:r>
              <w:rPr>
                <w:rFonts w:ascii="Times New Roman" w:hAnsi="Times New Roman" w:eastAsia="宋体"/>
                <w:sz w:val="19"/>
              </w:rPr>
              <w:t>TSLA</w:t>
            </w:r>
          </w:p>
        </w:tc>
        <w:tc>
          <w:p w14:paraId="77074B05">
            <w:pPr>
              <w:pStyle w:val="26"/>
              <w:spacing w:before="20" w:after="20" w:line="276" w:lineRule="auto"/>
            </w:pPr>
            <w:r>
              <w:rPr>
                <w:rFonts w:ascii="Times New Roman" w:hAnsi="Times New Roman" w:eastAsia="宋体"/>
                <w:sz w:val="19"/>
              </w:rPr>
              <w:t>2023</w:t>
            </w:r>
          </w:p>
        </w:tc>
        <w:tc>
          <w:p w14:paraId="164757DF">
            <w:pPr>
              <w:pStyle w:val="26"/>
              <w:spacing w:before="20" w:after="20" w:line="276" w:lineRule="auto"/>
            </w:pPr>
            <w:r>
              <w:rPr>
                <w:rFonts w:hint="eastAsia" w:ascii="Times New Roman" w:hAnsi="Times New Roman" w:eastAsia="宋体"/>
                <w:sz w:val="19"/>
              </w:rPr>
              <w:t>制造+AI</w:t>
            </w:r>
            <w:r>
              <w:rPr>
                <w:rFonts w:ascii="Times New Roman" w:hAnsi="Times New Roman" w:eastAsia="宋体"/>
                <w:sz w:val="19"/>
              </w:rPr>
              <w:t xml:space="preserve"> </w:t>
            </w:r>
            <w:r>
              <w:rPr>
                <w:rFonts w:hint="eastAsia" w:ascii="Times New Roman" w:hAnsi="Times New Roman" w:eastAsia="宋体"/>
                <w:sz w:val="19"/>
              </w:rPr>
              <w:t>混合型</w:t>
            </w:r>
          </w:p>
        </w:tc>
        <w:tc>
          <w:p w14:paraId="5CCF2EB8">
            <w:pPr>
              <w:pStyle w:val="26"/>
              <w:spacing w:before="20" w:after="20" w:line="276" w:lineRule="auto"/>
            </w:pPr>
            <w:r>
              <w:rPr>
                <w:rFonts w:ascii="Times New Roman" w:hAnsi="Times New Roman" w:eastAsia="宋体"/>
                <w:sz w:val="19"/>
              </w:rPr>
              <w:t>4</w:t>
            </w:r>
          </w:p>
        </w:tc>
        <w:tc>
          <w:p w14:paraId="26E21BDC">
            <w:pPr>
              <w:pStyle w:val="26"/>
              <w:spacing w:before="20" w:after="20" w:line="276" w:lineRule="auto"/>
            </w:pPr>
            <w:r>
              <w:rPr>
                <w:rFonts w:ascii="Times New Roman" w:hAnsi="Times New Roman" w:eastAsia="宋体"/>
                <w:sz w:val="19"/>
              </w:rPr>
              <w:t>3</w:t>
            </w:r>
          </w:p>
        </w:tc>
        <w:tc>
          <w:p w14:paraId="622E595A">
            <w:pPr>
              <w:pStyle w:val="26"/>
              <w:spacing w:before="20" w:after="20" w:line="276" w:lineRule="auto"/>
            </w:pPr>
            <w:r>
              <w:rPr>
                <w:rFonts w:ascii="Times New Roman" w:hAnsi="Times New Roman" w:eastAsia="宋体"/>
                <w:sz w:val="19"/>
              </w:rPr>
              <w:t>2</w:t>
            </w:r>
          </w:p>
        </w:tc>
        <w:tc>
          <w:p w14:paraId="141EE4FC">
            <w:pPr>
              <w:pStyle w:val="26"/>
              <w:spacing w:before="20" w:after="20" w:line="276" w:lineRule="auto"/>
            </w:pPr>
            <w:r>
              <w:rPr>
                <w:rFonts w:ascii="Times New Roman" w:hAnsi="Times New Roman" w:eastAsia="宋体"/>
                <w:sz w:val="19"/>
              </w:rPr>
              <w:t>3</w:t>
            </w:r>
          </w:p>
        </w:tc>
        <w:tc>
          <w:p w14:paraId="62BFF548">
            <w:pPr>
              <w:pStyle w:val="26"/>
              <w:spacing w:before="20" w:after="20" w:line="276" w:lineRule="auto"/>
            </w:pPr>
            <w:r>
              <w:rPr>
                <w:rFonts w:ascii="Times New Roman" w:hAnsi="Times New Roman" w:eastAsia="宋体"/>
                <w:sz w:val="19"/>
              </w:rPr>
              <w:t>4</w:t>
            </w:r>
          </w:p>
        </w:tc>
        <w:tc>
          <w:p w14:paraId="2AACFA75">
            <w:pPr>
              <w:pStyle w:val="26"/>
              <w:spacing w:before="20" w:after="20" w:line="276" w:lineRule="auto"/>
            </w:pPr>
            <w:r>
              <w:rPr>
                <w:rFonts w:ascii="Times New Roman" w:hAnsi="Times New Roman" w:eastAsia="宋体"/>
                <w:b/>
                <w:bCs/>
                <w:sz w:val="19"/>
              </w:rPr>
              <w:t>3.20</w:t>
            </w:r>
          </w:p>
        </w:tc>
        <w:tc>
          <w:p w14:paraId="1CBC0D2A">
            <w:pPr>
              <w:pStyle w:val="26"/>
              <w:spacing w:before="20" w:after="20" w:line="276" w:lineRule="auto"/>
            </w:pPr>
            <w:r>
              <w:rPr>
                <w:rFonts w:hint="eastAsia" w:ascii="Times New Roman" w:hAnsi="Times New Roman" w:eastAsia="宋体"/>
                <w:sz w:val="19"/>
              </w:rPr>
              <w:t>中高</w:t>
            </w:r>
          </w:p>
        </w:tc>
      </w:tr>
      <w:tr w14:paraId="65E380EE">
        <w:tblPrEx>
          <w:tblCellMar>
            <w:top w:w="0" w:type="dxa"/>
            <w:left w:w="108" w:type="dxa"/>
            <w:bottom w:w="0" w:type="dxa"/>
            <w:right w:w="108" w:type="dxa"/>
          </w:tblCellMar>
        </w:tblPrEx>
        <w:trPr>
          <w:cantSplit/>
        </w:trPr>
        <w:tc>
          <w:p w14:paraId="684F21C1">
            <w:pPr>
              <w:pStyle w:val="26"/>
              <w:spacing w:before="20" w:after="20" w:line="276" w:lineRule="auto"/>
            </w:pPr>
            <w:r>
              <w:rPr>
                <w:rFonts w:ascii="Times New Roman" w:hAnsi="Times New Roman" w:eastAsia="宋体"/>
                <w:sz w:val="19"/>
              </w:rPr>
              <w:t>8</w:t>
            </w:r>
          </w:p>
        </w:tc>
        <w:tc>
          <w:p w14:paraId="67708D6F">
            <w:pPr>
              <w:pStyle w:val="26"/>
              <w:spacing w:before="20" w:after="20" w:line="276" w:lineRule="auto"/>
            </w:pPr>
            <w:r>
              <w:rPr>
                <w:rFonts w:ascii="Times New Roman" w:hAnsi="Times New Roman" w:eastAsia="宋体"/>
                <w:sz w:val="19"/>
              </w:rPr>
              <w:t>NVDA</w:t>
            </w:r>
          </w:p>
        </w:tc>
        <w:tc>
          <w:p w14:paraId="2B9F0FEC">
            <w:pPr>
              <w:pStyle w:val="26"/>
              <w:spacing w:before="20" w:after="20" w:line="276" w:lineRule="auto"/>
            </w:pPr>
            <w:r>
              <w:rPr>
                <w:rFonts w:ascii="Times New Roman" w:hAnsi="Times New Roman" w:eastAsia="宋体"/>
                <w:sz w:val="19"/>
              </w:rPr>
              <w:t>FY2024</w:t>
            </w:r>
          </w:p>
        </w:tc>
        <w:tc>
          <w:p w14:paraId="7CD06E50">
            <w:pPr>
              <w:pStyle w:val="26"/>
              <w:spacing w:before="20" w:after="20" w:line="276" w:lineRule="auto"/>
            </w:pPr>
            <w:r>
              <w:rPr>
                <w:rFonts w:hint="eastAsia" w:ascii="Times New Roman" w:hAnsi="Times New Roman" w:eastAsia="宋体"/>
                <w:sz w:val="19"/>
              </w:rPr>
              <w:t>设计型（GPU）</w:t>
            </w:r>
          </w:p>
        </w:tc>
        <w:tc>
          <w:p w14:paraId="309FAA93">
            <w:pPr>
              <w:pStyle w:val="26"/>
              <w:spacing w:before="20" w:after="20" w:line="276" w:lineRule="auto"/>
            </w:pPr>
            <w:r>
              <w:rPr>
                <w:rFonts w:ascii="Times New Roman" w:hAnsi="Times New Roman" w:eastAsia="宋体"/>
                <w:sz w:val="19"/>
              </w:rPr>
              <w:t>4</w:t>
            </w:r>
          </w:p>
        </w:tc>
        <w:tc>
          <w:p w14:paraId="55C8E51D">
            <w:pPr>
              <w:pStyle w:val="26"/>
              <w:spacing w:before="20" w:after="20" w:line="276" w:lineRule="auto"/>
            </w:pPr>
            <w:r>
              <w:rPr>
                <w:rFonts w:ascii="Times New Roman" w:hAnsi="Times New Roman" w:eastAsia="宋体"/>
                <w:sz w:val="19"/>
              </w:rPr>
              <w:t>5</w:t>
            </w:r>
          </w:p>
        </w:tc>
        <w:tc>
          <w:p w14:paraId="6FC1877E">
            <w:pPr>
              <w:pStyle w:val="26"/>
              <w:spacing w:before="20" w:after="20" w:line="276" w:lineRule="auto"/>
            </w:pPr>
            <w:r>
              <w:rPr>
                <w:rFonts w:ascii="Times New Roman" w:hAnsi="Times New Roman" w:eastAsia="宋体"/>
                <w:sz w:val="19"/>
              </w:rPr>
              <w:t>3</w:t>
            </w:r>
          </w:p>
        </w:tc>
        <w:tc>
          <w:p w14:paraId="552EF36A">
            <w:pPr>
              <w:pStyle w:val="26"/>
              <w:spacing w:before="20" w:after="20" w:line="276" w:lineRule="auto"/>
            </w:pPr>
            <w:r>
              <w:rPr>
                <w:rFonts w:ascii="Times New Roman" w:hAnsi="Times New Roman" w:eastAsia="宋体"/>
                <w:sz w:val="19"/>
              </w:rPr>
              <w:t>1</w:t>
            </w:r>
          </w:p>
        </w:tc>
        <w:tc>
          <w:p w14:paraId="7BA2ADA5">
            <w:pPr>
              <w:pStyle w:val="26"/>
              <w:spacing w:before="20" w:after="20" w:line="276" w:lineRule="auto"/>
            </w:pPr>
            <w:r>
              <w:rPr>
                <w:rFonts w:ascii="Times New Roman" w:hAnsi="Times New Roman" w:eastAsia="宋体"/>
                <w:sz w:val="19"/>
              </w:rPr>
              <w:t>2</w:t>
            </w:r>
          </w:p>
        </w:tc>
        <w:tc>
          <w:p w14:paraId="15C9CF46">
            <w:pPr>
              <w:pStyle w:val="26"/>
              <w:spacing w:before="20" w:after="20" w:line="276" w:lineRule="auto"/>
            </w:pPr>
            <w:r>
              <w:rPr>
                <w:rFonts w:ascii="Times New Roman" w:hAnsi="Times New Roman" w:eastAsia="宋体"/>
                <w:b/>
                <w:bCs/>
                <w:sz w:val="19"/>
              </w:rPr>
              <w:t>3.10</w:t>
            </w:r>
          </w:p>
        </w:tc>
        <w:tc>
          <w:p w14:paraId="70672A41">
            <w:pPr>
              <w:pStyle w:val="26"/>
              <w:spacing w:before="20" w:after="20" w:line="276" w:lineRule="auto"/>
            </w:pPr>
            <w:r>
              <w:rPr>
                <w:rFonts w:hint="eastAsia" w:ascii="Times New Roman" w:hAnsi="Times New Roman" w:eastAsia="宋体"/>
                <w:sz w:val="19"/>
              </w:rPr>
              <w:t>中高</w:t>
            </w:r>
          </w:p>
        </w:tc>
      </w:tr>
      <w:tr w14:paraId="50E28BE7">
        <w:tblPrEx>
          <w:tblCellMar>
            <w:top w:w="0" w:type="dxa"/>
            <w:left w:w="108" w:type="dxa"/>
            <w:bottom w:w="0" w:type="dxa"/>
            <w:right w:w="108" w:type="dxa"/>
          </w:tblCellMar>
        </w:tblPrEx>
        <w:trPr>
          <w:cantSplit/>
        </w:trPr>
        <w:tc>
          <w:p w14:paraId="23B7B9D5">
            <w:pPr>
              <w:pStyle w:val="26"/>
              <w:spacing w:before="20" w:after="20" w:line="276" w:lineRule="auto"/>
            </w:pPr>
            <w:r>
              <w:rPr>
                <w:rFonts w:ascii="Times New Roman" w:hAnsi="Times New Roman" w:eastAsia="宋体"/>
                <w:sz w:val="19"/>
              </w:rPr>
              <w:t>9</w:t>
            </w:r>
          </w:p>
        </w:tc>
        <w:tc>
          <w:p w14:paraId="24ED60F5">
            <w:pPr>
              <w:pStyle w:val="26"/>
              <w:spacing w:before="20" w:after="20" w:line="276" w:lineRule="auto"/>
            </w:pPr>
            <w:r>
              <w:rPr>
                <w:rFonts w:ascii="Times New Roman" w:hAnsi="Times New Roman" w:eastAsia="宋体"/>
                <w:sz w:val="19"/>
              </w:rPr>
              <w:t>AMD</w:t>
            </w:r>
          </w:p>
        </w:tc>
        <w:tc>
          <w:p w14:paraId="0C58D57A">
            <w:pPr>
              <w:pStyle w:val="26"/>
              <w:spacing w:before="20" w:after="20" w:line="276" w:lineRule="auto"/>
            </w:pPr>
            <w:r>
              <w:rPr>
                <w:rFonts w:ascii="Times New Roman" w:hAnsi="Times New Roman" w:eastAsia="宋体"/>
                <w:sz w:val="19"/>
              </w:rPr>
              <w:t>FY2023</w:t>
            </w:r>
          </w:p>
        </w:tc>
        <w:tc>
          <w:p w14:paraId="77FBFC79">
            <w:pPr>
              <w:pStyle w:val="26"/>
              <w:spacing w:before="20" w:after="20" w:line="276" w:lineRule="auto"/>
            </w:pPr>
            <w:r>
              <w:rPr>
                <w:rFonts w:hint="eastAsia" w:ascii="Times New Roman" w:hAnsi="Times New Roman" w:eastAsia="宋体"/>
                <w:sz w:val="19"/>
              </w:rPr>
              <w:t>设计型（追赶者）</w:t>
            </w:r>
          </w:p>
        </w:tc>
        <w:tc>
          <w:p w14:paraId="08F85F21">
            <w:pPr>
              <w:pStyle w:val="26"/>
              <w:spacing w:before="20" w:after="20" w:line="276" w:lineRule="auto"/>
            </w:pPr>
            <w:r>
              <w:rPr>
                <w:rFonts w:ascii="Times New Roman" w:hAnsi="Times New Roman" w:eastAsia="宋体"/>
                <w:sz w:val="19"/>
              </w:rPr>
              <w:t>3</w:t>
            </w:r>
          </w:p>
        </w:tc>
        <w:tc>
          <w:p w14:paraId="257CA6DD">
            <w:pPr>
              <w:pStyle w:val="26"/>
              <w:spacing w:before="20" w:after="20" w:line="276" w:lineRule="auto"/>
            </w:pPr>
            <w:r>
              <w:rPr>
                <w:rFonts w:ascii="Times New Roman" w:hAnsi="Times New Roman" w:eastAsia="宋体"/>
                <w:sz w:val="19"/>
              </w:rPr>
              <w:t>2</w:t>
            </w:r>
          </w:p>
        </w:tc>
        <w:tc>
          <w:p w14:paraId="47F70F12">
            <w:pPr>
              <w:pStyle w:val="26"/>
              <w:spacing w:before="20" w:after="20" w:line="276" w:lineRule="auto"/>
            </w:pPr>
            <w:r>
              <w:rPr>
                <w:rFonts w:ascii="Times New Roman" w:hAnsi="Times New Roman" w:eastAsia="宋体"/>
                <w:sz w:val="19"/>
              </w:rPr>
              <w:t>3</w:t>
            </w:r>
          </w:p>
        </w:tc>
        <w:tc>
          <w:p w14:paraId="5A22AD45">
            <w:pPr>
              <w:pStyle w:val="26"/>
              <w:spacing w:before="20" w:after="20" w:line="276" w:lineRule="auto"/>
            </w:pPr>
            <w:r>
              <w:rPr>
                <w:rFonts w:ascii="Times New Roman" w:hAnsi="Times New Roman" w:eastAsia="宋体"/>
                <w:sz w:val="19"/>
              </w:rPr>
              <w:t>1</w:t>
            </w:r>
          </w:p>
        </w:tc>
        <w:tc>
          <w:p w14:paraId="6879C3F1">
            <w:pPr>
              <w:pStyle w:val="26"/>
              <w:spacing w:before="20" w:after="20" w:line="276" w:lineRule="auto"/>
            </w:pPr>
            <w:r>
              <w:rPr>
                <w:rFonts w:ascii="Times New Roman" w:hAnsi="Times New Roman" w:eastAsia="宋体"/>
                <w:sz w:val="19"/>
              </w:rPr>
              <w:t>3</w:t>
            </w:r>
          </w:p>
        </w:tc>
        <w:tc>
          <w:p w14:paraId="5F12303D">
            <w:pPr>
              <w:pStyle w:val="26"/>
              <w:spacing w:before="20" w:after="20" w:line="276" w:lineRule="auto"/>
            </w:pPr>
            <w:r>
              <w:rPr>
                <w:rFonts w:ascii="Times New Roman" w:hAnsi="Times New Roman" w:eastAsia="宋体"/>
                <w:b/>
                <w:bCs/>
                <w:sz w:val="19"/>
              </w:rPr>
              <w:t>2.40</w:t>
            </w:r>
          </w:p>
        </w:tc>
        <w:tc>
          <w:p w14:paraId="14AA695C">
            <w:pPr>
              <w:pStyle w:val="26"/>
              <w:spacing w:before="20" w:after="20" w:line="276" w:lineRule="auto"/>
            </w:pPr>
            <w:r>
              <w:rPr>
                <w:rFonts w:hint="eastAsia" w:ascii="Times New Roman" w:hAnsi="Times New Roman" w:eastAsia="宋体"/>
                <w:sz w:val="19"/>
              </w:rPr>
              <w:t>中</w:t>
            </w:r>
          </w:p>
        </w:tc>
      </w:tr>
      <w:tr w14:paraId="17B04923">
        <w:tblPrEx>
          <w:tblCellMar>
            <w:top w:w="0" w:type="dxa"/>
            <w:left w:w="108" w:type="dxa"/>
            <w:bottom w:w="0" w:type="dxa"/>
            <w:right w:w="108" w:type="dxa"/>
          </w:tblCellMar>
        </w:tblPrEx>
        <w:trPr>
          <w:cantSplit/>
        </w:trPr>
        <w:tc>
          <w:p w14:paraId="422C1BDF">
            <w:pPr>
              <w:pStyle w:val="26"/>
              <w:spacing w:before="20" w:after="20" w:line="276" w:lineRule="auto"/>
            </w:pPr>
            <w:r>
              <w:rPr>
                <w:rFonts w:ascii="Times New Roman" w:hAnsi="Times New Roman" w:eastAsia="宋体"/>
                <w:sz w:val="19"/>
              </w:rPr>
              <w:t>10</w:t>
            </w:r>
          </w:p>
        </w:tc>
        <w:tc>
          <w:p w14:paraId="543E7F31">
            <w:pPr>
              <w:pStyle w:val="26"/>
              <w:spacing w:before="20" w:after="20" w:line="276" w:lineRule="auto"/>
            </w:pPr>
            <w:r>
              <w:rPr>
                <w:rFonts w:ascii="Times New Roman" w:hAnsi="Times New Roman" w:eastAsia="宋体"/>
                <w:sz w:val="19"/>
              </w:rPr>
              <w:t>CRM</w:t>
            </w:r>
          </w:p>
        </w:tc>
        <w:tc>
          <w:p w14:paraId="4EC6DD0B">
            <w:pPr>
              <w:pStyle w:val="26"/>
              <w:spacing w:before="20" w:after="20" w:line="276" w:lineRule="auto"/>
            </w:pPr>
            <w:r>
              <w:rPr>
                <w:rFonts w:ascii="Times New Roman" w:hAnsi="Times New Roman" w:eastAsia="宋体"/>
                <w:sz w:val="19"/>
              </w:rPr>
              <w:t>FY2024</w:t>
            </w:r>
          </w:p>
        </w:tc>
        <w:tc>
          <w:p w14:paraId="7268546A">
            <w:pPr>
              <w:pStyle w:val="26"/>
              <w:spacing w:before="20" w:after="20" w:line="276" w:lineRule="auto"/>
            </w:pPr>
            <w:r>
              <w:rPr>
                <w:rFonts w:hint="eastAsia" w:ascii="Times New Roman" w:hAnsi="Times New Roman" w:eastAsia="宋体"/>
                <w:sz w:val="19"/>
              </w:rPr>
              <w:t>软件型（SaaS）</w:t>
            </w:r>
          </w:p>
        </w:tc>
        <w:tc>
          <w:p w14:paraId="279AF998">
            <w:pPr>
              <w:pStyle w:val="26"/>
              <w:spacing w:before="20" w:after="20" w:line="276" w:lineRule="auto"/>
            </w:pPr>
            <w:r>
              <w:rPr>
                <w:rFonts w:ascii="Times New Roman" w:hAnsi="Times New Roman" w:eastAsia="宋体"/>
                <w:sz w:val="19"/>
              </w:rPr>
              <w:t>3</w:t>
            </w:r>
          </w:p>
        </w:tc>
        <w:tc>
          <w:p w14:paraId="1DEFEEE2">
            <w:pPr>
              <w:pStyle w:val="26"/>
              <w:spacing w:before="20" w:after="20" w:line="276" w:lineRule="auto"/>
            </w:pPr>
            <w:r>
              <w:rPr>
                <w:rFonts w:ascii="Times New Roman" w:hAnsi="Times New Roman" w:eastAsia="宋体"/>
                <w:sz w:val="19"/>
              </w:rPr>
              <w:t>3</w:t>
            </w:r>
          </w:p>
        </w:tc>
        <w:tc>
          <w:p w14:paraId="78184B80">
            <w:pPr>
              <w:pStyle w:val="26"/>
              <w:spacing w:before="20" w:after="20" w:line="276" w:lineRule="auto"/>
            </w:pPr>
            <w:r>
              <w:rPr>
                <w:rFonts w:ascii="Times New Roman" w:hAnsi="Times New Roman" w:eastAsia="宋体"/>
                <w:sz w:val="19"/>
              </w:rPr>
              <w:t>2</w:t>
            </w:r>
          </w:p>
        </w:tc>
        <w:tc>
          <w:p w14:paraId="3E1BD3B8">
            <w:pPr>
              <w:pStyle w:val="26"/>
              <w:spacing w:before="20" w:after="20" w:line="276" w:lineRule="auto"/>
            </w:pPr>
            <w:r>
              <w:rPr>
                <w:rFonts w:ascii="Times New Roman" w:hAnsi="Times New Roman" w:eastAsia="宋体"/>
                <w:sz w:val="19"/>
              </w:rPr>
              <w:t>1</w:t>
            </w:r>
          </w:p>
        </w:tc>
        <w:tc>
          <w:p w14:paraId="4DEAE21F">
            <w:pPr>
              <w:pStyle w:val="26"/>
              <w:spacing w:before="20" w:after="20" w:line="276" w:lineRule="auto"/>
            </w:pPr>
            <w:r>
              <w:rPr>
                <w:rFonts w:ascii="Times New Roman" w:hAnsi="Times New Roman" w:eastAsia="宋体"/>
                <w:sz w:val="19"/>
              </w:rPr>
              <w:t>1</w:t>
            </w:r>
          </w:p>
        </w:tc>
        <w:tc>
          <w:p w14:paraId="599909D5">
            <w:pPr>
              <w:pStyle w:val="26"/>
              <w:spacing w:before="20" w:after="20" w:line="276" w:lineRule="auto"/>
            </w:pPr>
            <w:r>
              <w:rPr>
                <w:rFonts w:ascii="Times New Roman" w:hAnsi="Times New Roman" w:eastAsia="宋体"/>
                <w:b/>
                <w:bCs/>
                <w:sz w:val="19"/>
              </w:rPr>
              <w:t>2.10</w:t>
            </w:r>
          </w:p>
        </w:tc>
        <w:tc>
          <w:p w14:paraId="15E8A68C">
            <w:pPr>
              <w:pStyle w:val="26"/>
              <w:spacing w:before="20" w:after="20" w:line="276" w:lineRule="auto"/>
            </w:pPr>
            <w:r>
              <w:rPr>
                <w:rFonts w:hint="eastAsia" w:ascii="Times New Roman" w:hAnsi="Times New Roman" w:eastAsia="宋体"/>
                <w:sz w:val="19"/>
              </w:rPr>
              <w:t>中</w:t>
            </w:r>
          </w:p>
        </w:tc>
      </w:tr>
    </w:tbl>
    <w:p w14:paraId="7A3AE021">
      <w:pPr>
        <w:pStyle w:val="3"/>
        <w:spacing w:before="40" w:after="120" w:line="312" w:lineRule="auto"/>
        <w:ind w:firstLine="0"/>
        <w:jc w:val="left"/>
      </w:pPr>
      <w:r>
        <w:rPr>
          <w:rFonts w:hint="eastAsia" w:ascii="Times New Roman" w:hAnsi="Times New Roman" w:eastAsia="宋体"/>
          <w:i w:val="0"/>
          <w:sz w:val="21"/>
        </w:rPr>
        <w:t>注：综合评分为</w:t>
      </w:r>
      <w:r>
        <w:rPr>
          <w:rFonts w:ascii="Times New Roman" w:hAnsi="Times New Roman" w:eastAsia="宋体"/>
          <w:i w:val="0"/>
          <w:sz w:val="21"/>
        </w:rPr>
        <w:t xml:space="preserve"> D1-D5 </w:t>
      </w:r>
      <w:r>
        <w:rPr>
          <w:rFonts w:hint="eastAsia" w:ascii="Times New Roman" w:hAnsi="Times New Roman" w:eastAsia="宋体"/>
          <w:i w:val="0"/>
          <w:sz w:val="21"/>
        </w:rPr>
        <w:t>五维度加权和（各列括号内为该维度权重），加粗仅作突出显示；全部</w:t>
      </w:r>
      <w:r>
        <w:rPr>
          <w:rFonts w:ascii="Times New Roman" w:hAnsi="Times New Roman" w:eastAsia="宋体"/>
          <w:i w:val="0"/>
          <w:sz w:val="21"/>
        </w:rPr>
        <w:t xml:space="preserve"> 30 </w:t>
      </w:r>
      <w:r>
        <w:rPr>
          <w:rFonts w:hint="eastAsia" w:ascii="Times New Roman" w:hAnsi="Times New Roman" w:eastAsia="宋体"/>
          <w:i w:val="0"/>
          <w:sz w:val="21"/>
        </w:rPr>
        <w:t>个观测的验算式见附录</w:t>
      </w:r>
      <w:r>
        <w:rPr>
          <w:rFonts w:ascii="Times New Roman" w:hAnsi="Times New Roman" w:eastAsia="宋体"/>
          <w:i w:val="0"/>
          <w:sz w:val="21"/>
        </w:rPr>
        <w:t xml:space="preserve"> A。</w:t>
      </w:r>
    </w:p>
    <w:p w14:paraId="7CDF1302">
      <w:pPr>
        <w:pStyle w:val="3"/>
        <w:spacing w:before="40" w:after="40" w:line="360" w:lineRule="auto"/>
        <w:ind w:firstLine="480"/>
      </w:pPr>
      <w:r>
        <w:rPr>
          <w:rFonts w:hint="eastAsia" w:ascii="Times New Roman" w:hAnsi="Times New Roman" w:eastAsia="宋体"/>
          <w:sz w:val="24"/>
        </w:rPr>
        <w:t>全部</w:t>
      </w:r>
      <w:r>
        <w:rPr>
          <w:rFonts w:ascii="Times New Roman" w:hAnsi="Times New Roman" w:eastAsia="宋体"/>
          <w:sz w:val="24"/>
        </w:rPr>
        <w:t xml:space="preserve"> 30 </w:t>
      </w:r>
      <w:r>
        <w:rPr>
          <w:rFonts w:hint="eastAsia" w:ascii="Times New Roman" w:hAnsi="Times New Roman" w:eastAsia="宋体"/>
          <w:sz w:val="24"/>
        </w:rPr>
        <w:t>个观测的综合评分均通过验算（中心年示例：INTC</w:t>
      </w:r>
      <w:r>
        <w:rPr>
          <w:rFonts w:ascii="Times New Roman" w:hAnsi="Times New Roman" w:eastAsia="宋体"/>
          <w:sz w:val="24"/>
        </w:rPr>
        <w:t xml:space="preserve"> = 4×0.25+5×0.20+4×0.20+5×0.20+5×0.15=1.00+1.00+0.80+1.00+0.75=4.55 </w:t>
      </w:r>
      <w:r>
        <w:rPr>
          <w:rFonts w:hint="eastAsia" w:ascii="Times New Roman" w:hAnsi="Times New Roman" w:eastAsia="宋体"/>
          <w:sz w:val="24"/>
        </w:rPr>
        <w:t>；MU</w:t>
      </w:r>
      <w:r>
        <w:rPr>
          <w:rFonts w:ascii="Times New Roman" w:hAnsi="Times New Roman" w:eastAsia="宋体"/>
          <w:sz w:val="24"/>
        </w:rPr>
        <w:t xml:space="preserve"> = 1.00+0.60+1.00+1.00+0.60=4.20 </w:t>
      </w:r>
      <w:r>
        <w:rPr>
          <w:rFonts w:hint="eastAsia" w:ascii="Times New Roman" w:hAnsi="Times New Roman" w:eastAsia="宋体"/>
          <w:sz w:val="24"/>
        </w:rPr>
        <w:t>；CRM</w:t>
      </w:r>
      <w:r>
        <w:rPr>
          <w:rFonts w:ascii="Times New Roman" w:hAnsi="Times New Roman" w:eastAsia="宋体"/>
          <w:sz w:val="24"/>
        </w:rPr>
        <w:t xml:space="preserve"> = 0.75+0.60+0.40+0.20+0.15=2.10 </w:t>
      </w:r>
      <w:r>
        <w:rPr>
          <w:rFonts w:hint="eastAsia" w:ascii="Times New Roman" w:hAnsi="Times New Roman" w:eastAsia="宋体"/>
          <w:sz w:val="24"/>
        </w:rPr>
        <w:t>），中心年</w:t>
      </w:r>
      <w:r>
        <w:rPr>
          <w:rFonts w:ascii="Times New Roman" w:hAnsi="Times New Roman" w:eastAsia="宋体"/>
          <w:sz w:val="24"/>
        </w:rPr>
        <w:t xml:space="preserve"> 10 </w:t>
      </w:r>
      <w:r>
        <w:rPr>
          <w:rFonts w:hint="eastAsia" w:ascii="Times New Roman" w:hAnsi="Times New Roman" w:eastAsia="宋体"/>
          <w:sz w:val="24"/>
        </w:rPr>
        <w:t>行</w:t>
      </w:r>
      <w:r>
        <w:rPr>
          <w:rFonts w:ascii="Times New Roman" w:hAnsi="Times New Roman" w:eastAsia="宋体"/>
          <w:sz w:val="24"/>
        </w:rPr>
        <w:t xml:space="preserve"> + </w:t>
      </w:r>
      <w:r>
        <w:rPr>
          <w:rFonts w:hint="eastAsia" w:ascii="Times New Roman" w:hAnsi="Times New Roman" w:eastAsia="宋体"/>
          <w:sz w:val="24"/>
        </w:rPr>
        <w:t>扩样</w:t>
      </w:r>
      <w:r>
        <w:rPr>
          <w:rFonts w:ascii="Times New Roman" w:hAnsi="Times New Roman" w:eastAsia="宋体"/>
          <w:sz w:val="24"/>
        </w:rPr>
        <w:t xml:space="preserve"> 20 </w:t>
      </w:r>
      <w:r>
        <w:rPr>
          <w:rFonts w:hint="eastAsia" w:ascii="Times New Roman" w:hAnsi="Times New Roman" w:eastAsia="宋体"/>
          <w:sz w:val="24"/>
        </w:rPr>
        <w:t>行的完整验算表见附录</w:t>
      </w:r>
      <w:r>
        <w:rPr>
          <w:rFonts w:ascii="Times New Roman" w:hAnsi="Times New Roman" w:eastAsia="宋体"/>
          <w:sz w:val="24"/>
        </w:rPr>
        <w:t xml:space="preserve"> A。</w:t>
      </w:r>
    </w:p>
    <w:p w14:paraId="2C722D6A">
      <w:pPr>
        <w:pStyle w:val="3"/>
        <w:spacing w:before="80" w:after="120" w:line="312" w:lineRule="auto"/>
        <w:ind w:firstLine="0"/>
        <w:jc w:val="center"/>
      </w:pPr>
      <w:r>
        <w:drawing>
          <wp:inline distT="0" distB="0" distL="114300" distR="114300">
            <wp:extent cx="5448935" cy="3472180"/>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48935" cy="3472180"/>
                    </a:xfrm>
                    <a:prstGeom prst="rect">
                      <a:avLst/>
                    </a:prstGeom>
                  </pic:spPr>
                </pic:pic>
              </a:graphicData>
            </a:graphic>
          </wp:inline>
        </w:drawing>
      </w:r>
    </w:p>
    <w:p w14:paraId="7A4631F4">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4-2 </w:t>
      </w:r>
      <w:r>
        <w:rPr>
          <w:rFonts w:hint="eastAsia" w:ascii="Times New Roman" w:hAnsi="Times New Roman" w:eastAsia="宋体"/>
          <w:i w:val="0"/>
          <w:sz w:val="21"/>
        </w:rPr>
        <w:t>十大科技公司折旧风险评分总榜（中心年）</w:t>
      </w:r>
    </w:p>
    <w:p w14:paraId="78AD7268">
      <w:pPr>
        <w:pStyle w:val="3"/>
        <w:spacing w:before="40" w:after="40" w:line="360" w:lineRule="auto"/>
        <w:ind w:firstLine="480"/>
      </w:pPr>
      <w:r>
        <w:rPr>
          <w:rFonts w:hint="eastAsia" w:ascii="Times New Roman" w:hAnsi="Times New Roman" w:eastAsia="宋体"/>
          <w:sz w:val="24"/>
        </w:rPr>
        <w:t>排行榜呈现清晰的三段式结构：5</w:t>
      </w:r>
      <w:r>
        <w:rPr>
          <w:rFonts w:ascii="Times New Roman" w:hAnsi="Times New Roman" w:eastAsia="宋体"/>
          <w:sz w:val="24"/>
        </w:rPr>
        <w:t xml:space="preserve"> </w:t>
      </w:r>
      <w:r>
        <w:rPr>
          <w:rFonts w:hint="eastAsia" w:ascii="Times New Roman" w:hAnsi="Times New Roman" w:eastAsia="宋体"/>
          <w:sz w:val="24"/>
        </w:rPr>
        <w:t>家高风险（4.0</w:t>
      </w:r>
      <w:r>
        <w:rPr>
          <w:rFonts w:ascii="Times New Roman" w:hAnsi="Times New Roman" w:eastAsia="宋体"/>
          <w:sz w:val="24"/>
        </w:rPr>
        <w:t xml:space="preserve"> </w:t>
      </w:r>
      <w:r>
        <w:rPr>
          <w:rFonts w:hint="eastAsia" w:ascii="Times New Roman" w:hAnsi="Times New Roman" w:eastAsia="宋体"/>
          <w:sz w:val="24"/>
        </w:rPr>
        <w:t>以上）、3</w:t>
      </w:r>
      <w:r>
        <w:rPr>
          <w:rFonts w:ascii="Times New Roman" w:hAnsi="Times New Roman" w:eastAsia="宋体"/>
          <w:sz w:val="24"/>
        </w:rPr>
        <w:t xml:space="preserve"> </w:t>
      </w:r>
      <w:r>
        <w:rPr>
          <w:rFonts w:hint="eastAsia" w:ascii="Times New Roman" w:hAnsi="Times New Roman" w:eastAsia="宋体"/>
          <w:sz w:val="24"/>
        </w:rPr>
        <w:t>家中高风险（3.1-3.6）、2</w:t>
      </w:r>
      <w:r>
        <w:rPr>
          <w:rFonts w:ascii="Times New Roman" w:hAnsi="Times New Roman" w:eastAsia="宋体"/>
          <w:sz w:val="24"/>
        </w:rPr>
        <w:t xml:space="preserve"> </w:t>
      </w:r>
      <w:r>
        <w:rPr>
          <w:rFonts w:hint="eastAsia" w:ascii="Times New Roman" w:hAnsi="Times New Roman" w:eastAsia="宋体"/>
          <w:sz w:val="24"/>
        </w:rPr>
        <w:t>家中风险（2.4</w:t>
      </w:r>
      <w:r>
        <w:rPr>
          <w:rFonts w:ascii="Times New Roman" w:hAnsi="Times New Roman" w:eastAsia="宋体"/>
          <w:sz w:val="24"/>
        </w:rPr>
        <w:t xml:space="preserve"> </w:t>
      </w:r>
      <w:r>
        <w:rPr>
          <w:rFonts w:hint="eastAsia" w:ascii="Times New Roman" w:hAnsi="Times New Roman" w:eastAsia="宋体"/>
          <w:sz w:val="24"/>
        </w:rPr>
        <w:t>及以下）。下文分组深描，各节开头标注三年轨迹。</w:t>
      </w:r>
    </w:p>
    <w:p w14:paraId="09DB5B6E">
      <w:pPr>
        <w:pStyle w:val="3"/>
        <w:spacing w:before="80" w:after="120" w:line="312" w:lineRule="auto"/>
        <w:ind w:firstLine="0"/>
        <w:jc w:val="center"/>
      </w:pPr>
      <w:r>
        <w:drawing>
          <wp:inline distT="0" distB="0" distL="114300" distR="114300">
            <wp:extent cx="5215890" cy="44938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15890" cy="4493895"/>
                    </a:xfrm>
                    <a:prstGeom prst="rect">
                      <a:avLst/>
                    </a:prstGeom>
                  </pic:spPr>
                </pic:pic>
              </a:graphicData>
            </a:graphic>
          </wp:inline>
        </w:drawing>
      </w:r>
    </w:p>
    <w:p w14:paraId="0AFCAE42">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4-3 </w:t>
      </w:r>
      <w:r>
        <w:rPr>
          <w:rFonts w:hint="eastAsia" w:ascii="Times New Roman" w:hAnsi="Times New Roman" w:eastAsia="宋体"/>
          <w:i w:val="0"/>
          <w:sz w:val="21"/>
        </w:rPr>
        <w:t>五维评分雷达对比（三类资产结构）</w:t>
      </w:r>
    </w:p>
    <w:bookmarkEnd w:id="82"/>
    <w:p w14:paraId="65743A7A">
      <w:pPr>
        <w:pStyle w:val="4"/>
        <w:spacing w:before="320" w:after="160" w:line="360" w:lineRule="auto"/>
      </w:pPr>
      <w:bookmarkStart w:id="83" w:name="_Toc18483"/>
      <w:bookmarkStart w:id="84" w:name="高风险组4.0五家公司的三张面孔"/>
      <w:r>
        <w:rPr>
          <w:rFonts w:ascii="Times New Roman" w:hAnsi="Times New Roman" w:eastAsia="黑体"/>
          <w:b/>
          <w:color w:val="003366"/>
          <w:sz w:val="28"/>
        </w:rPr>
        <w:t xml:space="preserve">4.3 </w:t>
      </w:r>
      <w:r>
        <w:rPr>
          <w:rFonts w:hint="eastAsia" w:ascii="Times New Roman" w:hAnsi="Times New Roman" w:eastAsia="黑体"/>
          <w:b/>
          <w:color w:val="003366"/>
          <w:sz w:val="28"/>
        </w:rPr>
        <w:t>高风险组（≥4.0）：五家公司的三张面孔</w:t>
      </w:r>
      <w:bookmarkEnd w:id="83"/>
    </w:p>
    <w:p w14:paraId="4A0B13A2">
      <w:pPr>
        <w:pStyle w:val="5"/>
        <w:spacing w:before="240" w:after="120" w:line="360" w:lineRule="auto"/>
      </w:pPr>
      <w:bookmarkStart w:id="85" w:name="X497849a97286e50a1554145562939bb94889158"/>
      <w:r>
        <w:rPr>
          <w:rFonts w:ascii="Times New Roman" w:hAnsi="Times New Roman" w:eastAsia="黑体"/>
          <w:b/>
          <w:color w:val="003366"/>
          <w:sz w:val="24"/>
        </w:rPr>
        <w:t xml:space="preserve">4.3.1 </w:t>
      </w:r>
      <w:r>
        <w:rPr>
          <w:rFonts w:hint="eastAsia" w:ascii="Times New Roman" w:hAnsi="Times New Roman" w:eastAsia="黑体"/>
          <w:b/>
          <w:color w:val="003366"/>
          <w:sz w:val="24"/>
        </w:rPr>
        <w:t>Intel（FY2022→FY2024：3.90→4.55→4.55）：被忽视的榜首——“5→8</w:t>
      </w:r>
      <w:r>
        <w:rPr>
          <w:rFonts w:ascii="Times New Roman" w:hAnsi="Times New Roman" w:eastAsia="黑体"/>
          <w:b/>
          <w:color w:val="003366"/>
          <w:sz w:val="24"/>
        </w:rPr>
        <w:t xml:space="preserve"> </w:t>
      </w:r>
      <w:r>
        <w:rPr>
          <w:rFonts w:hint="eastAsia" w:ascii="Times New Roman" w:hAnsi="Times New Roman" w:eastAsia="黑体"/>
          <w:b/>
          <w:color w:val="003366"/>
          <w:sz w:val="24"/>
        </w:rPr>
        <w:t>年”的真身</w:t>
      </w:r>
    </w:p>
    <w:p w14:paraId="03C302B4">
      <w:pPr>
        <w:pStyle w:val="25"/>
        <w:spacing w:before="40" w:after="40" w:line="360" w:lineRule="auto"/>
        <w:ind w:firstLine="480"/>
      </w:pPr>
      <w:r>
        <w:rPr>
          <w:rFonts w:hint="eastAsia" w:ascii="Times New Roman" w:hAnsi="Times New Roman" w:eastAsia="宋体"/>
          <w:sz w:val="24"/>
        </w:rPr>
        <w:t>三年轨迹：变更后高位固化——FY2023</w:t>
      </w:r>
      <w:r>
        <w:rPr>
          <w:rFonts w:ascii="Times New Roman" w:hAnsi="Times New Roman" w:eastAsia="宋体"/>
          <w:sz w:val="24"/>
        </w:rPr>
        <w:t xml:space="preserve"> </w:t>
      </w:r>
      <w:r>
        <w:rPr>
          <w:rFonts w:hint="eastAsia" w:ascii="Times New Roman" w:hAnsi="Times New Roman" w:eastAsia="宋体"/>
          <w:sz w:val="24"/>
        </w:rPr>
        <w:t>变更年评分从</w:t>
      </w:r>
      <w:r>
        <w:rPr>
          <w:rFonts w:ascii="Times New Roman" w:hAnsi="Times New Roman" w:eastAsia="宋体"/>
          <w:sz w:val="24"/>
        </w:rPr>
        <w:t xml:space="preserve"> 3.90 </w:t>
      </w:r>
      <w:r>
        <w:rPr>
          <w:rFonts w:hint="eastAsia" w:ascii="Times New Roman" w:hAnsi="Times New Roman" w:eastAsia="宋体"/>
          <w:sz w:val="24"/>
        </w:rPr>
        <w:t>跳升至</w:t>
      </w:r>
      <w:r>
        <w:rPr>
          <w:rFonts w:ascii="Times New Roman" w:hAnsi="Times New Roman" w:eastAsia="宋体"/>
          <w:sz w:val="24"/>
        </w:rPr>
        <w:t xml:space="preserve"> </w:t>
      </w:r>
      <w:r>
        <w:rPr>
          <w:rFonts w:hint="eastAsia" w:ascii="Times New Roman" w:hAnsi="Times New Roman" w:eastAsia="宋体"/>
          <w:sz w:val="24"/>
        </w:rPr>
        <w:t>4.55，FY2024</w:t>
      </w:r>
      <w:r>
        <w:rPr>
          <w:rFonts w:ascii="Times New Roman" w:hAnsi="Times New Roman" w:eastAsia="宋体"/>
          <w:sz w:val="24"/>
        </w:rPr>
        <w:t xml:space="preserve"> </w:t>
      </w:r>
      <w:r>
        <w:rPr>
          <w:rFonts w:hint="eastAsia" w:ascii="Times New Roman" w:hAnsi="Times New Roman" w:eastAsia="宋体"/>
          <w:sz w:val="24"/>
        </w:rPr>
        <w:t>无新变更但</w:t>
      </w:r>
      <w:r>
        <w:rPr>
          <w:rFonts w:ascii="Times New Roman" w:hAnsi="Times New Roman" w:eastAsia="宋体"/>
          <w:sz w:val="24"/>
        </w:rPr>
        <w:t xml:space="preserve"> D3 </w:t>
      </w:r>
      <w:r>
        <w:rPr>
          <w:rFonts w:hint="eastAsia" w:ascii="Times New Roman" w:hAnsi="Times New Roman" w:eastAsia="宋体"/>
          <w:sz w:val="24"/>
        </w:rPr>
        <w:t>减值触发维度升分（3→5），综合分持平</w:t>
      </w:r>
      <w:r>
        <w:rPr>
          <w:rFonts w:ascii="Times New Roman" w:hAnsi="Times New Roman" w:eastAsia="宋体"/>
          <w:sz w:val="24"/>
        </w:rPr>
        <w:t xml:space="preserve"> </w:t>
      </w:r>
      <w:r>
        <w:rPr>
          <w:rFonts w:hint="eastAsia" w:ascii="Times New Roman" w:hAnsi="Times New Roman" w:eastAsia="宋体"/>
          <w:sz w:val="24"/>
        </w:rPr>
        <w:t>4.55，风险高位固化。</w:t>
      </w:r>
    </w:p>
    <w:p w14:paraId="6955BEF6">
      <w:pPr>
        <w:pStyle w:val="3"/>
        <w:spacing w:before="40" w:after="40" w:line="360" w:lineRule="auto"/>
        <w:ind w:firstLine="480"/>
      </w:pPr>
      <w:r>
        <w:rPr>
          <w:rFonts w:hint="eastAsia" w:ascii="Times New Roman" w:hAnsi="Times New Roman" w:eastAsia="宋体"/>
          <w:sz w:val="24"/>
        </w:rPr>
        <w:t>行业中存在一处易与</w:t>
      </w:r>
      <w:r>
        <w:rPr>
          <w:rFonts w:ascii="Times New Roman" w:hAnsi="Times New Roman" w:eastAsia="宋体"/>
          <w:sz w:val="24"/>
        </w:rPr>
        <w:t xml:space="preserve"> Oracle 5→6 </w:t>
      </w:r>
      <w:r>
        <w:rPr>
          <w:rFonts w:hint="eastAsia" w:ascii="Times New Roman" w:hAnsi="Times New Roman" w:eastAsia="宋体"/>
          <w:sz w:val="24"/>
        </w:rPr>
        <w:t>年服务器变更相混淆的披露：真正执行</w:t>
      </w:r>
      <w:r>
        <w:rPr>
          <w:rFonts w:ascii="Times New Roman" w:hAnsi="Times New Roman" w:eastAsia="宋体"/>
          <w:sz w:val="24"/>
        </w:rPr>
        <w:t xml:space="preserve"> 5→8 </w:t>
      </w:r>
      <w:r>
        <w:rPr>
          <w:rFonts w:hint="eastAsia" w:ascii="Times New Roman" w:hAnsi="Times New Roman" w:eastAsia="宋体"/>
          <w:sz w:val="24"/>
        </w:rPr>
        <w:t>年变更的是</w:t>
      </w:r>
      <w:r>
        <w:rPr>
          <w:rFonts w:ascii="Times New Roman" w:hAnsi="Times New Roman" w:eastAsia="宋体"/>
          <w:sz w:val="24"/>
        </w:rPr>
        <w:t xml:space="preserve"> </w:t>
      </w:r>
      <w:r>
        <w:rPr>
          <w:rFonts w:hint="eastAsia" w:ascii="Times New Roman" w:hAnsi="Times New Roman" w:eastAsia="宋体"/>
          <w:sz w:val="24"/>
        </w:rPr>
        <w:t>Intel（晶圆厂机器设备）。本研究的证据链核验精准区分了二者，避免张冠李戴。</w:t>
      </w:r>
    </w:p>
    <w:p w14:paraId="63DFA32D">
      <w:pPr>
        <w:pStyle w:val="3"/>
        <w:spacing w:before="40" w:after="40" w:line="360" w:lineRule="auto"/>
        <w:ind w:firstLine="480"/>
      </w:pPr>
      <w:r>
        <w:rPr>
          <w:rFonts w:hint="eastAsia" w:ascii="Times New Roman" w:hAnsi="Times New Roman" w:eastAsia="宋体"/>
          <w:sz w:val="24"/>
        </w:rPr>
        <w:t>证据（INTC-FY2023-SIG-001/002，critical）：“Effective</w:t>
      </w:r>
      <w:r>
        <w:rPr>
          <w:rFonts w:ascii="Times New Roman" w:hAnsi="Times New Roman" w:eastAsia="宋体"/>
          <w:sz w:val="24"/>
        </w:rPr>
        <w:t xml:space="preserve"> January 2023, the estimated useful lives of certain machinery and equipment in our wafer fabrication facilities were increased from 5 to 8 years... we estimate total depreciation expense in 2023 was reduced by $4.2 billion.”</w:t>
      </w:r>
    </w:p>
    <w:p w14:paraId="175E14D0">
      <w:pPr>
        <w:pStyle w:val="3"/>
        <w:spacing w:before="40" w:after="40" w:line="360" w:lineRule="auto"/>
        <w:ind w:firstLine="480"/>
      </w:pPr>
      <w:r>
        <w:rPr>
          <w:rFonts w:hint="eastAsia" w:ascii="Times New Roman" w:hAnsi="Times New Roman" w:eastAsia="宋体"/>
          <w:sz w:val="24"/>
        </w:rPr>
        <w:t>推断链：①</w:t>
      </w:r>
      <w:r>
        <w:rPr>
          <w:rFonts w:ascii="Times New Roman" w:hAnsi="Times New Roman" w:eastAsia="宋体"/>
          <w:sz w:val="24"/>
        </w:rPr>
        <w:t xml:space="preserve"> 2023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月晶圆厂机器设备年限</w:t>
      </w:r>
      <w:r>
        <w:rPr>
          <w:rFonts w:ascii="Times New Roman" w:hAnsi="Times New Roman" w:eastAsia="宋体"/>
          <w:sz w:val="24"/>
        </w:rPr>
        <w:t xml:space="preserve"> 5→8 </w:t>
      </w:r>
      <w:r>
        <w:rPr>
          <w:rFonts w:hint="eastAsia" w:ascii="Times New Roman" w:hAnsi="Times New Roman" w:eastAsia="宋体"/>
          <w:sz w:val="24"/>
        </w:rPr>
        <w:t>年、未来适用法</w:t>
      </w:r>
      <w:r>
        <w:rPr>
          <w:rFonts w:ascii="Times New Roman" w:hAnsi="Times New Roman" w:eastAsia="宋体"/>
          <w:sz w:val="24"/>
        </w:rPr>
        <w:t xml:space="preserve"> → ② </w:t>
      </w:r>
      <w:r>
        <w:rPr>
          <w:rFonts w:hint="eastAsia" w:ascii="Times New Roman" w:hAnsi="Times New Roman" w:eastAsia="宋体"/>
          <w:sz w:val="24"/>
        </w:rPr>
        <w:t>当年折旧费用减少</w:t>
      </w:r>
      <w:r>
        <w:rPr>
          <w:rFonts w:ascii="Times New Roman" w:hAnsi="Times New Roman" w:eastAsia="宋体"/>
          <w:sz w:val="24"/>
        </w:rPr>
        <w:t xml:space="preserve"> </w:t>
      </w:r>
      <w:r>
        <w:rPr>
          <w:rFonts w:hint="eastAsia" w:ascii="Times New Roman" w:hAnsi="Times New Roman" w:eastAsia="宋体"/>
          <w:sz w:val="24"/>
        </w:rPr>
        <w:t>$4.2B，其中增厚毛利约</w:t>
      </w:r>
      <w:r>
        <w:rPr>
          <w:rFonts w:ascii="Times New Roman" w:hAnsi="Times New Roman" w:eastAsia="宋体"/>
          <w:sz w:val="24"/>
        </w:rPr>
        <w:t xml:space="preserve"> </w:t>
      </w:r>
      <w:r>
        <w:rPr>
          <w:rFonts w:hint="eastAsia" w:ascii="Times New Roman" w:hAnsi="Times New Roman" w:eastAsia="宋体"/>
          <w:sz w:val="24"/>
        </w:rPr>
        <w:t>$2.5B、研发费用减少约</w:t>
      </w:r>
      <w:r>
        <w:rPr>
          <w:rFonts w:ascii="Times New Roman" w:hAnsi="Times New Roman" w:eastAsia="宋体"/>
          <w:sz w:val="24"/>
        </w:rPr>
        <w:t xml:space="preserve"> $400M → ③ </w:t>
      </w:r>
      <w:r>
        <w:rPr>
          <w:rFonts w:hint="eastAsia" w:ascii="Times New Roman" w:hAnsi="Times New Roman" w:eastAsia="宋体"/>
          <w:sz w:val="24"/>
        </w:rPr>
        <w:t>关键对照：Intel</w:t>
      </w:r>
      <w:r>
        <w:rPr>
          <w:rFonts w:ascii="Times New Roman" w:hAnsi="Times New Roman" w:eastAsia="宋体"/>
          <w:sz w:val="24"/>
        </w:rPr>
        <w:t xml:space="preserve"> 2023 </w:t>
      </w:r>
      <w:r>
        <w:rPr>
          <w:rFonts w:hint="eastAsia" w:ascii="Times New Roman" w:hAnsi="Times New Roman" w:eastAsia="宋体"/>
          <w:sz w:val="24"/>
        </w:rPr>
        <w:t>年收入下滑</w:t>
      </w:r>
      <w:r>
        <w:rPr>
          <w:rFonts w:ascii="Times New Roman" w:hAnsi="Times New Roman" w:eastAsia="宋体"/>
          <w:sz w:val="24"/>
        </w:rPr>
        <w:t xml:space="preserve"> </w:t>
      </w:r>
      <w:r>
        <w:rPr>
          <w:rFonts w:hint="eastAsia" w:ascii="Times New Roman" w:hAnsi="Times New Roman" w:eastAsia="宋体"/>
          <w:sz w:val="24"/>
        </w:rPr>
        <w:t>14%、经营利润仅</w:t>
      </w:r>
      <w:r>
        <w:rPr>
          <w:rFonts w:ascii="Times New Roman" w:hAnsi="Times New Roman" w:eastAsia="宋体"/>
          <w:sz w:val="24"/>
        </w:rPr>
        <w:t xml:space="preserve"> </w:t>
      </w:r>
      <w:r>
        <w:rPr>
          <w:rFonts w:hint="eastAsia" w:ascii="Times New Roman" w:hAnsi="Times New Roman" w:eastAsia="宋体"/>
          <w:sz w:val="24"/>
        </w:rPr>
        <w:t>$93M——变更减少折旧费用</w:t>
      </w:r>
      <w:r>
        <w:rPr>
          <w:rFonts w:ascii="Times New Roman" w:hAnsi="Times New Roman" w:eastAsia="宋体"/>
          <w:sz w:val="24"/>
        </w:rPr>
        <w:t xml:space="preserve"> </w:t>
      </w:r>
      <w:r>
        <w:rPr>
          <w:rFonts w:hint="eastAsia" w:ascii="Times New Roman" w:hAnsi="Times New Roman" w:eastAsia="宋体"/>
          <w:sz w:val="24"/>
        </w:rPr>
        <w:t>$4.2B，而</w:t>
      </w:r>
      <w:r>
        <w:rPr>
          <w:rFonts w:ascii="Times New Roman" w:hAnsi="Times New Roman" w:eastAsia="宋体"/>
          <w:sz w:val="24"/>
        </w:rPr>
        <w:t xml:space="preserve"> FY2023 </w:t>
      </w:r>
      <w:r>
        <w:rPr>
          <w:rFonts w:hint="eastAsia" w:ascii="Times New Roman" w:hAnsi="Times New Roman" w:eastAsia="宋体"/>
          <w:sz w:val="24"/>
        </w:rPr>
        <w:t>经营利润仅</w:t>
      </w:r>
      <w:r>
        <w:rPr>
          <w:rFonts w:ascii="Times New Roman" w:hAnsi="Times New Roman" w:eastAsia="宋体"/>
          <w:sz w:val="24"/>
        </w:rPr>
        <w:t xml:space="preserve"> </w:t>
      </w:r>
      <w:r>
        <w:rPr>
          <w:rFonts w:hint="eastAsia" w:ascii="Times New Roman" w:hAnsi="Times New Roman" w:eastAsia="宋体"/>
          <w:sz w:val="24"/>
        </w:rPr>
        <w:t>$93M——该金额约为经营利润的</w:t>
      </w:r>
      <w:r>
        <w:rPr>
          <w:rFonts w:ascii="Times New Roman" w:hAnsi="Times New Roman" w:eastAsia="宋体"/>
          <w:sz w:val="24"/>
        </w:rPr>
        <w:t xml:space="preserve"> 45 </w:t>
      </w:r>
      <w:r>
        <w:rPr>
          <w:rFonts w:hint="eastAsia" w:ascii="Times New Roman" w:hAnsi="Times New Roman" w:eastAsia="宋体"/>
          <w:sz w:val="24"/>
        </w:rPr>
        <w:t>倍（折旧费用减少额在经营利润层面等额体现，故以经营利润为分母），提示变更对利润表具有数量级上的重要性，即便粗略加回亦足以将微利转为高额盈利（具体分步计算因缺乏分项披露而不可得，此处仅作方向性量级判断）→</w:t>
      </w:r>
      <w:r>
        <w:rPr>
          <w:rFonts w:ascii="Times New Roman" w:hAnsi="Times New Roman" w:eastAsia="宋体"/>
          <w:sz w:val="24"/>
        </w:rPr>
        <w:t xml:space="preserve"> ④ </w:t>
      </w:r>
      <w:r>
        <w:rPr>
          <w:rFonts w:hint="eastAsia" w:ascii="Times New Roman" w:hAnsi="Times New Roman" w:eastAsia="宋体"/>
          <w:sz w:val="24"/>
        </w:rPr>
        <w:t>资产敞口为全样本之最：CAPEX/收入</w:t>
      </w:r>
      <w:r>
        <w:rPr>
          <w:rFonts w:ascii="Times New Roman" w:hAnsi="Times New Roman" w:eastAsia="宋体"/>
          <w:sz w:val="24"/>
        </w:rPr>
        <w:t xml:space="preserve"> </w:t>
      </w:r>
      <w:r>
        <w:rPr>
          <w:rFonts w:hint="eastAsia" w:ascii="Times New Roman" w:hAnsi="Times New Roman" w:eastAsia="宋体"/>
          <w:sz w:val="24"/>
        </w:rPr>
        <w:t>47.5%（锚点上限</w:t>
      </w:r>
      <w:r>
        <w:rPr>
          <w:rFonts w:ascii="Times New Roman" w:hAnsi="Times New Roman" w:eastAsia="宋体"/>
          <w:sz w:val="24"/>
        </w:rPr>
        <w:t xml:space="preserve"> 25% </w:t>
      </w:r>
      <w:r>
        <w:rPr>
          <w:rFonts w:hint="eastAsia" w:ascii="Times New Roman" w:hAnsi="Times New Roman" w:eastAsia="宋体"/>
          <w:sz w:val="24"/>
        </w:rPr>
        <w:t>的近两倍），机器设备总值</w:t>
      </w:r>
      <w:r>
        <w:rPr>
          <w:rFonts w:ascii="Times New Roman" w:hAnsi="Times New Roman" w:eastAsia="宋体"/>
          <w:sz w:val="24"/>
        </w:rPr>
        <w:t xml:space="preserve"> </w:t>
      </w:r>
      <w:r>
        <w:rPr>
          <w:rFonts w:hint="eastAsia" w:ascii="Times New Roman" w:hAnsi="Times New Roman" w:eastAsia="宋体"/>
          <w:sz w:val="24"/>
        </w:rPr>
        <w:t>$100.0B，在建工程</w:t>
      </w:r>
      <w:r>
        <w:rPr>
          <w:rFonts w:ascii="Times New Roman" w:hAnsi="Times New Roman" w:eastAsia="宋体"/>
          <w:sz w:val="24"/>
        </w:rPr>
        <w:t xml:space="preserve"> </w:t>
      </w:r>
      <w:r>
        <w:rPr>
          <w:rFonts w:hint="eastAsia" w:ascii="Times New Roman" w:hAnsi="Times New Roman" w:eastAsia="宋体"/>
          <w:sz w:val="24"/>
        </w:rPr>
        <w:t>$43.4B（占净</w:t>
      </w:r>
      <w:r>
        <w:rPr>
          <w:rFonts w:ascii="Times New Roman" w:hAnsi="Times New Roman" w:eastAsia="宋体"/>
          <w:sz w:val="24"/>
        </w:rPr>
        <w:t xml:space="preserve"> PP&amp;E </w:t>
      </w:r>
      <w:r>
        <w:rPr>
          <w:rFonts w:hint="eastAsia" w:ascii="Times New Roman" w:hAnsi="Times New Roman" w:eastAsia="宋体"/>
          <w:sz w:val="24"/>
        </w:rPr>
        <w:t>45%，尚未开始计提折旧）。</w:t>
      </w:r>
    </w:p>
    <w:p w14:paraId="14552776">
      <w:pPr>
        <w:pStyle w:val="3"/>
        <w:spacing w:before="40" w:after="40" w:line="360" w:lineRule="auto"/>
        <w:ind w:firstLine="480"/>
      </w:pPr>
      <w:r>
        <w:rPr>
          <w:rFonts w:hint="eastAsia" w:ascii="Times New Roman" w:hAnsi="Times New Roman" w:eastAsia="宋体"/>
          <w:sz w:val="24"/>
        </w:rPr>
        <w:t>公允地说，晶圆厂设备物理寿命确实长于云服务器，Intel</w:t>
      </w:r>
      <w:r>
        <w:rPr>
          <w:rFonts w:ascii="Times New Roman" w:hAnsi="Times New Roman" w:eastAsia="宋体"/>
          <w:sz w:val="24"/>
        </w:rPr>
        <w:t xml:space="preserve"> </w:t>
      </w:r>
      <w:r>
        <w:rPr>
          <w:rFonts w:hint="eastAsia" w:ascii="Times New Roman" w:hAnsi="Times New Roman" w:eastAsia="宋体"/>
          <w:sz w:val="24"/>
        </w:rPr>
        <w:t>亦以“设备跨代复用”（re-use</w:t>
      </w:r>
      <w:r>
        <w:rPr>
          <w:rFonts w:ascii="Times New Roman" w:hAnsi="Times New Roman" w:eastAsia="宋体"/>
          <w:sz w:val="24"/>
        </w:rPr>
        <w:t xml:space="preserve"> of machinery and tools across each </w:t>
      </w:r>
      <w:r>
        <w:rPr>
          <w:rFonts w:hint="eastAsia" w:ascii="Times New Roman" w:hAnsi="Times New Roman" w:eastAsia="宋体"/>
          <w:sz w:val="24"/>
        </w:rPr>
        <w:t>generation）作为变更理由。但</w:t>
      </w:r>
      <w:r>
        <w:rPr>
          <w:rFonts w:ascii="Times New Roman" w:hAnsi="Times New Roman" w:eastAsia="宋体"/>
          <w:sz w:val="24"/>
        </w:rPr>
        <w:t xml:space="preserve"> D5 </w:t>
      </w:r>
      <w:r>
        <w:rPr>
          <w:rFonts w:hint="eastAsia" w:ascii="Times New Roman" w:hAnsi="Times New Roman" w:eastAsia="宋体"/>
          <w:sz w:val="24"/>
        </w:rPr>
        <w:t>评分揭示了另一面：公司自认</w:t>
      </w:r>
      <w:r>
        <w:rPr>
          <w:rFonts w:ascii="Times New Roman" w:hAnsi="Times New Roman" w:eastAsia="宋体"/>
          <w:sz w:val="24"/>
        </w:rPr>
        <w:t xml:space="preserve"> 10nm/7nm </w:t>
      </w:r>
      <w:r>
        <w:rPr>
          <w:rFonts w:hint="eastAsia" w:ascii="Times New Roman" w:hAnsi="Times New Roman" w:eastAsia="宋体"/>
          <w:sz w:val="24"/>
        </w:rPr>
        <w:t>延误使竞争对手受益、DCAI</w:t>
      </w:r>
      <w:r>
        <w:rPr>
          <w:rFonts w:ascii="Times New Roman" w:hAnsi="Times New Roman" w:eastAsia="宋体"/>
          <w:sz w:val="24"/>
        </w:rPr>
        <w:t xml:space="preserve"> </w:t>
      </w:r>
      <w:r>
        <w:rPr>
          <w:rFonts w:hint="eastAsia" w:ascii="Times New Roman" w:hAnsi="Times New Roman" w:eastAsia="宋体"/>
          <w:sz w:val="24"/>
        </w:rPr>
        <w:t>部门</w:t>
      </w:r>
      <w:r>
        <w:rPr>
          <w:rFonts w:ascii="Times New Roman" w:hAnsi="Times New Roman" w:eastAsia="宋体"/>
          <w:sz w:val="24"/>
        </w:rPr>
        <w:t xml:space="preserve"> 2023 </w:t>
      </w:r>
      <w:r>
        <w:rPr>
          <w:rFonts w:hint="eastAsia" w:ascii="Times New Roman" w:hAnsi="Times New Roman" w:eastAsia="宋体"/>
          <w:sz w:val="24"/>
        </w:rPr>
        <w:t>年收入</w:t>
      </w:r>
      <w:r>
        <w:rPr>
          <w:rFonts w:ascii="Times New Roman" w:hAnsi="Times New Roman" w:eastAsia="宋体"/>
          <w:sz w:val="24"/>
        </w:rPr>
        <w:t xml:space="preserve"> -20% </w:t>
      </w:r>
      <w:r>
        <w:rPr>
          <w:rFonts w:hint="eastAsia" w:ascii="Times New Roman" w:hAnsi="Times New Roman" w:eastAsia="宋体"/>
          <w:sz w:val="24"/>
        </w:rPr>
        <w:t>并录得经营亏损——在技术落后与需求下行之年选择延长折旧年限，会计估计的方向与公司自述的经营现实相反。Intel</w:t>
      </w:r>
      <w:r>
        <w:rPr>
          <w:rFonts w:ascii="Times New Roman" w:hAnsi="Times New Roman" w:eastAsia="宋体"/>
          <w:sz w:val="24"/>
        </w:rPr>
        <w:t xml:space="preserve"> </w:t>
      </w:r>
      <w:r>
        <w:rPr>
          <w:rFonts w:hint="eastAsia" w:ascii="Times New Roman" w:hAnsi="Times New Roman" w:eastAsia="宋体"/>
          <w:sz w:val="24"/>
        </w:rPr>
        <w:t>是本样本中“假设激进度</w:t>
      </w:r>
      <w:r>
        <w:rPr>
          <w:rFonts w:ascii="Times New Roman" w:hAnsi="Times New Roman" w:eastAsia="宋体"/>
          <w:sz w:val="24"/>
        </w:rPr>
        <w:t xml:space="preserve"> × </w:t>
      </w:r>
      <w:r>
        <w:rPr>
          <w:rFonts w:hint="eastAsia" w:ascii="Times New Roman" w:hAnsi="Times New Roman" w:eastAsia="宋体"/>
          <w:sz w:val="24"/>
        </w:rPr>
        <w:t>资产敞口”乘积最大的公司，位列风险榜首。</w:t>
      </w:r>
    </w:p>
    <w:bookmarkEnd w:id="85"/>
    <w:p w14:paraId="1D42B225">
      <w:pPr>
        <w:pStyle w:val="5"/>
        <w:spacing w:before="240" w:after="120" w:line="360" w:lineRule="auto"/>
      </w:pPr>
      <w:bookmarkStart w:id="86" w:name="alphabetgoogle202220244.204.254.20标准正样本"/>
      <w:r>
        <w:rPr>
          <w:rFonts w:ascii="Times New Roman" w:hAnsi="Times New Roman" w:eastAsia="黑体"/>
          <w:b/>
          <w:color w:val="003366"/>
          <w:sz w:val="24"/>
        </w:rPr>
        <w:t xml:space="preserve">4.3.2 </w:t>
      </w:r>
      <w:r>
        <w:rPr>
          <w:rFonts w:hint="eastAsia" w:ascii="Times New Roman" w:hAnsi="Times New Roman" w:eastAsia="黑体"/>
          <w:b/>
          <w:color w:val="003366"/>
          <w:sz w:val="24"/>
        </w:rPr>
        <w:t>Alphabet/Google（2022→2024：4.20→4.25→4.20）：标准正样本</w:t>
      </w:r>
    </w:p>
    <w:p w14:paraId="7F820C60">
      <w:pPr>
        <w:pStyle w:val="25"/>
        <w:spacing w:before="40" w:after="40" w:line="360" w:lineRule="auto"/>
        <w:ind w:firstLine="480"/>
      </w:pPr>
      <w:r>
        <w:rPr>
          <w:rFonts w:hint="eastAsia" w:ascii="Times New Roman" w:hAnsi="Times New Roman" w:eastAsia="宋体"/>
          <w:sz w:val="24"/>
        </w:rPr>
        <w:t>三年轨迹：变更年触顶后高位企稳——2023</w:t>
      </w:r>
      <w:r>
        <w:rPr>
          <w:rFonts w:ascii="Times New Roman" w:hAnsi="Times New Roman" w:eastAsia="宋体"/>
          <w:sz w:val="24"/>
        </w:rPr>
        <w:t xml:space="preserve"> </w:t>
      </w:r>
      <w:r>
        <w:rPr>
          <w:rFonts w:hint="eastAsia" w:ascii="Times New Roman" w:hAnsi="Times New Roman" w:eastAsia="宋体"/>
          <w:sz w:val="24"/>
        </w:rPr>
        <w:t>变更年评分</w:t>
      </w:r>
      <w:r>
        <w:rPr>
          <w:rFonts w:ascii="Times New Roman" w:hAnsi="Times New Roman" w:eastAsia="宋体"/>
          <w:sz w:val="24"/>
        </w:rPr>
        <w:t xml:space="preserve"> 4.25 </w:t>
      </w:r>
      <w:r>
        <w:rPr>
          <w:rFonts w:hint="eastAsia" w:ascii="Times New Roman" w:hAnsi="Times New Roman" w:eastAsia="宋体"/>
          <w:sz w:val="24"/>
        </w:rPr>
        <w:t>为三年峰值，前后两年均稳定在</w:t>
      </w:r>
      <w:r>
        <w:rPr>
          <w:rFonts w:ascii="Times New Roman" w:hAnsi="Times New Roman" w:eastAsia="宋体"/>
          <w:sz w:val="24"/>
        </w:rPr>
        <w:t xml:space="preserve"> 4.20 </w:t>
      </w:r>
      <w:r>
        <w:rPr>
          <w:rFonts w:hint="eastAsia" w:ascii="Times New Roman" w:hAnsi="Times New Roman" w:eastAsia="宋体"/>
          <w:sz w:val="24"/>
        </w:rPr>
        <w:t>的高位平台。</w:t>
      </w:r>
    </w:p>
    <w:p w14:paraId="23AD7087">
      <w:pPr>
        <w:pStyle w:val="3"/>
        <w:spacing w:before="40" w:after="40" w:line="360" w:lineRule="auto"/>
        <w:ind w:firstLine="480"/>
      </w:pPr>
      <w:r>
        <w:rPr>
          <w:rFonts w:hint="eastAsia" w:ascii="Times New Roman" w:hAnsi="Times New Roman" w:eastAsia="宋体"/>
          <w:sz w:val="24"/>
        </w:rPr>
        <w:t>证据（SIG-001，critical，Note</w:t>
      </w:r>
      <w:r>
        <w:rPr>
          <w:rFonts w:ascii="Times New Roman" w:hAnsi="Times New Roman" w:eastAsia="宋体"/>
          <w:sz w:val="24"/>
        </w:rPr>
        <w:t xml:space="preserve"> 1 </w:t>
      </w:r>
      <w:r>
        <w:rPr>
          <w:rFonts w:hint="eastAsia" w:ascii="Times New Roman" w:hAnsi="Times New Roman" w:eastAsia="宋体"/>
          <w:sz w:val="24"/>
        </w:rPr>
        <w:t>第</w:t>
      </w:r>
      <w:r>
        <w:rPr>
          <w:rFonts w:ascii="Times New Roman" w:hAnsi="Times New Roman" w:eastAsia="宋体"/>
          <w:sz w:val="24"/>
        </w:rPr>
        <w:t xml:space="preserve"> 2886-2893 </w:t>
      </w:r>
      <w:r>
        <w:rPr>
          <w:rFonts w:hint="eastAsia" w:ascii="Times New Roman" w:hAnsi="Times New Roman" w:eastAsia="宋体"/>
          <w:sz w:val="24"/>
        </w:rPr>
        <w:t>行）：2023</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月服务器</w:t>
      </w:r>
      <w:r>
        <w:rPr>
          <w:rFonts w:ascii="Times New Roman" w:hAnsi="Times New Roman" w:eastAsia="宋体"/>
          <w:sz w:val="24"/>
        </w:rPr>
        <w:t xml:space="preserve"> 4→6 </w:t>
      </w:r>
      <w:r>
        <w:rPr>
          <w:rFonts w:hint="eastAsia" w:ascii="Times New Roman" w:hAnsi="Times New Roman" w:eastAsia="宋体"/>
          <w:sz w:val="24"/>
        </w:rPr>
        <w:t>年、网络设备</w:t>
      </w:r>
      <w:r>
        <w:rPr>
          <w:rFonts w:ascii="Times New Roman" w:hAnsi="Times New Roman" w:eastAsia="宋体"/>
          <w:sz w:val="24"/>
        </w:rPr>
        <w:t xml:space="preserve"> 5→6 </w:t>
      </w:r>
      <w:r>
        <w:rPr>
          <w:rFonts w:hint="eastAsia" w:ascii="Times New Roman" w:hAnsi="Times New Roman" w:eastAsia="宋体"/>
          <w:sz w:val="24"/>
        </w:rPr>
        <w:t>年，“the</w:t>
      </w:r>
      <w:r>
        <w:rPr>
          <w:rFonts w:ascii="Times New Roman" w:hAnsi="Times New Roman" w:eastAsia="宋体"/>
          <w:sz w:val="24"/>
        </w:rPr>
        <w:t xml:space="preserve"> effect of this change in estimate was a reduction in depreciation expense of $3.9 billion and an increase in net income of $3.0 billion, or $0.24 per share”。</w:t>
      </w:r>
    </w:p>
    <w:p w14:paraId="426830DD">
      <w:pPr>
        <w:pStyle w:val="3"/>
        <w:spacing w:before="40" w:after="40" w:line="360" w:lineRule="auto"/>
        <w:ind w:firstLine="480"/>
      </w:pPr>
      <w:r>
        <w:rPr>
          <w:rFonts w:hint="eastAsia" w:ascii="Times New Roman" w:hAnsi="Times New Roman" w:eastAsia="宋体"/>
          <w:sz w:val="24"/>
        </w:rPr>
        <w:t>这是全样本中“本期变更</w:t>
      </w:r>
      <w:r>
        <w:rPr>
          <w:rFonts w:ascii="Times New Roman" w:hAnsi="Times New Roman" w:eastAsia="宋体"/>
          <w:sz w:val="24"/>
        </w:rPr>
        <w:t xml:space="preserve"> + </w:t>
      </w:r>
      <w:r>
        <w:rPr>
          <w:rFonts w:hint="eastAsia" w:ascii="Times New Roman" w:hAnsi="Times New Roman" w:eastAsia="宋体"/>
          <w:sz w:val="24"/>
        </w:rPr>
        <w:t>全额量化”金额最大的案例：$3.0B</w:t>
      </w:r>
      <w:r>
        <w:rPr>
          <w:rFonts w:ascii="Times New Roman" w:hAnsi="Times New Roman" w:eastAsia="宋体"/>
          <w:sz w:val="24"/>
        </w:rPr>
        <w:t xml:space="preserve"> </w:t>
      </w:r>
      <w:r>
        <w:rPr>
          <w:rFonts w:hint="eastAsia" w:ascii="Times New Roman" w:hAnsi="Times New Roman" w:eastAsia="宋体"/>
          <w:sz w:val="24"/>
        </w:rPr>
        <w:t>利润增厚占当年净利润</w:t>
      </w:r>
      <w:r>
        <w:rPr>
          <w:rFonts w:ascii="Times New Roman" w:hAnsi="Times New Roman" w:eastAsia="宋体"/>
          <w:sz w:val="24"/>
        </w:rPr>
        <w:t xml:space="preserve"> </w:t>
      </w:r>
      <w:r>
        <w:rPr>
          <w:rFonts w:hint="eastAsia" w:ascii="Times New Roman" w:hAnsi="Times New Roman" w:eastAsia="宋体"/>
          <w:sz w:val="24"/>
        </w:rPr>
        <w:t>4.1%（Oracle</w:t>
      </w:r>
      <w:r>
        <w:rPr>
          <w:rFonts w:ascii="Times New Roman" w:hAnsi="Times New Roman" w:eastAsia="宋体"/>
          <w:sz w:val="24"/>
        </w:rPr>
        <w:t xml:space="preserve"> FY2023/FY2025 </w:t>
      </w:r>
      <w:r>
        <w:rPr>
          <w:rFonts w:hint="eastAsia" w:ascii="Times New Roman" w:hAnsi="Times New Roman" w:eastAsia="宋体"/>
          <w:sz w:val="24"/>
        </w:rPr>
        <w:t>同样全额量化，NVIDIA</w:t>
      </w:r>
      <w:r>
        <w:rPr>
          <w:rFonts w:ascii="Times New Roman" w:hAnsi="Times New Roman" w:eastAsia="宋体"/>
          <w:sz w:val="24"/>
        </w:rPr>
        <w:t xml:space="preserve"> FY2024 </w:t>
      </w:r>
      <w:r>
        <w:rPr>
          <w:rFonts w:hint="eastAsia" w:ascii="Times New Roman" w:hAnsi="Times New Roman" w:eastAsia="宋体"/>
          <w:sz w:val="24"/>
        </w:rPr>
        <w:t>亦直接披露营业利润影响</w:t>
      </w:r>
      <w:r>
        <w:rPr>
          <w:rFonts w:ascii="Times New Roman" w:hAnsi="Times New Roman" w:eastAsia="宋体"/>
          <w:sz w:val="24"/>
        </w:rPr>
        <w:t xml:space="preserve"> </w:t>
      </w:r>
      <w:r>
        <w:rPr>
          <w:rFonts w:hint="eastAsia" w:ascii="Times New Roman" w:hAnsi="Times New Roman" w:eastAsia="宋体"/>
          <w:sz w:val="24"/>
        </w:rPr>
        <w:t>$133M；Google</w:t>
      </w:r>
      <w:r>
        <w:rPr>
          <w:rFonts w:ascii="Times New Roman" w:hAnsi="Times New Roman" w:eastAsia="宋体"/>
          <w:sz w:val="24"/>
        </w:rPr>
        <w:t xml:space="preserve"> </w:t>
      </w:r>
      <w:r>
        <w:rPr>
          <w:rFonts w:hint="eastAsia" w:ascii="Times New Roman" w:hAnsi="Times New Roman" w:eastAsia="宋体"/>
          <w:sz w:val="24"/>
        </w:rPr>
        <w:t>为全样本中单次变更金额最大）。更有说服力的是折旧指纹：2023</w:t>
      </w:r>
      <w:r>
        <w:rPr>
          <w:rFonts w:ascii="Times New Roman" w:hAnsi="Times New Roman" w:eastAsia="宋体"/>
          <w:sz w:val="24"/>
        </w:rPr>
        <w:t xml:space="preserve"> </w:t>
      </w:r>
      <w:r>
        <w:rPr>
          <w:rFonts w:hint="eastAsia" w:ascii="Times New Roman" w:hAnsi="Times New Roman" w:eastAsia="宋体"/>
          <w:sz w:val="24"/>
        </w:rPr>
        <w:t>年折旧费用逆势下降（$13,475M</w:t>
      </w:r>
      <w:r>
        <w:rPr>
          <w:rFonts w:ascii="Times New Roman" w:hAnsi="Times New Roman" w:eastAsia="宋体"/>
          <w:sz w:val="24"/>
        </w:rPr>
        <w:t xml:space="preserve"> → </w:t>
      </w:r>
      <w:r>
        <w:rPr>
          <w:rFonts w:hint="eastAsia" w:ascii="Times New Roman" w:hAnsi="Times New Roman" w:eastAsia="宋体"/>
          <w:sz w:val="24"/>
        </w:rPr>
        <w:t>$11,946M，-11.35%），而同期净</w:t>
      </w:r>
      <w:r>
        <w:rPr>
          <w:rFonts w:ascii="Times New Roman" w:hAnsi="Times New Roman" w:eastAsia="宋体"/>
          <w:sz w:val="24"/>
        </w:rPr>
        <w:t xml:space="preserve"> PP&amp;E </w:t>
      </w:r>
      <w:r>
        <w:rPr>
          <w:rFonts w:hint="eastAsia" w:ascii="Times New Roman" w:hAnsi="Times New Roman" w:eastAsia="宋体"/>
          <w:sz w:val="24"/>
        </w:rPr>
        <w:t>增长</w:t>
      </w:r>
      <w:r>
        <w:rPr>
          <w:rFonts w:ascii="Times New Roman" w:hAnsi="Times New Roman" w:eastAsia="宋体"/>
          <w:sz w:val="24"/>
        </w:rPr>
        <w:t xml:space="preserve"> 19%、CAPEX </w:t>
      </w:r>
      <w:r>
        <w:rPr>
          <w:rFonts w:hint="eastAsia" w:ascii="Times New Roman" w:hAnsi="Times New Roman" w:eastAsia="宋体"/>
          <w:sz w:val="24"/>
        </w:rPr>
        <w:t>创纪录</w:t>
      </w:r>
      <w:r>
        <w:rPr>
          <w:rFonts w:ascii="Times New Roman" w:hAnsi="Times New Roman" w:eastAsia="宋体"/>
          <w:sz w:val="24"/>
        </w:rPr>
        <w:t xml:space="preserve"> </w:t>
      </w:r>
      <w:r>
        <w:rPr>
          <w:rFonts w:hint="eastAsia" w:ascii="Times New Roman" w:hAnsi="Times New Roman" w:eastAsia="宋体"/>
          <w:sz w:val="24"/>
        </w:rPr>
        <w:t>$32,251M——资产在涨、折旧在降，这一反常组合只能由年限变更解释。若无变更，服务器相关折旧费用应与</w:t>
      </w:r>
      <w:r>
        <w:rPr>
          <w:rFonts w:ascii="Times New Roman" w:hAnsi="Times New Roman" w:eastAsia="宋体"/>
          <w:sz w:val="24"/>
        </w:rPr>
        <w:t xml:space="preserve"> $3.9B </w:t>
      </w:r>
      <w:r>
        <w:rPr>
          <w:rFonts w:hint="eastAsia" w:ascii="Times New Roman" w:hAnsi="Times New Roman" w:eastAsia="宋体"/>
          <w:sz w:val="24"/>
        </w:rPr>
        <w:t>总减少额同量级（具体金额因</w:t>
      </w:r>
      <w:r>
        <w:rPr>
          <w:rFonts w:ascii="Times New Roman" w:hAnsi="Times New Roman" w:eastAsia="宋体"/>
          <w:sz w:val="24"/>
        </w:rPr>
        <w:t xml:space="preserve"> Google </w:t>
      </w:r>
      <w:r>
        <w:rPr>
          <w:rFonts w:hint="eastAsia" w:ascii="Times New Roman" w:hAnsi="Times New Roman" w:eastAsia="宋体"/>
          <w:sz w:val="24"/>
        </w:rPr>
        <w:t>未披露分项折旧占比而不可得，此处仅作方向性判断）。</w:t>
      </w:r>
    </w:p>
    <w:bookmarkEnd w:id="86"/>
    <w:p w14:paraId="0E8D6CAA">
      <w:pPr>
        <w:pStyle w:val="5"/>
        <w:spacing w:before="240" w:after="120" w:line="360" w:lineRule="auto"/>
      </w:pPr>
      <w:bookmarkStart w:id="87" w:name="Xf2627d4c2254441baa610120bb64630f698697c"/>
      <w:r>
        <w:rPr>
          <w:rFonts w:ascii="Times New Roman" w:hAnsi="Times New Roman" w:eastAsia="黑体"/>
          <w:b/>
          <w:color w:val="003366"/>
          <w:sz w:val="24"/>
        </w:rPr>
        <w:t xml:space="preserve">4.3.3 </w:t>
      </w:r>
      <w:r>
        <w:rPr>
          <w:rFonts w:hint="eastAsia" w:ascii="Times New Roman" w:hAnsi="Times New Roman" w:eastAsia="黑体"/>
          <w:b/>
          <w:color w:val="003366"/>
          <w:sz w:val="24"/>
        </w:rPr>
        <w:t>Microsoft（FY2023→FY2025：4.40→4.20→4.40）：变更红利的跨年释放</w:t>
      </w:r>
    </w:p>
    <w:p w14:paraId="2ADEE726">
      <w:pPr>
        <w:pStyle w:val="25"/>
        <w:spacing w:before="40" w:after="40" w:line="360" w:lineRule="auto"/>
        <w:ind w:firstLine="480"/>
      </w:pPr>
      <w:r>
        <w:rPr>
          <w:rFonts w:hint="eastAsia" w:ascii="Times New Roman" w:hAnsi="Times New Roman" w:eastAsia="宋体"/>
          <w:sz w:val="24"/>
        </w:rPr>
        <w:t>三年轨迹：变更红利跨年释放——变更生效的</w:t>
      </w:r>
      <w:r>
        <w:rPr>
          <w:rFonts w:ascii="Times New Roman" w:hAnsi="Times New Roman" w:eastAsia="宋体"/>
          <w:sz w:val="24"/>
        </w:rPr>
        <w:t xml:space="preserve"> FY2023 </w:t>
      </w:r>
      <w:r>
        <w:rPr>
          <w:rFonts w:hint="eastAsia" w:ascii="Times New Roman" w:hAnsi="Times New Roman" w:eastAsia="宋体"/>
          <w:sz w:val="24"/>
        </w:rPr>
        <w:t>评分</w:t>
      </w:r>
      <w:r>
        <w:rPr>
          <w:rFonts w:ascii="Times New Roman" w:hAnsi="Times New Roman" w:eastAsia="宋体"/>
          <w:sz w:val="24"/>
        </w:rPr>
        <w:t xml:space="preserve"> </w:t>
      </w:r>
      <w:r>
        <w:rPr>
          <w:rFonts w:hint="eastAsia" w:ascii="Times New Roman" w:hAnsi="Times New Roman" w:eastAsia="宋体"/>
          <w:sz w:val="24"/>
        </w:rPr>
        <w:t>4.40，FY2024</w:t>
      </w:r>
      <w:r>
        <w:rPr>
          <w:rFonts w:ascii="Times New Roman" w:hAnsi="Times New Roman" w:eastAsia="宋体"/>
          <w:sz w:val="24"/>
        </w:rPr>
        <w:t xml:space="preserve"> </w:t>
      </w:r>
      <w:r>
        <w:rPr>
          <w:rFonts w:hint="eastAsia" w:ascii="Times New Roman" w:hAnsi="Times New Roman" w:eastAsia="宋体"/>
          <w:sz w:val="24"/>
        </w:rPr>
        <w:t>略降至</w:t>
      </w:r>
      <w:r>
        <w:rPr>
          <w:rFonts w:ascii="Times New Roman" w:hAnsi="Times New Roman" w:eastAsia="宋体"/>
          <w:sz w:val="24"/>
        </w:rPr>
        <w:t xml:space="preserve"> </w:t>
      </w:r>
      <w:r>
        <w:rPr>
          <w:rFonts w:hint="eastAsia" w:ascii="Times New Roman" w:hAnsi="Times New Roman" w:eastAsia="宋体"/>
          <w:sz w:val="24"/>
        </w:rPr>
        <w:t>4.20（变更计入“历史记录”），FY2025</w:t>
      </w:r>
      <w:r>
        <w:rPr>
          <w:rFonts w:ascii="Times New Roman" w:hAnsi="Times New Roman" w:eastAsia="宋体"/>
          <w:sz w:val="24"/>
        </w:rPr>
        <w:t xml:space="preserve"> </w:t>
      </w:r>
      <w:r>
        <w:rPr>
          <w:rFonts w:hint="eastAsia" w:ascii="Times New Roman" w:hAnsi="Times New Roman" w:eastAsia="宋体"/>
          <w:sz w:val="24"/>
        </w:rPr>
        <w:t>随</w:t>
      </w:r>
      <w:r>
        <w:rPr>
          <w:rFonts w:ascii="Times New Roman" w:hAnsi="Times New Roman" w:eastAsia="宋体"/>
          <w:sz w:val="24"/>
        </w:rPr>
        <w:t xml:space="preserve"> CAPEX </w:t>
      </w:r>
      <w:r>
        <w:rPr>
          <w:rFonts w:hint="eastAsia" w:ascii="Times New Roman" w:hAnsi="Times New Roman" w:eastAsia="宋体"/>
          <w:sz w:val="24"/>
        </w:rPr>
        <w:t>强度跳升重回</w:t>
      </w:r>
      <w:r>
        <w:rPr>
          <w:rFonts w:ascii="Times New Roman" w:hAnsi="Times New Roman" w:eastAsia="宋体"/>
          <w:sz w:val="24"/>
        </w:rPr>
        <w:t xml:space="preserve"> </w:t>
      </w:r>
      <w:r>
        <w:rPr>
          <w:rFonts w:hint="eastAsia" w:ascii="Times New Roman" w:hAnsi="Times New Roman" w:eastAsia="宋体"/>
          <w:sz w:val="24"/>
        </w:rPr>
        <w:t>4.40，高位波动。</w:t>
      </w:r>
    </w:p>
    <w:p w14:paraId="09488E4D">
      <w:pPr>
        <w:pStyle w:val="3"/>
        <w:spacing w:before="40" w:after="40" w:line="360" w:lineRule="auto"/>
        <w:ind w:firstLine="480"/>
      </w:pPr>
      <w:r>
        <w:rPr>
          <w:rFonts w:ascii="Times New Roman" w:hAnsi="Times New Roman" w:eastAsia="宋体"/>
          <w:sz w:val="24"/>
        </w:rPr>
        <w:t xml:space="preserve">2022 </w:t>
      </w:r>
      <w:r>
        <w:rPr>
          <w:rFonts w:hint="eastAsia" w:ascii="Times New Roman" w:hAnsi="Times New Roman" w:eastAsia="宋体"/>
          <w:sz w:val="24"/>
        </w:rPr>
        <w:t>年</w:t>
      </w:r>
      <w:r>
        <w:rPr>
          <w:rFonts w:ascii="Times New Roman" w:hAnsi="Times New Roman" w:eastAsia="宋体"/>
          <w:sz w:val="24"/>
        </w:rPr>
        <w:t xml:space="preserve"> 7 </w:t>
      </w:r>
      <w:r>
        <w:rPr>
          <w:rFonts w:hint="eastAsia" w:ascii="Times New Roman" w:hAnsi="Times New Roman" w:eastAsia="宋体"/>
          <w:sz w:val="24"/>
        </w:rPr>
        <w:t>月将服务器与网络设备年限</w:t>
      </w:r>
      <w:r>
        <w:rPr>
          <w:rFonts w:ascii="Times New Roman" w:hAnsi="Times New Roman" w:eastAsia="宋体"/>
          <w:sz w:val="24"/>
        </w:rPr>
        <w:t xml:space="preserve"> 4→6 </w:t>
      </w:r>
      <w:r>
        <w:rPr>
          <w:rFonts w:hint="eastAsia" w:ascii="Times New Roman" w:hAnsi="Times New Roman" w:eastAsia="宋体"/>
          <w:sz w:val="24"/>
        </w:rPr>
        <w:t>年（FY2023</w:t>
      </w:r>
      <w:r>
        <w:rPr>
          <w:rFonts w:ascii="Times New Roman" w:hAnsi="Times New Roman" w:eastAsia="宋体"/>
          <w:sz w:val="24"/>
        </w:rPr>
        <w:t xml:space="preserve"> </w:t>
      </w:r>
      <w:r>
        <w:rPr>
          <w:rFonts w:hint="eastAsia" w:ascii="Times New Roman" w:hAnsi="Times New Roman" w:eastAsia="宋体"/>
          <w:sz w:val="24"/>
        </w:rPr>
        <w:t>生效，故</w:t>
      </w:r>
      <w:r>
        <w:rPr>
          <w:rFonts w:ascii="Times New Roman" w:hAnsi="Times New Roman" w:eastAsia="宋体"/>
          <w:sz w:val="24"/>
        </w:rPr>
        <w:t xml:space="preserve"> FY2023 </w:t>
      </w:r>
      <w:r>
        <w:rPr>
          <w:rFonts w:hint="eastAsia" w:ascii="Times New Roman" w:hAnsi="Times New Roman" w:eastAsia="宋体"/>
          <w:sz w:val="24"/>
        </w:rPr>
        <w:t>按变更年计</w:t>
      </w:r>
      <w:r>
        <w:rPr>
          <w:rFonts w:ascii="Times New Roman" w:hAnsi="Times New Roman" w:eastAsia="宋体"/>
          <w:sz w:val="24"/>
        </w:rPr>
        <w:t xml:space="preserve"> </w:t>
      </w:r>
      <w:r>
        <w:rPr>
          <w:rFonts w:hint="eastAsia" w:ascii="Times New Roman" w:hAnsi="Times New Roman" w:eastAsia="宋体"/>
          <w:sz w:val="24"/>
        </w:rPr>
        <w:t>4.40，FY2024</w:t>
      </w:r>
      <w:r>
        <w:rPr>
          <w:rFonts w:ascii="Times New Roman" w:hAnsi="Times New Roman" w:eastAsia="宋体"/>
          <w:sz w:val="24"/>
        </w:rPr>
        <w:t xml:space="preserve"> </w:t>
      </w:r>
      <w:r>
        <w:rPr>
          <w:rFonts w:hint="eastAsia" w:ascii="Times New Roman" w:hAnsi="Times New Roman" w:eastAsia="宋体"/>
          <w:sz w:val="24"/>
        </w:rPr>
        <w:t>起</w:t>
      </w:r>
      <w:r>
        <w:rPr>
          <w:rFonts w:ascii="Times New Roman" w:hAnsi="Times New Roman" w:eastAsia="宋体"/>
          <w:sz w:val="24"/>
        </w:rPr>
        <w:t xml:space="preserve"> D2 </w:t>
      </w:r>
      <w:r>
        <w:rPr>
          <w:rFonts w:hint="eastAsia" w:ascii="Times New Roman" w:hAnsi="Times New Roman" w:eastAsia="宋体"/>
          <w:sz w:val="24"/>
        </w:rPr>
        <w:t>按“历史有延长记录”计</w:t>
      </w:r>
      <w:r>
        <w:rPr>
          <w:rFonts w:ascii="Times New Roman" w:hAnsi="Times New Roman" w:eastAsia="宋体"/>
          <w:sz w:val="24"/>
        </w:rPr>
        <w:t xml:space="preserve"> 4 </w:t>
      </w:r>
      <w:r>
        <w:rPr>
          <w:rFonts w:hint="eastAsia" w:ascii="Times New Roman" w:hAnsi="Times New Roman" w:eastAsia="宋体"/>
          <w:sz w:val="24"/>
        </w:rPr>
        <w:t>分）。FY2024</w:t>
      </w:r>
      <w:r>
        <w:rPr>
          <w:rFonts w:ascii="Times New Roman" w:hAnsi="Times New Roman" w:eastAsia="宋体"/>
          <w:sz w:val="24"/>
        </w:rPr>
        <w:t xml:space="preserve"> </w:t>
      </w:r>
      <w:r>
        <w:rPr>
          <w:rFonts w:hint="eastAsia" w:ascii="Times New Roman" w:hAnsi="Times New Roman" w:eastAsia="宋体"/>
          <w:sz w:val="24"/>
        </w:rPr>
        <w:t>的指纹同样清晰：FY2023</w:t>
      </w:r>
      <w:r>
        <w:rPr>
          <w:rFonts w:ascii="Times New Roman" w:hAnsi="Times New Roman" w:eastAsia="宋体"/>
          <w:sz w:val="24"/>
        </w:rPr>
        <w:t xml:space="preserve"> </w:t>
      </w:r>
      <w:r>
        <w:rPr>
          <w:rFonts w:hint="eastAsia" w:ascii="Times New Roman" w:hAnsi="Times New Roman" w:eastAsia="宋体"/>
          <w:sz w:val="24"/>
        </w:rPr>
        <w:t>折旧</w:t>
      </w:r>
      <w:r>
        <w:rPr>
          <w:rFonts w:ascii="Times New Roman" w:hAnsi="Times New Roman" w:eastAsia="宋体"/>
          <w:sz w:val="24"/>
        </w:rPr>
        <w:t xml:space="preserve"> $11.0B </w:t>
      </w:r>
      <w:r>
        <w:rPr>
          <w:rFonts w:hint="eastAsia" w:ascii="Times New Roman" w:hAnsi="Times New Roman" w:eastAsia="宋体"/>
          <w:sz w:val="24"/>
        </w:rPr>
        <w:t>反而低于</w:t>
      </w:r>
      <w:r>
        <w:rPr>
          <w:rFonts w:ascii="Times New Roman" w:hAnsi="Times New Roman" w:eastAsia="宋体"/>
          <w:sz w:val="24"/>
        </w:rPr>
        <w:t xml:space="preserve"> FY2022 </w:t>
      </w:r>
      <w:r>
        <w:rPr>
          <w:rFonts w:hint="eastAsia" w:ascii="Times New Roman" w:hAnsi="Times New Roman" w:eastAsia="宋体"/>
          <w:sz w:val="24"/>
        </w:rPr>
        <w:t>的</w:t>
      </w:r>
      <w:r>
        <w:rPr>
          <w:rFonts w:ascii="Times New Roman" w:hAnsi="Times New Roman" w:eastAsia="宋体"/>
          <w:sz w:val="24"/>
        </w:rPr>
        <w:t xml:space="preserve"> </w:t>
      </w:r>
      <w:r>
        <w:rPr>
          <w:rFonts w:hint="eastAsia" w:ascii="Times New Roman" w:hAnsi="Times New Roman" w:eastAsia="宋体"/>
          <w:sz w:val="24"/>
        </w:rPr>
        <w:t>$12.6B，而</w:t>
      </w:r>
      <w:r>
        <w:rPr>
          <w:rFonts w:ascii="Times New Roman" w:hAnsi="Times New Roman" w:eastAsia="宋体"/>
          <w:sz w:val="24"/>
        </w:rPr>
        <w:t xml:space="preserve"> PP&amp;E </w:t>
      </w:r>
      <w:r>
        <w:rPr>
          <w:rFonts w:hint="eastAsia" w:ascii="Times New Roman" w:hAnsi="Times New Roman" w:eastAsia="宋体"/>
          <w:sz w:val="24"/>
        </w:rPr>
        <w:t>原值增长</w:t>
      </w:r>
      <w:r>
        <w:rPr>
          <w:rFonts w:ascii="Times New Roman" w:hAnsi="Times New Roman" w:eastAsia="宋体"/>
          <w:sz w:val="24"/>
        </w:rPr>
        <w:t xml:space="preserve"> 29% </w:t>
      </w:r>
      <w:r>
        <w:rPr>
          <w:rFonts w:hint="eastAsia" w:ascii="Times New Roman" w:hAnsi="Times New Roman" w:eastAsia="宋体"/>
          <w:sz w:val="24"/>
        </w:rPr>
        <w:t>至</w:t>
      </w:r>
      <w:r>
        <w:rPr>
          <w:rFonts w:ascii="Times New Roman" w:hAnsi="Times New Roman" w:eastAsia="宋体"/>
          <w:sz w:val="24"/>
        </w:rPr>
        <w:t xml:space="preserve"> </w:t>
      </w:r>
      <w:r>
        <w:rPr>
          <w:rFonts w:hint="eastAsia" w:ascii="Times New Roman" w:hAnsi="Times New Roman" w:eastAsia="宋体"/>
          <w:sz w:val="24"/>
        </w:rPr>
        <w:t>$212B；MD&amp;A</w:t>
      </w:r>
      <w:r>
        <w:rPr>
          <w:rFonts w:ascii="Times New Roman" w:hAnsi="Times New Roman" w:eastAsia="宋体"/>
          <w:sz w:val="24"/>
        </w:rPr>
        <w:t xml:space="preserve"> </w:t>
      </w:r>
      <w:r>
        <w:rPr>
          <w:rFonts w:hint="eastAsia" w:ascii="Times New Roman" w:hAnsi="Times New Roman" w:eastAsia="宋体"/>
          <w:sz w:val="24"/>
        </w:rPr>
        <w:t>自认剔除变更影响后“毛利率改善</w:t>
      </w:r>
      <w:r>
        <w:rPr>
          <w:rFonts w:ascii="Times New Roman" w:hAnsi="Times New Roman" w:eastAsia="宋体"/>
          <w:sz w:val="24"/>
        </w:rPr>
        <w:t xml:space="preserve"> 2 </w:t>
      </w:r>
      <w:r>
        <w:rPr>
          <w:rFonts w:hint="eastAsia" w:ascii="Times New Roman" w:hAnsi="Times New Roman" w:eastAsia="宋体"/>
          <w:sz w:val="24"/>
        </w:rPr>
        <w:t>个点而非</w:t>
      </w:r>
      <w:r>
        <w:rPr>
          <w:rFonts w:ascii="Times New Roman" w:hAnsi="Times New Roman" w:eastAsia="宋体"/>
          <w:sz w:val="24"/>
        </w:rPr>
        <w:t xml:space="preserve"> </w:t>
      </w:r>
      <w:r>
        <w:rPr>
          <w:rFonts w:hint="eastAsia" w:ascii="Times New Roman" w:hAnsi="Times New Roman" w:eastAsia="宋体"/>
          <w:sz w:val="24"/>
        </w:rPr>
        <w:t>slightly”。同时</w:t>
      </w:r>
      <w:r>
        <w:rPr>
          <w:rFonts w:ascii="Times New Roman" w:hAnsi="Times New Roman" w:eastAsia="宋体"/>
          <w:sz w:val="24"/>
        </w:rPr>
        <w:t xml:space="preserve"> CAPEX </w:t>
      </w:r>
      <w:r>
        <w:rPr>
          <w:rFonts w:hint="eastAsia" w:ascii="Times New Roman" w:hAnsi="Times New Roman" w:eastAsia="宋体"/>
          <w:sz w:val="24"/>
        </w:rPr>
        <w:t>$44,477M（占收入</w:t>
      </w:r>
      <w:r>
        <w:rPr>
          <w:rFonts w:ascii="Times New Roman" w:hAnsi="Times New Roman" w:eastAsia="宋体"/>
          <w:sz w:val="24"/>
        </w:rPr>
        <w:t xml:space="preserve"> </w:t>
      </w:r>
      <w:r>
        <w:rPr>
          <w:rFonts w:hint="eastAsia" w:ascii="Times New Roman" w:hAnsi="Times New Roman" w:eastAsia="宋体"/>
          <w:sz w:val="24"/>
        </w:rPr>
        <w:t>18.1%，同比</w:t>
      </w:r>
      <w:r>
        <w:rPr>
          <w:rFonts w:ascii="Times New Roman" w:hAnsi="Times New Roman" w:eastAsia="宋体"/>
          <w:sz w:val="24"/>
        </w:rPr>
        <w:t xml:space="preserve"> </w:t>
      </w:r>
      <w:r>
        <w:rPr>
          <w:rFonts w:hint="eastAsia" w:ascii="Times New Roman" w:hAnsi="Times New Roman" w:eastAsia="宋体"/>
          <w:sz w:val="24"/>
        </w:rPr>
        <w:t>+58%）、$35.4B</w:t>
      </w:r>
      <w:r>
        <w:rPr>
          <w:rFonts w:ascii="Times New Roman" w:hAnsi="Times New Roman" w:eastAsia="宋体"/>
          <w:sz w:val="24"/>
        </w:rPr>
        <w:t xml:space="preserve"> </w:t>
      </w:r>
      <w:r>
        <w:rPr>
          <w:rFonts w:hint="eastAsia" w:ascii="Times New Roman" w:hAnsi="Times New Roman" w:eastAsia="宋体"/>
          <w:sz w:val="24"/>
        </w:rPr>
        <w:t>数据中心建设承诺已锁定、Azure</w:t>
      </w:r>
      <w:r>
        <w:rPr>
          <w:rFonts w:ascii="Times New Roman" w:hAnsi="Times New Roman" w:eastAsia="宋体"/>
          <w:sz w:val="24"/>
        </w:rPr>
        <w:t xml:space="preserve"> </w:t>
      </w:r>
      <w:r>
        <w:rPr>
          <w:rFonts w:hint="eastAsia" w:ascii="Times New Roman" w:hAnsi="Times New Roman" w:eastAsia="宋体"/>
          <w:sz w:val="24"/>
        </w:rPr>
        <w:t>作为</w:t>
      </w:r>
      <w:r>
        <w:rPr>
          <w:rFonts w:ascii="Times New Roman" w:hAnsi="Times New Roman" w:eastAsia="宋体"/>
          <w:sz w:val="24"/>
        </w:rPr>
        <w:t xml:space="preserve"> OpenAI </w:t>
      </w:r>
      <w:r>
        <w:rPr>
          <w:rFonts w:hint="eastAsia" w:ascii="Times New Roman" w:hAnsi="Times New Roman" w:eastAsia="宋体"/>
          <w:sz w:val="24"/>
        </w:rPr>
        <w:t>核心算力提供方（D5</w:t>
      </w:r>
      <w:r>
        <w:rPr>
          <w:rFonts w:ascii="Times New Roman" w:hAnsi="Times New Roman" w:eastAsia="宋体"/>
          <w:sz w:val="24"/>
        </w:rPr>
        <w:t xml:space="preserve"> </w:t>
      </w:r>
      <w:r>
        <w:rPr>
          <w:rFonts w:hint="eastAsia" w:ascii="Times New Roman" w:hAnsi="Times New Roman" w:eastAsia="宋体"/>
          <w:sz w:val="24"/>
        </w:rPr>
        <w:t>满分）——风险处于快速累积通道。</w:t>
      </w:r>
    </w:p>
    <w:bookmarkEnd w:id="87"/>
    <w:p w14:paraId="4898FC51">
      <w:pPr>
        <w:pStyle w:val="5"/>
        <w:spacing w:before="240" w:after="120" w:line="360" w:lineRule="auto"/>
      </w:pPr>
      <w:bookmarkStart w:id="88" w:name="micronfy2022fy20244.004.204.00风险的另一种兑现方式"/>
      <w:r>
        <w:rPr>
          <w:rFonts w:ascii="Times New Roman" w:hAnsi="Times New Roman" w:eastAsia="黑体"/>
          <w:b/>
          <w:color w:val="003366"/>
          <w:sz w:val="24"/>
        </w:rPr>
        <w:t xml:space="preserve">4.3.4 </w:t>
      </w:r>
      <w:r>
        <w:rPr>
          <w:rFonts w:hint="eastAsia" w:ascii="Times New Roman" w:hAnsi="Times New Roman" w:eastAsia="黑体"/>
          <w:b/>
          <w:color w:val="003366"/>
          <w:sz w:val="24"/>
        </w:rPr>
        <w:t>Micron（FY2022→FY2024：4.00→4.20→4.00）：风险的另一种兑现方式</w:t>
      </w:r>
    </w:p>
    <w:p w14:paraId="173223F4">
      <w:pPr>
        <w:pStyle w:val="25"/>
        <w:spacing w:before="40" w:after="40" w:line="360" w:lineRule="auto"/>
        <w:ind w:firstLine="480"/>
      </w:pPr>
      <w:r>
        <w:rPr>
          <w:rFonts w:hint="eastAsia" w:ascii="Times New Roman" w:hAnsi="Times New Roman" w:eastAsia="宋体"/>
          <w:sz w:val="24"/>
        </w:rPr>
        <w:t>三年轨迹：减值兑现年触顶——FY2023</w:t>
      </w:r>
      <w:r>
        <w:rPr>
          <w:rFonts w:ascii="Times New Roman" w:hAnsi="Times New Roman" w:eastAsia="宋体"/>
          <w:sz w:val="24"/>
        </w:rPr>
        <w:t xml:space="preserve"> </w:t>
      </w:r>
      <w:r>
        <w:rPr>
          <w:rFonts w:hint="eastAsia" w:ascii="Times New Roman" w:hAnsi="Times New Roman" w:eastAsia="宋体"/>
          <w:sz w:val="24"/>
        </w:rPr>
        <w:t>存货与商誉减值集中兑现，评分触及</w:t>
      </w:r>
      <w:r>
        <w:rPr>
          <w:rFonts w:ascii="Times New Roman" w:hAnsi="Times New Roman" w:eastAsia="宋体"/>
          <w:sz w:val="24"/>
        </w:rPr>
        <w:t xml:space="preserve"> 4.20 </w:t>
      </w:r>
      <w:r>
        <w:rPr>
          <w:rFonts w:hint="eastAsia" w:ascii="Times New Roman" w:hAnsi="Times New Roman" w:eastAsia="宋体"/>
          <w:sz w:val="24"/>
        </w:rPr>
        <w:t>峰值，前后两年均回到</w:t>
      </w:r>
      <w:r>
        <w:rPr>
          <w:rFonts w:ascii="Times New Roman" w:hAnsi="Times New Roman" w:eastAsia="宋体"/>
          <w:sz w:val="24"/>
        </w:rPr>
        <w:t xml:space="preserve"> 4.00。</w:t>
      </w:r>
    </w:p>
    <w:p w14:paraId="440C23EF">
      <w:pPr>
        <w:pStyle w:val="3"/>
        <w:spacing w:before="40" w:after="40" w:line="360" w:lineRule="auto"/>
        <w:ind w:firstLine="480"/>
      </w:pPr>
      <w:r>
        <w:rPr>
          <w:rFonts w:ascii="Times New Roman" w:hAnsi="Times New Roman" w:eastAsia="宋体"/>
          <w:sz w:val="24"/>
        </w:rPr>
        <w:t xml:space="preserve">Micron </w:t>
      </w:r>
      <w:r>
        <w:rPr>
          <w:rFonts w:hint="eastAsia" w:ascii="Times New Roman" w:hAnsi="Times New Roman" w:eastAsia="宋体"/>
          <w:sz w:val="24"/>
        </w:rPr>
        <w:t>展示了与云厂商截然不同的风险路径——不是折旧假设激进，而是减值已经兑现：</w:t>
      </w:r>
    </w:p>
    <w:p w14:paraId="540D532D">
      <w:pPr>
        <w:pStyle w:val="3"/>
        <w:spacing w:before="40" w:after="40" w:line="360" w:lineRule="auto"/>
        <w:ind w:firstLine="480"/>
      </w:pPr>
      <w:r>
        <w:rPr>
          <w:rFonts w:ascii="Times New Roman" w:hAnsi="Times New Roman" w:eastAsia="宋体"/>
          <w:sz w:val="24"/>
        </w:rPr>
        <w:t xml:space="preserve">D3 </w:t>
      </w:r>
      <w:r>
        <w:rPr>
          <w:rFonts w:hint="eastAsia" w:ascii="Times New Roman" w:hAnsi="Times New Roman" w:eastAsia="宋体"/>
          <w:sz w:val="24"/>
        </w:rPr>
        <w:t>满分（5</w:t>
      </w:r>
      <w:r>
        <w:rPr>
          <w:rFonts w:ascii="Times New Roman" w:hAnsi="Times New Roman" w:eastAsia="宋体"/>
          <w:sz w:val="24"/>
        </w:rPr>
        <w:t xml:space="preserve"> </w:t>
      </w:r>
      <w:r>
        <w:rPr>
          <w:rFonts w:hint="eastAsia" w:ascii="Times New Roman" w:hAnsi="Times New Roman" w:eastAsia="宋体"/>
          <w:sz w:val="24"/>
        </w:rPr>
        <w:t>分）：FY2023</w:t>
      </w:r>
      <w:r>
        <w:rPr>
          <w:rFonts w:ascii="Times New Roman" w:hAnsi="Times New Roman" w:eastAsia="宋体"/>
          <w:sz w:val="24"/>
        </w:rPr>
        <w:t xml:space="preserve"> </w:t>
      </w:r>
      <w:r>
        <w:rPr>
          <w:rFonts w:hint="eastAsia" w:ascii="Times New Roman" w:hAnsi="Times New Roman" w:eastAsia="宋体"/>
          <w:sz w:val="24"/>
        </w:rPr>
        <w:t>存货按可变现净值减记</w:t>
      </w:r>
      <w:r>
        <w:rPr>
          <w:rFonts w:ascii="Times New Roman" w:hAnsi="Times New Roman" w:eastAsia="宋体"/>
          <w:sz w:val="24"/>
        </w:rPr>
        <w:t xml:space="preserve"> </w:t>
      </w:r>
      <w:r>
        <w:rPr>
          <w:rFonts w:hint="eastAsia" w:ascii="Times New Roman" w:hAnsi="Times New Roman" w:eastAsia="宋体"/>
          <w:sz w:val="24"/>
        </w:rPr>
        <w:t>$1.83B（审计师唯一关键审计事项）、SBU</w:t>
      </w:r>
      <w:r>
        <w:rPr>
          <w:rFonts w:ascii="Times New Roman" w:hAnsi="Times New Roman" w:eastAsia="宋体"/>
          <w:sz w:val="24"/>
        </w:rPr>
        <w:t xml:space="preserve"> </w:t>
      </w:r>
      <w:r>
        <w:rPr>
          <w:rFonts w:hint="eastAsia" w:ascii="Times New Roman" w:hAnsi="Times New Roman" w:eastAsia="宋体"/>
          <w:sz w:val="24"/>
        </w:rPr>
        <w:t>商誉全额减值</w:t>
      </w:r>
      <w:r>
        <w:rPr>
          <w:rFonts w:ascii="Times New Roman" w:hAnsi="Times New Roman" w:eastAsia="宋体"/>
          <w:sz w:val="24"/>
        </w:rPr>
        <w:t xml:space="preserve"> </w:t>
      </w:r>
      <w:r>
        <w:rPr>
          <w:rFonts w:hint="eastAsia" w:ascii="Times New Roman" w:hAnsi="Times New Roman" w:eastAsia="宋体"/>
          <w:sz w:val="24"/>
        </w:rPr>
        <w:t>$101M、产能闲置成本</w:t>
      </w:r>
      <w:r>
        <w:rPr>
          <w:rFonts w:ascii="Times New Roman" w:hAnsi="Times New Roman" w:eastAsia="宋体"/>
          <w:sz w:val="24"/>
        </w:rPr>
        <w:t xml:space="preserve"> </w:t>
      </w:r>
      <w:r>
        <w:rPr>
          <w:rFonts w:hint="eastAsia" w:ascii="Times New Roman" w:hAnsi="Times New Roman" w:eastAsia="宋体"/>
          <w:sz w:val="24"/>
        </w:rPr>
        <w:t>$382M、重组费用</w:t>
      </w:r>
      <w:r>
        <w:rPr>
          <w:rFonts w:ascii="Times New Roman" w:hAnsi="Times New Roman" w:eastAsia="宋体"/>
          <w:sz w:val="24"/>
        </w:rPr>
        <w:t xml:space="preserve"> </w:t>
      </w:r>
      <w:r>
        <w:rPr>
          <w:rFonts w:hint="eastAsia" w:ascii="Times New Roman" w:hAnsi="Times New Roman" w:eastAsia="宋体"/>
          <w:sz w:val="24"/>
        </w:rPr>
        <w:t>$171M——技术误判与周期下行已经真实击穿利润表；</w:t>
      </w:r>
    </w:p>
    <w:p w14:paraId="7FB412F9">
      <w:pPr>
        <w:pStyle w:val="3"/>
        <w:spacing w:before="40" w:after="40" w:line="360" w:lineRule="auto"/>
        <w:ind w:firstLine="480"/>
      </w:pPr>
      <w:r>
        <w:rPr>
          <w:rFonts w:ascii="Times New Roman" w:hAnsi="Times New Roman" w:eastAsia="宋体"/>
          <w:sz w:val="24"/>
        </w:rPr>
        <w:t xml:space="preserve">D4 </w:t>
      </w:r>
      <w:r>
        <w:rPr>
          <w:rFonts w:hint="eastAsia" w:ascii="Times New Roman" w:hAnsi="Times New Roman" w:eastAsia="宋体"/>
          <w:sz w:val="24"/>
        </w:rPr>
        <w:t>满分（5</w:t>
      </w:r>
      <w:r>
        <w:rPr>
          <w:rFonts w:ascii="Times New Roman" w:hAnsi="Times New Roman" w:eastAsia="宋体"/>
          <w:sz w:val="24"/>
        </w:rPr>
        <w:t xml:space="preserve"> </w:t>
      </w:r>
      <w:r>
        <w:rPr>
          <w:rFonts w:hint="eastAsia" w:ascii="Times New Roman" w:hAnsi="Times New Roman" w:eastAsia="宋体"/>
          <w:sz w:val="24"/>
        </w:rPr>
        <w:t>分）：CAPEX/收入</w:t>
      </w:r>
      <w:r>
        <w:rPr>
          <w:rFonts w:ascii="Times New Roman" w:hAnsi="Times New Roman" w:eastAsia="宋体"/>
          <w:sz w:val="24"/>
        </w:rPr>
        <w:t xml:space="preserve"> 49.4% </w:t>
      </w:r>
      <w:r>
        <w:rPr>
          <w:rFonts w:hint="eastAsia" w:ascii="Times New Roman" w:hAnsi="Times New Roman" w:eastAsia="宋体"/>
          <w:sz w:val="24"/>
        </w:rPr>
        <w:t>为全样本最高，且非单年异常（FY2022</w:t>
      </w:r>
      <w:r>
        <w:rPr>
          <w:rFonts w:ascii="Times New Roman" w:hAnsi="Times New Roman" w:eastAsia="宋体"/>
          <w:sz w:val="24"/>
        </w:rPr>
        <w:t xml:space="preserve"> </w:t>
      </w:r>
      <w:r>
        <w:rPr>
          <w:rFonts w:hint="eastAsia" w:ascii="Times New Roman" w:hAnsi="Times New Roman" w:eastAsia="宋体"/>
          <w:sz w:val="24"/>
        </w:rPr>
        <w:t>为</w:t>
      </w:r>
      <w:r>
        <w:rPr>
          <w:rFonts w:ascii="Times New Roman" w:hAnsi="Times New Roman" w:eastAsia="宋体"/>
          <w:sz w:val="24"/>
        </w:rPr>
        <w:t xml:space="preserve"> 39.2%、FY2021 </w:t>
      </w:r>
      <w:r>
        <w:rPr>
          <w:rFonts w:hint="eastAsia" w:ascii="Times New Roman" w:hAnsi="Times New Roman" w:eastAsia="宋体"/>
          <w:sz w:val="24"/>
        </w:rPr>
        <w:t>为</w:t>
      </w:r>
      <w:r>
        <w:rPr>
          <w:rFonts w:ascii="Times New Roman" w:hAnsi="Times New Roman" w:eastAsia="宋体"/>
          <w:sz w:val="24"/>
        </w:rPr>
        <w:t xml:space="preserve"> </w:t>
      </w:r>
      <w:r>
        <w:rPr>
          <w:rFonts w:hint="eastAsia" w:ascii="Times New Roman" w:hAnsi="Times New Roman" w:eastAsia="宋体"/>
          <w:sz w:val="24"/>
        </w:rPr>
        <w:t>36.2%）；</w:t>
      </w:r>
    </w:p>
    <w:p w14:paraId="4F27C8A5">
      <w:pPr>
        <w:pStyle w:val="3"/>
        <w:spacing w:before="40" w:after="40" w:line="360" w:lineRule="auto"/>
        <w:ind w:firstLine="480"/>
      </w:pPr>
      <w:r>
        <w:rPr>
          <w:rFonts w:ascii="Times New Roman" w:hAnsi="Times New Roman" w:eastAsia="宋体"/>
          <w:sz w:val="24"/>
        </w:rPr>
        <w:t xml:space="preserve">D2 </w:t>
      </w:r>
      <w:r>
        <w:rPr>
          <w:rFonts w:hint="eastAsia" w:ascii="Times New Roman" w:hAnsi="Times New Roman" w:eastAsia="宋体"/>
          <w:sz w:val="24"/>
        </w:rPr>
        <w:t>中性（3</w:t>
      </w:r>
      <w:r>
        <w:rPr>
          <w:rFonts w:ascii="Times New Roman" w:hAnsi="Times New Roman" w:eastAsia="宋体"/>
          <w:sz w:val="24"/>
        </w:rPr>
        <w:t xml:space="preserve"> </w:t>
      </w:r>
      <w:r>
        <w:rPr>
          <w:rFonts w:hint="eastAsia" w:ascii="Times New Roman" w:hAnsi="Times New Roman" w:eastAsia="宋体"/>
          <w:sz w:val="24"/>
        </w:rPr>
        <w:t>分）：FY2023</w:t>
      </w:r>
      <w:r>
        <w:rPr>
          <w:rFonts w:ascii="Times New Roman" w:hAnsi="Times New Roman" w:eastAsia="宋体"/>
          <w:sz w:val="24"/>
        </w:rPr>
        <w:t xml:space="preserve"> </w:t>
      </w:r>
      <w:r>
        <w:rPr>
          <w:rFonts w:hint="eastAsia" w:ascii="Times New Roman" w:hAnsi="Times New Roman" w:eastAsia="宋体"/>
          <w:sz w:val="24"/>
        </w:rPr>
        <w:t>无任何折旧年限变更——Micron</w:t>
      </w:r>
      <w:r>
        <w:rPr>
          <w:rFonts w:ascii="Times New Roman" w:hAnsi="Times New Roman" w:eastAsia="宋体"/>
          <w:sz w:val="24"/>
        </w:rPr>
        <w:t xml:space="preserve"> </w:t>
      </w:r>
      <w:r>
        <w:rPr>
          <w:rFonts w:hint="eastAsia" w:ascii="Times New Roman" w:hAnsi="Times New Roman" w:eastAsia="宋体"/>
          <w:sz w:val="24"/>
        </w:rPr>
        <w:t>在下行年没有选择用会计估计修饰利润，与</w:t>
      </w:r>
      <w:r>
        <w:rPr>
          <w:rFonts w:ascii="Times New Roman" w:hAnsi="Times New Roman" w:eastAsia="宋体"/>
          <w:sz w:val="24"/>
        </w:rPr>
        <w:t xml:space="preserve"> Intel </w:t>
      </w:r>
      <w:r>
        <w:rPr>
          <w:rFonts w:hint="eastAsia" w:ascii="Times New Roman" w:hAnsi="Times New Roman" w:eastAsia="宋体"/>
          <w:sz w:val="24"/>
        </w:rPr>
        <w:t>形成鲜明对照。</w:t>
      </w:r>
    </w:p>
    <w:p w14:paraId="591006FB">
      <w:pPr>
        <w:pStyle w:val="3"/>
        <w:spacing w:before="40" w:after="40" w:line="360" w:lineRule="auto"/>
        <w:ind w:firstLine="480"/>
      </w:pPr>
      <w:r>
        <w:rPr>
          <w:rFonts w:ascii="Times New Roman" w:hAnsi="Times New Roman" w:eastAsia="宋体"/>
          <w:sz w:val="24"/>
        </w:rPr>
        <w:t xml:space="preserve">Micron </w:t>
      </w:r>
      <w:r>
        <w:rPr>
          <w:rFonts w:hint="eastAsia" w:ascii="Times New Roman" w:hAnsi="Times New Roman" w:eastAsia="宋体"/>
          <w:sz w:val="24"/>
        </w:rPr>
        <w:t>案例的价值在于证明：折旧/减值风险不是“会不会兑现”的问题，而是“何时、以何种通道兑现”的问题。云厂商的错配尚未兑现（藏在折旧表里），存储厂商的错配已经兑现（砸在存货和商誉上）——前者是后者的时间差版本。</w:t>
      </w:r>
    </w:p>
    <w:bookmarkEnd w:id="88"/>
    <w:p w14:paraId="2C706EE0">
      <w:pPr>
        <w:pStyle w:val="5"/>
        <w:spacing w:before="240" w:after="120" w:line="360" w:lineRule="auto"/>
      </w:pPr>
      <w:bookmarkStart w:id="89" w:name="meta202220244.604.004.60基准样本与三年两延"/>
      <w:r>
        <w:rPr>
          <w:rFonts w:ascii="Times New Roman" w:hAnsi="Times New Roman" w:eastAsia="黑体"/>
          <w:b/>
          <w:color w:val="003366"/>
          <w:sz w:val="24"/>
        </w:rPr>
        <w:t xml:space="preserve">4.3.5 </w:t>
      </w:r>
      <w:r>
        <w:rPr>
          <w:rFonts w:hint="eastAsia" w:ascii="Times New Roman" w:hAnsi="Times New Roman" w:eastAsia="黑体"/>
          <w:b/>
          <w:color w:val="003366"/>
          <w:sz w:val="24"/>
        </w:rPr>
        <w:t>Meta（2022→2024：4.60→4.00→4.60）：基准样本与“三年两延”</w:t>
      </w:r>
    </w:p>
    <w:p w14:paraId="7AA542FF">
      <w:pPr>
        <w:pStyle w:val="25"/>
        <w:spacing w:before="40" w:after="40" w:line="360" w:lineRule="auto"/>
        <w:ind w:firstLine="480"/>
      </w:pPr>
      <w:r>
        <w:rPr>
          <w:rFonts w:hint="eastAsia" w:ascii="Times New Roman" w:hAnsi="Times New Roman" w:eastAsia="宋体"/>
          <w:sz w:val="24"/>
        </w:rPr>
        <w:t>三年轨迹：两次变更年均跳升——2022</w:t>
      </w:r>
      <w:r>
        <w:rPr>
          <w:rFonts w:ascii="Times New Roman" w:hAnsi="Times New Roman" w:eastAsia="宋体"/>
          <w:sz w:val="24"/>
        </w:rPr>
        <w:t xml:space="preserve"> </w:t>
      </w:r>
      <w:r>
        <w:rPr>
          <w:rFonts w:hint="eastAsia" w:ascii="Times New Roman" w:hAnsi="Times New Roman" w:eastAsia="宋体"/>
          <w:sz w:val="24"/>
        </w:rPr>
        <w:t>变更年</w:t>
      </w:r>
      <w:r>
        <w:rPr>
          <w:rFonts w:ascii="Times New Roman" w:hAnsi="Times New Roman" w:eastAsia="宋体"/>
          <w:sz w:val="24"/>
        </w:rPr>
        <w:t xml:space="preserve"> </w:t>
      </w:r>
      <w:r>
        <w:rPr>
          <w:rFonts w:hint="eastAsia" w:ascii="Times New Roman" w:hAnsi="Times New Roman" w:eastAsia="宋体"/>
          <w:sz w:val="24"/>
        </w:rPr>
        <w:t>4.60、基准年</w:t>
      </w:r>
      <w:r>
        <w:rPr>
          <w:rFonts w:ascii="Times New Roman" w:hAnsi="Times New Roman" w:eastAsia="宋体"/>
          <w:sz w:val="24"/>
        </w:rPr>
        <w:t xml:space="preserve"> 2023 </w:t>
      </w:r>
      <w:r>
        <w:rPr>
          <w:rFonts w:hint="eastAsia" w:ascii="Times New Roman" w:hAnsi="Times New Roman" w:eastAsia="宋体"/>
          <w:sz w:val="24"/>
        </w:rPr>
        <w:t>回落</w:t>
      </w:r>
      <w:r>
        <w:rPr>
          <w:rFonts w:ascii="Times New Roman" w:hAnsi="Times New Roman" w:eastAsia="宋体"/>
          <w:sz w:val="24"/>
        </w:rPr>
        <w:t xml:space="preserve"> 4.00、2024 </w:t>
      </w:r>
      <w:r>
        <w:rPr>
          <w:rFonts w:hint="eastAsia" w:ascii="Times New Roman" w:hAnsi="Times New Roman" w:eastAsia="宋体"/>
          <w:sz w:val="24"/>
        </w:rPr>
        <w:t>变更披露年再跳至</w:t>
      </w:r>
      <w:r>
        <w:rPr>
          <w:rFonts w:ascii="Times New Roman" w:hAnsi="Times New Roman" w:eastAsia="宋体"/>
          <w:sz w:val="24"/>
        </w:rPr>
        <w:t xml:space="preserve"> </w:t>
      </w:r>
      <w:r>
        <w:rPr>
          <w:rFonts w:hint="eastAsia" w:ascii="Times New Roman" w:hAnsi="Times New Roman" w:eastAsia="宋体"/>
          <w:sz w:val="24"/>
        </w:rPr>
        <w:t>4.60（全样本最高单年分），是“连续延长者”的典型轨迹。</w:t>
      </w:r>
    </w:p>
    <w:p w14:paraId="4F0E63D5">
      <w:pPr>
        <w:pStyle w:val="3"/>
        <w:spacing w:before="40" w:after="40" w:line="360" w:lineRule="auto"/>
        <w:ind w:firstLine="480"/>
      </w:pPr>
      <w:r>
        <w:rPr>
          <w:rFonts w:hint="eastAsia" w:ascii="Times New Roman" w:hAnsi="Times New Roman" w:eastAsia="宋体"/>
          <w:sz w:val="24"/>
        </w:rPr>
        <w:t>项目负责人逐条确认的基准锚（2023：服务器</w:t>
      </w:r>
      <w:r>
        <w:rPr>
          <w:rFonts w:ascii="Times New Roman" w:hAnsi="Times New Roman" w:eastAsia="宋体"/>
          <w:sz w:val="24"/>
        </w:rPr>
        <w:t xml:space="preserve"> 4-5 </w:t>
      </w:r>
      <w:r>
        <w:rPr>
          <w:rFonts w:hint="eastAsia" w:ascii="Times New Roman" w:hAnsi="Times New Roman" w:eastAsia="宋体"/>
          <w:sz w:val="24"/>
        </w:rPr>
        <w:t>年、当年实际减值</w:t>
      </w:r>
      <w:r>
        <w:rPr>
          <w:rFonts w:ascii="Times New Roman" w:hAnsi="Times New Roman" w:eastAsia="宋体"/>
          <w:sz w:val="24"/>
        </w:rPr>
        <w:t xml:space="preserve"> </w:t>
      </w:r>
      <w:r>
        <w:rPr>
          <w:rFonts w:hint="eastAsia" w:ascii="Times New Roman" w:hAnsi="Times New Roman" w:eastAsia="宋体"/>
          <w:sz w:val="24"/>
        </w:rPr>
        <w:t>$2.43B、CAPEX/收入</w:t>
      </w:r>
      <w:r>
        <w:rPr>
          <w:rFonts w:ascii="Times New Roman" w:hAnsi="Times New Roman" w:eastAsia="宋体"/>
          <w:sz w:val="24"/>
        </w:rPr>
        <w:t xml:space="preserve"> </w:t>
      </w:r>
      <w:r>
        <w:rPr>
          <w:rFonts w:hint="eastAsia" w:ascii="Times New Roman" w:hAnsi="Times New Roman" w:eastAsia="宋体"/>
          <w:sz w:val="24"/>
        </w:rPr>
        <w:t>20.2%，四维均衡</w:t>
      </w:r>
      <w:r>
        <w:rPr>
          <w:rFonts w:ascii="Times New Roman" w:hAnsi="Times New Roman" w:eastAsia="宋体"/>
          <w:sz w:val="24"/>
        </w:rPr>
        <w:t xml:space="preserve"> 4 </w:t>
      </w:r>
      <w:r>
        <w:rPr>
          <w:rFonts w:hint="eastAsia" w:ascii="Times New Roman" w:hAnsi="Times New Roman" w:eastAsia="宋体"/>
          <w:sz w:val="24"/>
        </w:rPr>
        <w:t>分，是全体系的校准原点）。面板两端则揭示了基准之外的完整故事：</w:t>
      </w:r>
    </w:p>
    <w:p w14:paraId="55894350">
      <w:pPr>
        <w:pStyle w:val="3"/>
        <w:spacing w:before="40" w:after="40" w:line="360" w:lineRule="auto"/>
        <w:ind w:firstLine="480"/>
      </w:pPr>
      <w:r>
        <w:rPr>
          <w:rFonts w:hint="eastAsia" w:ascii="Times New Roman" w:hAnsi="Times New Roman" w:eastAsia="宋体"/>
          <w:sz w:val="24"/>
        </w:rPr>
        <w:t>2022（4.60，变更年）：Note</w:t>
      </w:r>
      <w:r>
        <w:rPr>
          <w:rFonts w:ascii="Times New Roman" w:hAnsi="Times New Roman" w:eastAsia="宋体"/>
          <w:sz w:val="24"/>
        </w:rPr>
        <w:t xml:space="preserve"> </w:t>
      </w:r>
      <w:r>
        <w:rPr>
          <w:rFonts w:hint="eastAsia" w:ascii="Times New Roman" w:hAnsi="Times New Roman" w:eastAsia="宋体"/>
          <w:sz w:val="24"/>
        </w:rPr>
        <w:t>1（HTML</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4744-4754 </w:t>
      </w:r>
      <w:r>
        <w:rPr>
          <w:rFonts w:hint="eastAsia" w:ascii="Times New Roman" w:hAnsi="Times New Roman" w:eastAsia="宋体"/>
          <w:sz w:val="24"/>
        </w:rPr>
        <w:t>行）逐字披露服务器与网络资产年限</w:t>
      </w:r>
      <w:r>
        <w:rPr>
          <w:rFonts w:ascii="Times New Roman" w:hAnsi="Times New Roman" w:eastAsia="宋体"/>
          <w:sz w:val="24"/>
        </w:rPr>
        <w:t xml:space="preserve"> Q2 2022 </w:t>
      </w:r>
      <w:r>
        <w:rPr>
          <w:rFonts w:hint="eastAsia" w:ascii="Times New Roman" w:hAnsi="Times New Roman" w:eastAsia="宋体"/>
          <w:sz w:val="24"/>
        </w:rPr>
        <w:t>由</w:t>
      </w:r>
      <w:r>
        <w:rPr>
          <w:rFonts w:ascii="Times New Roman" w:hAnsi="Times New Roman" w:eastAsia="宋体"/>
          <w:sz w:val="24"/>
        </w:rPr>
        <w:t xml:space="preserve"> 4 </w:t>
      </w:r>
      <w:r>
        <w:rPr>
          <w:rFonts w:hint="eastAsia" w:ascii="Times New Roman" w:hAnsi="Times New Roman" w:eastAsia="宋体"/>
          <w:sz w:val="24"/>
        </w:rPr>
        <w:t>年延至</w:t>
      </w:r>
      <w:r>
        <w:rPr>
          <w:rFonts w:ascii="Times New Roman" w:hAnsi="Times New Roman" w:eastAsia="宋体"/>
          <w:sz w:val="24"/>
        </w:rPr>
        <w:t xml:space="preserve"> 4.5 </w:t>
      </w:r>
      <w:r>
        <w:rPr>
          <w:rFonts w:hint="eastAsia" w:ascii="Times New Roman" w:hAnsi="Times New Roman" w:eastAsia="宋体"/>
          <w:sz w:val="24"/>
        </w:rPr>
        <w:t>年、Q4</w:t>
      </w:r>
      <w:r>
        <w:rPr>
          <w:rFonts w:ascii="Times New Roman" w:hAnsi="Times New Roman" w:eastAsia="宋体"/>
          <w:sz w:val="24"/>
        </w:rPr>
        <w:t xml:space="preserve"> 2022 </w:t>
      </w:r>
      <w:r>
        <w:rPr>
          <w:rFonts w:hint="eastAsia" w:ascii="Times New Roman" w:hAnsi="Times New Roman" w:eastAsia="宋体"/>
          <w:sz w:val="24"/>
        </w:rPr>
        <w:t>再延至</w:t>
      </w:r>
      <w:r>
        <w:rPr>
          <w:rFonts w:ascii="Times New Roman" w:hAnsi="Times New Roman" w:eastAsia="宋体"/>
          <w:sz w:val="24"/>
        </w:rPr>
        <w:t xml:space="preserve"> 5 </w:t>
      </w:r>
      <w:r>
        <w:rPr>
          <w:rFonts w:hint="eastAsia" w:ascii="Times New Roman" w:hAnsi="Times New Roman" w:eastAsia="宋体"/>
          <w:sz w:val="24"/>
        </w:rPr>
        <w:t>年，全年折旧费用减少</w:t>
      </w:r>
      <w:r>
        <w:rPr>
          <w:rFonts w:ascii="Times New Roman" w:hAnsi="Times New Roman" w:eastAsia="宋体"/>
          <w:sz w:val="24"/>
        </w:rPr>
        <w:t xml:space="preserve"> </w:t>
      </w:r>
      <w:r>
        <w:rPr>
          <w:rFonts w:hint="eastAsia" w:ascii="Times New Roman" w:hAnsi="Times New Roman" w:eastAsia="宋体"/>
          <w:sz w:val="24"/>
        </w:rPr>
        <w:t>$860M、净利增加</w:t>
      </w:r>
      <w:r>
        <w:rPr>
          <w:rFonts w:ascii="Times New Roman" w:hAnsi="Times New Roman" w:eastAsia="宋体"/>
          <w:sz w:val="24"/>
        </w:rPr>
        <w:t xml:space="preserve"> </w:t>
      </w:r>
      <w:r>
        <w:rPr>
          <w:rFonts w:hint="eastAsia" w:ascii="Times New Roman" w:hAnsi="Times New Roman" w:eastAsia="宋体"/>
          <w:sz w:val="24"/>
        </w:rPr>
        <w:t>$693M（+$0.26/股）；同年</w:t>
      </w:r>
      <w:r>
        <w:rPr>
          <w:rFonts w:ascii="Times New Roman" w:hAnsi="Times New Roman" w:eastAsia="宋体"/>
          <w:sz w:val="24"/>
        </w:rPr>
        <w:t xml:space="preserve"> 12 </w:t>
      </w:r>
      <w:r>
        <w:rPr>
          <w:rFonts w:hint="eastAsia" w:ascii="Times New Roman" w:hAnsi="Times New Roman" w:eastAsia="宋体"/>
          <w:sz w:val="24"/>
        </w:rPr>
        <w:t>月公司又将数据中心项目转向“下一代设计”并计提设施整合减值——一边延长旧资产寿命、一边减值旧设施，政策方向自相矛盾，D2/D3/D4</w:t>
      </w:r>
      <w:r>
        <w:rPr>
          <w:rFonts w:ascii="Times New Roman" w:hAnsi="Times New Roman" w:eastAsia="宋体"/>
          <w:sz w:val="24"/>
        </w:rPr>
        <w:t xml:space="preserve"> </w:t>
      </w:r>
      <w:r>
        <w:rPr>
          <w:rFonts w:hint="eastAsia" w:ascii="Times New Roman" w:hAnsi="Times New Roman" w:eastAsia="宋体"/>
          <w:sz w:val="24"/>
        </w:rPr>
        <w:t>三维满分。</w:t>
      </w:r>
    </w:p>
    <w:p w14:paraId="32B5B9FC">
      <w:pPr>
        <w:pStyle w:val="3"/>
        <w:spacing w:before="40" w:after="40" w:line="360" w:lineRule="auto"/>
        <w:ind w:firstLine="480"/>
      </w:pPr>
      <w:r>
        <w:rPr>
          <w:rFonts w:hint="eastAsia" w:ascii="Times New Roman" w:hAnsi="Times New Roman" w:eastAsia="宋体"/>
          <w:sz w:val="24"/>
        </w:rPr>
        <w:t>2024（4.60，变更披露年）：2024</w:t>
      </w:r>
      <w:r>
        <w:rPr>
          <w:rFonts w:ascii="Times New Roman" w:hAnsi="Times New Roman" w:eastAsia="宋体"/>
          <w:sz w:val="24"/>
        </w:rPr>
        <w:t xml:space="preserve"> 10-K </w:t>
      </w:r>
      <w:r>
        <w:rPr>
          <w:rFonts w:hint="eastAsia" w:ascii="Times New Roman" w:hAnsi="Times New Roman" w:eastAsia="宋体"/>
          <w:sz w:val="24"/>
        </w:rPr>
        <w:t>披露</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月再度将服务器与网络资产年限延长至</w:t>
      </w:r>
      <w:r>
        <w:rPr>
          <w:rFonts w:ascii="Times New Roman" w:hAnsi="Times New Roman" w:eastAsia="宋体"/>
          <w:sz w:val="24"/>
        </w:rPr>
        <w:t xml:space="preserve"> 5.5 </w:t>
      </w:r>
      <w:r>
        <w:rPr>
          <w:rFonts w:hint="eastAsia" w:ascii="Times New Roman" w:hAnsi="Times New Roman" w:eastAsia="宋体"/>
          <w:sz w:val="24"/>
        </w:rPr>
        <w:t>年、预计减少</w:t>
      </w:r>
      <w:r>
        <w:rPr>
          <w:rFonts w:ascii="Times New Roman" w:hAnsi="Times New Roman" w:eastAsia="宋体"/>
          <w:sz w:val="24"/>
        </w:rPr>
        <w:t xml:space="preserve"> 2025 </w:t>
      </w:r>
      <w:r>
        <w:rPr>
          <w:rFonts w:hint="eastAsia" w:ascii="Times New Roman" w:hAnsi="Times New Roman" w:eastAsia="宋体"/>
          <w:sz w:val="24"/>
        </w:rPr>
        <w:t>全年折旧费用约</w:t>
      </w:r>
      <w:r>
        <w:rPr>
          <w:rFonts w:ascii="Times New Roman" w:hAnsi="Times New Roman" w:eastAsia="宋体"/>
          <w:sz w:val="24"/>
        </w:rPr>
        <w:t xml:space="preserve"> </w:t>
      </w:r>
      <w:r>
        <w:rPr>
          <w:rFonts w:hint="eastAsia" w:ascii="Times New Roman" w:hAnsi="Times New Roman" w:eastAsia="宋体"/>
          <w:sz w:val="24"/>
        </w:rPr>
        <w:t>$2.9B（未来适用法）；面板观察期内两次分步延长（4→4.5→5，累计</w:t>
      </w:r>
      <w:r>
        <w:rPr>
          <w:rFonts w:ascii="Times New Roman" w:hAnsi="Times New Roman" w:eastAsia="宋体"/>
          <w:sz w:val="24"/>
        </w:rPr>
        <w:t xml:space="preserve"> +1 </w:t>
      </w:r>
      <w:r>
        <w:rPr>
          <w:rFonts w:hint="eastAsia" w:ascii="Times New Roman" w:hAnsi="Times New Roman" w:eastAsia="宋体"/>
          <w:sz w:val="24"/>
        </w:rPr>
        <w:t>年）；2024</w:t>
      </w:r>
      <w:r>
        <w:rPr>
          <w:rFonts w:ascii="Times New Roman" w:hAnsi="Times New Roman" w:eastAsia="宋体"/>
          <w:sz w:val="24"/>
        </w:rPr>
        <w:t xml:space="preserve"> 10-K </w:t>
      </w:r>
      <w:r>
        <w:rPr>
          <w:rFonts w:hint="eastAsia" w:ascii="Times New Roman" w:hAnsi="Times New Roman" w:eastAsia="宋体"/>
          <w:sz w:val="24"/>
        </w:rPr>
        <w:t>进一步披露期后将于</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月再度延长至</w:t>
      </w:r>
      <w:r>
        <w:rPr>
          <w:rFonts w:ascii="Times New Roman" w:hAnsi="Times New Roman" w:eastAsia="宋体"/>
          <w:sz w:val="24"/>
        </w:rPr>
        <w:t xml:space="preserve"> 5.5 </w:t>
      </w:r>
      <w:r>
        <w:rPr>
          <w:rFonts w:hint="eastAsia" w:ascii="Times New Roman" w:hAnsi="Times New Roman" w:eastAsia="宋体"/>
          <w:sz w:val="24"/>
        </w:rPr>
        <w:t>年，若计入期后则累计</w:t>
      </w:r>
      <w:r>
        <w:rPr>
          <w:rFonts w:ascii="Times New Roman" w:hAnsi="Times New Roman" w:eastAsia="宋体"/>
          <w:sz w:val="24"/>
        </w:rPr>
        <w:t xml:space="preserve"> +1.5 </w:t>
      </w:r>
      <w:r>
        <w:rPr>
          <w:rFonts w:hint="eastAsia" w:ascii="Times New Roman" w:hAnsi="Times New Roman" w:eastAsia="宋体"/>
          <w:sz w:val="24"/>
        </w:rPr>
        <w:t>年（+37.5%），叠加</w:t>
      </w:r>
      <w:r>
        <w:rPr>
          <w:rFonts w:ascii="Times New Roman" w:hAnsi="Times New Roman" w:eastAsia="宋体"/>
          <w:sz w:val="24"/>
        </w:rPr>
        <w:t xml:space="preserve"> CAPEX </w:t>
      </w:r>
      <w:r>
        <w:rPr>
          <w:rFonts w:hint="eastAsia" w:ascii="Times New Roman" w:hAnsi="Times New Roman" w:eastAsia="宋体"/>
          <w:sz w:val="24"/>
        </w:rPr>
        <w:t>强度峰值，D1/D2/D4/D5</w:t>
      </w:r>
      <w:r>
        <w:rPr>
          <w:rFonts w:ascii="Times New Roman" w:hAnsi="Times New Roman" w:eastAsia="宋体"/>
          <w:sz w:val="24"/>
        </w:rPr>
        <w:t xml:space="preserve"> </w:t>
      </w:r>
      <w:r>
        <w:rPr>
          <w:rFonts w:hint="eastAsia" w:ascii="Times New Roman" w:hAnsi="Times New Roman" w:eastAsia="宋体"/>
          <w:sz w:val="24"/>
        </w:rPr>
        <w:t>四维满分，成全样本最高分。</w:t>
      </w:r>
    </w:p>
    <w:p w14:paraId="6B163737">
      <w:pPr>
        <w:pStyle w:val="3"/>
        <w:spacing w:before="40" w:after="40" w:line="360" w:lineRule="auto"/>
        <w:ind w:firstLine="480"/>
      </w:pPr>
      <w:r>
        <w:rPr>
          <w:rFonts w:hint="eastAsia" w:ascii="Times New Roman" w:hAnsi="Times New Roman" w:eastAsia="宋体"/>
          <w:sz w:val="24"/>
        </w:rPr>
        <w:t>一种常见的技术性质疑是：AI</w:t>
      </w:r>
      <w:r>
        <w:rPr>
          <w:rFonts w:ascii="Times New Roman" w:hAnsi="Times New Roman" w:eastAsia="宋体"/>
          <w:sz w:val="24"/>
        </w:rPr>
        <w:t xml:space="preserve"> </w:t>
      </w:r>
      <w:r>
        <w:rPr>
          <w:rFonts w:hint="eastAsia" w:ascii="Times New Roman" w:hAnsi="Times New Roman" w:eastAsia="宋体"/>
          <w:sz w:val="24"/>
        </w:rPr>
        <w:t>芯片退役后转用于推理、边缘计算等低算力场景，5.5</w:t>
      </w:r>
      <w:r>
        <w:rPr>
          <w:rFonts w:ascii="Times New Roman" w:hAnsi="Times New Roman" w:eastAsia="宋体"/>
          <w:sz w:val="24"/>
        </w:rPr>
        <w:t xml:space="preserve"> </w:t>
      </w:r>
      <w:r>
        <w:rPr>
          <w:rFonts w:hint="eastAsia" w:ascii="Times New Roman" w:hAnsi="Times New Roman" w:eastAsia="宋体"/>
          <w:sz w:val="24"/>
        </w:rPr>
        <w:t>年折旧在技术层面并非不合理。这一质疑在技术层面可以成立，但在会计披露层面恰恰指向了本研究的核心发现。</w:t>
      </w:r>
    </w:p>
    <w:p w14:paraId="49B0FF74">
      <w:pPr>
        <w:pStyle w:val="3"/>
        <w:spacing w:before="40" w:after="40" w:line="360" w:lineRule="auto"/>
        <w:ind w:firstLine="480"/>
      </w:pPr>
      <w:r>
        <w:rPr>
          <w:rFonts w:hint="eastAsia" w:ascii="Times New Roman" w:hAnsi="Times New Roman" w:eastAsia="宋体"/>
          <w:sz w:val="24"/>
        </w:rPr>
        <w:t>关键在于：Meta</w:t>
      </w:r>
      <w:r>
        <w:rPr>
          <w:rFonts w:ascii="Times New Roman" w:hAnsi="Times New Roman" w:eastAsia="宋体"/>
          <w:sz w:val="24"/>
        </w:rPr>
        <w:t xml:space="preserve"> 2024 10-K </w:t>
      </w:r>
      <w:r>
        <w:rPr>
          <w:rFonts w:hint="eastAsia" w:ascii="Times New Roman" w:hAnsi="Times New Roman" w:eastAsia="宋体"/>
          <w:sz w:val="24"/>
        </w:rPr>
        <w:t>将“服务器与网络资产”统一延长至</w:t>
      </w:r>
      <w:r>
        <w:rPr>
          <w:rFonts w:ascii="Times New Roman" w:hAnsi="Times New Roman" w:eastAsia="宋体"/>
          <w:sz w:val="24"/>
        </w:rPr>
        <w:t xml:space="preserve"> 5.5 </w:t>
      </w:r>
      <w:r>
        <w:rPr>
          <w:rFonts w:hint="eastAsia" w:ascii="Times New Roman" w:hAnsi="Times New Roman" w:eastAsia="宋体"/>
          <w:sz w:val="24"/>
        </w:rPr>
        <w:t>年，并未按用途（训练</w:t>
      </w:r>
      <w:r>
        <w:rPr>
          <w:rFonts w:ascii="Times New Roman" w:hAnsi="Times New Roman" w:eastAsia="宋体"/>
          <w:sz w:val="24"/>
        </w:rPr>
        <w:t xml:space="preserve"> vs </w:t>
      </w:r>
      <w:r>
        <w:rPr>
          <w:rFonts w:hint="eastAsia" w:ascii="Times New Roman" w:hAnsi="Times New Roman" w:eastAsia="宋体"/>
          <w:sz w:val="24"/>
        </w:rPr>
        <w:t>推理）或算力敏感度拆分折旧政策。</w:t>
      </w:r>
      <w:r>
        <w:rPr>
          <w:rFonts w:ascii="Times New Roman" w:hAnsi="Times New Roman" w:eastAsia="宋体"/>
          <w:sz w:val="24"/>
        </w:rPr>
        <w:t xml:space="preserve"> </w:t>
      </w:r>
      <w:r>
        <w:rPr>
          <w:rFonts w:hint="eastAsia" w:ascii="Times New Roman" w:hAnsi="Times New Roman" w:eastAsia="宋体"/>
          <w:sz w:val="24"/>
        </w:rPr>
        <w:t>若公司确实执行了“训练</w:t>
      </w:r>
      <w:r>
        <w:rPr>
          <w:rFonts w:ascii="Times New Roman" w:hAnsi="Times New Roman" w:eastAsia="宋体"/>
          <w:sz w:val="24"/>
        </w:rPr>
        <w:t xml:space="preserve"> 3 </w:t>
      </w:r>
      <w:r>
        <w:rPr>
          <w:rFonts w:hint="eastAsia" w:ascii="Times New Roman" w:hAnsi="Times New Roman" w:eastAsia="宋体"/>
          <w:sz w:val="24"/>
        </w:rPr>
        <w:t>年、推理</w:t>
      </w:r>
      <w:r>
        <w:rPr>
          <w:rFonts w:ascii="Times New Roman" w:hAnsi="Times New Roman" w:eastAsia="宋体"/>
          <w:sz w:val="24"/>
        </w:rPr>
        <w:t xml:space="preserve"> 6 </w:t>
      </w:r>
      <w:r>
        <w:rPr>
          <w:rFonts w:hint="eastAsia" w:ascii="Times New Roman" w:hAnsi="Times New Roman" w:eastAsia="宋体"/>
          <w:sz w:val="24"/>
        </w:rPr>
        <w:t>年”的内部资产管理策略，则依</w:t>
      </w:r>
      <w:r>
        <w:rPr>
          <w:rFonts w:ascii="Times New Roman" w:hAnsi="Times New Roman" w:eastAsia="宋体"/>
          <w:sz w:val="24"/>
        </w:rPr>
        <w:t xml:space="preserve"> ASC 250 </w:t>
      </w:r>
      <w:r>
        <w:rPr>
          <w:rFonts w:hint="eastAsia" w:ascii="Times New Roman" w:hAnsi="Times New Roman" w:eastAsia="宋体"/>
          <w:sz w:val="24"/>
        </w:rPr>
        <w:t>对会计估计变更的披露要求，应当对两类资产分别估计年限、分别披露影响金额。而统一的</w:t>
      </w:r>
      <w:r>
        <w:rPr>
          <w:rFonts w:ascii="Times New Roman" w:hAnsi="Times New Roman" w:eastAsia="宋体"/>
          <w:sz w:val="24"/>
        </w:rPr>
        <w:t xml:space="preserve"> 5.5 </w:t>
      </w:r>
      <w:r>
        <w:rPr>
          <w:rFonts w:hint="eastAsia" w:ascii="Times New Roman" w:hAnsi="Times New Roman" w:eastAsia="宋体"/>
          <w:sz w:val="24"/>
        </w:rPr>
        <w:t>年意味着一个无法被外部验证的事实——本应按</w:t>
      </w:r>
      <w:r>
        <w:rPr>
          <w:rFonts w:ascii="Times New Roman" w:hAnsi="Times New Roman" w:eastAsia="宋体"/>
          <w:sz w:val="24"/>
        </w:rPr>
        <w:t xml:space="preserve"> 1-2 </w:t>
      </w:r>
      <w:r>
        <w:rPr>
          <w:rFonts w:hint="eastAsia" w:ascii="Times New Roman" w:hAnsi="Times New Roman" w:eastAsia="宋体"/>
          <w:sz w:val="24"/>
        </w:rPr>
        <w:t>年折旧的核心训练资产，其折旧节奏被推理集群的“长寿”拉平掩护了。</w:t>
      </w:r>
    </w:p>
    <w:p w14:paraId="7D512534">
      <w:pPr>
        <w:pStyle w:val="3"/>
        <w:spacing w:before="40" w:after="40" w:line="360" w:lineRule="auto"/>
        <w:ind w:firstLine="480"/>
      </w:pPr>
      <w:r>
        <w:rPr>
          <w:rFonts w:hint="eastAsia" w:ascii="Times New Roman" w:hAnsi="Times New Roman" w:eastAsia="宋体"/>
          <w:sz w:val="24"/>
        </w:rPr>
        <w:t>本研究并非否认“旧芯片可用于推理”这一技术现实，而是指出：在技术现实与会计披露之间存在一条制度性的鸿沟。</w:t>
      </w:r>
      <w:r>
        <w:rPr>
          <w:rFonts w:ascii="Times New Roman" w:hAnsi="Times New Roman" w:eastAsia="宋体"/>
          <w:sz w:val="24"/>
        </w:rPr>
        <w:t xml:space="preserve"> </w:t>
      </w:r>
      <w:r>
        <w:rPr>
          <w:rFonts w:hint="eastAsia" w:ascii="Times New Roman" w:hAnsi="Times New Roman" w:eastAsia="宋体"/>
          <w:sz w:val="24"/>
        </w:rPr>
        <w:t>只要企业不拆分披露训练集群与推理集群各自的折旧年限与影响金额，外部就无法判断</w:t>
      </w:r>
      <w:r>
        <w:rPr>
          <w:rFonts w:ascii="Times New Roman" w:hAnsi="Times New Roman" w:eastAsia="宋体"/>
          <w:sz w:val="24"/>
        </w:rPr>
        <w:t xml:space="preserve"> 5.5 </w:t>
      </w:r>
      <w:r>
        <w:rPr>
          <w:rFonts w:hint="eastAsia" w:ascii="Times New Roman" w:hAnsi="Times New Roman" w:eastAsia="宋体"/>
          <w:sz w:val="24"/>
        </w:rPr>
        <w:t>年是“训练+推理的加权平均”还是“训练资产被系统性低估”。披露颗粒度的不足，使得折旧错配风险得以在“技术合理性”的掩护下持续隐匿——而这正是本研究主张“细化算力资产披露颗粒度”的政策建议依据（详见第六章</w:t>
      </w:r>
      <w:r>
        <w:rPr>
          <w:rFonts w:ascii="Times New Roman" w:hAnsi="Times New Roman" w:eastAsia="宋体"/>
          <w:sz w:val="24"/>
        </w:rPr>
        <w:t xml:space="preserve"> </w:t>
      </w:r>
      <w:r>
        <w:rPr>
          <w:rFonts w:hint="eastAsia" w:ascii="Times New Roman" w:hAnsi="Times New Roman" w:eastAsia="宋体"/>
          <w:sz w:val="24"/>
        </w:rPr>
        <w:t>6.4）。</w:t>
      </w:r>
    </w:p>
    <w:p w14:paraId="2A724787">
      <w:pPr>
        <w:pStyle w:val="3"/>
        <w:spacing w:before="40" w:after="40" w:line="360" w:lineRule="auto"/>
        <w:ind w:firstLine="480"/>
      </w:pPr>
      <w:r>
        <w:rPr>
          <w:rFonts w:hint="eastAsia" w:ascii="Times New Roman" w:hAnsi="Times New Roman" w:eastAsia="宋体"/>
          <w:sz w:val="24"/>
        </w:rPr>
        <w:t>一个可供对照的思想实验：若</w:t>
      </w:r>
      <w:r>
        <w:rPr>
          <w:rFonts w:ascii="Times New Roman" w:hAnsi="Times New Roman" w:eastAsia="宋体"/>
          <w:sz w:val="24"/>
        </w:rPr>
        <w:t xml:space="preserve"> Meta </w:t>
      </w:r>
      <w:r>
        <w:rPr>
          <w:rFonts w:hint="eastAsia" w:ascii="Times New Roman" w:hAnsi="Times New Roman" w:eastAsia="宋体"/>
          <w:sz w:val="24"/>
        </w:rPr>
        <w:t>的财报附注明确区分了“训练服务器</w:t>
      </w:r>
      <w:r>
        <w:rPr>
          <w:rFonts w:ascii="Times New Roman" w:hAnsi="Times New Roman" w:eastAsia="宋体"/>
          <w:sz w:val="24"/>
        </w:rPr>
        <w:t xml:space="preserve"> 3 </w:t>
      </w:r>
      <w:r>
        <w:rPr>
          <w:rFonts w:hint="eastAsia" w:ascii="Times New Roman" w:hAnsi="Times New Roman" w:eastAsia="宋体"/>
          <w:sz w:val="24"/>
        </w:rPr>
        <w:t>年折旧、推理服务器</w:t>
      </w:r>
      <w:r>
        <w:rPr>
          <w:rFonts w:ascii="Times New Roman" w:hAnsi="Times New Roman" w:eastAsia="宋体"/>
          <w:sz w:val="24"/>
        </w:rPr>
        <w:t xml:space="preserve"> 6 </w:t>
      </w:r>
      <w:r>
        <w:rPr>
          <w:rFonts w:hint="eastAsia" w:ascii="Times New Roman" w:hAnsi="Times New Roman" w:eastAsia="宋体"/>
          <w:sz w:val="24"/>
        </w:rPr>
        <w:t>年折旧”，则训练集群（3</w:t>
      </w:r>
      <w:r>
        <w:rPr>
          <w:rFonts w:ascii="Times New Roman" w:hAnsi="Times New Roman" w:eastAsia="宋体"/>
          <w:sz w:val="24"/>
        </w:rPr>
        <w:t xml:space="preserve"> </w:t>
      </w:r>
      <w:r>
        <w:rPr>
          <w:rFonts w:hint="eastAsia" w:ascii="Times New Roman" w:hAnsi="Times New Roman" w:eastAsia="宋体"/>
          <w:sz w:val="24"/>
        </w:rPr>
        <w:t>年）D1</w:t>
      </w:r>
      <w:r>
        <w:rPr>
          <w:rFonts w:ascii="Times New Roman" w:hAnsi="Times New Roman" w:eastAsia="宋体"/>
          <w:sz w:val="24"/>
        </w:rPr>
        <w:t xml:space="preserve"> </w:t>
      </w:r>
      <w:r>
        <w:rPr>
          <w:rFonts w:hint="eastAsia" w:ascii="Times New Roman" w:hAnsi="Times New Roman" w:eastAsia="宋体"/>
          <w:sz w:val="24"/>
        </w:rPr>
        <w:t>可精确锚定为</w:t>
      </w:r>
      <w:r>
        <w:rPr>
          <w:rFonts w:ascii="Times New Roman" w:hAnsi="Times New Roman" w:eastAsia="宋体"/>
          <w:sz w:val="24"/>
        </w:rPr>
        <w:t xml:space="preserve"> 3 </w:t>
      </w:r>
      <w:r>
        <w:rPr>
          <w:rFonts w:hint="eastAsia" w:ascii="Times New Roman" w:hAnsi="Times New Roman" w:eastAsia="宋体"/>
          <w:sz w:val="24"/>
        </w:rPr>
        <w:t>分，推理集群（6</w:t>
      </w:r>
      <w:r>
        <w:rPr>
          <w:rFonts w:ascii="Times New Roman" w:hAnsi="Times New Roman" w:eastAsia="宋体"/>
          <w:sz w:val="24"/>
        </w:rPr>
        <w:t xml:space="preserve"> </w:t>
      </w:r>
      <w:r>
        <w:rPr>
          <w:rFonts w:hint="eastAsia" w:ascii="Times New Roman" w:hAnsi="Times New Roman" w:eastAsia="宋体"/>
          <w:sz w:val="24"/>
        </w:rPr>
        <w:t>年）为</w:t>
      </w:r>
      <w:r>
        <w:rPr>
          <w:rFonts w:ascii="Times New Roman" w:hAnsi="Times New Roman" w:eastAsia="宋体"/>
          <w:sz w:val="24"/>
        </w:rPr>
        <w:t xml:space="preserve"> 5 </w:t>
      </w:r>
      <w:r>
        <w:rPr>
          <w:rFonts w:hint="eastAsia" w:ascii="Times New Roman" w:hAnsi="Times New Roman" w:eastAsia="宋体"/>
          <w:sz w:val="24"/>
        </w:rPr>
        <w:t>分，加权后整体错配程度将显著低于当前统一口径下的模糊高分，核心训练资产的折旧低估得以单独识别。但</w:t>
      </w:r>
      <w:r>
        <w:rPr>
          <w:rFonts w:ascii="Times New Roman" w:hAnsi="Times New Roman" w:eastAsia="宋体"/>
          <w:sz w:val="24"/>
        </w:rPr>
        <w:t xml:space="preserve"> 10-K </w:t>
      </w:r>
      <w:r>
        <w:rPr>
          <w:rFonts w:hint="eastAsia" w:ascii="Times New Roman" w:hAnsi="Times New Roman" w:eastAsia="宋体"/>
          <w:sz w:val="24"/>
        </w:rPr>
        <w:t>的实际情况是，训练与推理被混为一谈。</w:t>
      </w:r>
    </w:p>
    <w:bookmarkEnd w:id="84"/>
    <w:bookmarkEnd w:id="89"/>
    <w:p w14:paraId="57272338">
      <w:pPr>
        <w:pStyle w:val="4"/>
        <w:spacing w:before="320" w:after="160" w:line="360" w:lineRule="auto"/>
      </w:pPr>
      <w:bookmarkStart w:id="90" w:name="_Toc2942"/>
      <w:bookmarkStart w:id="91" w:name="中高风险组3.0-3.9风险的三种形态"/>
      <w:r>
        <w:rPr>
          <w:rFonts w:ascii="Times New Roman" w:hAnsi="Times New Roman" w:eastAsia="黑体"/>
          <w:b/>
          <w:color w:val="003366"/>
          <w:sz w:val="28"/>
        </w:rPr>
        <w:t xml:space="preserve">4.4 </w:t>
      </w:r>
      <w:r>
        <w:rPr>
          <w:rFonts w:hint="eastAsia" w:ascii="Times New Roman" w:hAnsi="Times New Roman" w:eastAsia="黑体"/>
          <w:b/>
          <w:color w:val="003366"/>
          <w:sz w:val="28"/>
        </w:rPr>
        <w:t>中高风险组（3.0-3.9）：风险的三种形态</w:t>
      </w:r>
      <w:bookmarkEnd w:id="90"/>
    </w:p>
    <w:p w14:paraId="7991A3AA">
      <w:pPr>
        <w:pStyle w:val="5"/>
        <w:spacing w:before="240" w:after="120" w:line="360" w:lineRule="auto"/>
      </w:pPr>
      <w:bookmarkStart w:id="92" w:name="oraclefy2025-4.45从前提纠偏到连续延长"/>
      <w:r>
        <w:rPr>
          <w:rFonts w:ascii="Times New Roman" w:hAnsi="Times New Roman" w:eastAsia="黑体"/>
          <w:b/>
          <w:color w:val="003366"/>
          <w:sz w:val="24"/>
        </w:rPr>
        <w:t xml:space="preserve">4.4.1 </w:t>
      </w:r>
      <w:r>
        <w:rPr>
          <w:rFonts w:hint="eastAsia" w:ascii="Times New Roman" w:hAnsi="Times New Roman" w:eastAsia="黑体"/>
          <w:b/>
          <w:color w:val="003366"/>
          <w:sz w:val="24"/>
        </w:rPr>
        <w:t>Oracle（FY2025:</w:t>
      </w:r>
      <w:r>
        <w:rPr>
          <w:rFonts w:ascii="Times New Roman" w:hAnsi="Times New Roman" w:eastAsia="黑体"/>
          <w:b/>
          <w:color w:val="003366"/>
          <w:sz w:val="24"/>
        </w:rPr>
        <w:t xml:space="preserve"> </w:t>
      </w:r>
      <w:r>
        <w:rPr>
          <w:rFonts w:hint="eastAsia" w:ascii="Times New Roman" w:hAnsi="Times New Roman" w:eastAsia="黑体"/>
          <w:b/>
          <w:color w:val="003366"/>
          <w:sz w:val="24"/>
        </w:rPr>
        <w:t>4.45）：从“前提纠偏”到“连续延长”</w:t>
      </w:r>
    </w:p>
    <w:p w14:paraId="157324D5">
      <w:pPr>
        <w:pStyle w:val="25"/>
        <w:spacing w:before="40" w:after="40" w:line="360" w:lineRule="auto"/>
        <w:ind w:firstLine="480"/>
      </w:pPr>
      <w:r>
        <w:rPr>
          <w:rFonts w:hint="eastAsia" w:ascii="Times New Roman" w:hAnsi="Times New Roman" w:eastAsia="宋体"/>
          <w:sz w:val="24"/>
        </w:rPr>
        <w:t>三年轨迹：FY2023</w:t>
      </w:r>
      <w:r>
        <w:rPr>
          <w:rFonts w:ascii="Times New Roman" w:hAnsi="Times New Roman" w:eastAsia="宋体"/>
          <w:sz w:val="24"/>
        </w:rPr>
        <w:t xml:space="preserve"> </w:t>
      </w:r>
      <w:r>
        <w:rPr>
          <w:rFonts w:hint="eastAsia" w:ascii="Times New Roman" w:hAnsi="Times New Roman" w:eastAsia="宋体"/>
          <w:sz w:val="24"/>
        </w:rPr>
        <w:t>变更年</w:t>
      </w:r>
      <w:r>
        <w:rPr>
          <w:rFonts w:ascii="Times New Roman" w:hAnsi="Times New Roman" w:eastAsia="宋体"/>
          <w:sz w:val="24"/>
        </w:rPr>
        <w:t xml:space="preserve"> 4.00 → FY2024 </w:t>
      </w:r>
      <w:r>
        <w:rPr>
          <w:rFonts w:hint="eastAsia" w:ascii="Times New Roman" w:hAnsi="Times New Roman" w:eastAsia="宋体"/>
          <w:sz w:val="24"/>
        </w:rPr>
        <w:t>回落至</w:t>
      </w:r>
      <w:r>
        <w:rPr>
          <w:rFonts w:ascii="Times New Roman" w:hAnsi="Times New Roman" w:eastAsia="宋体"/>
          <w:sz w:val="24"/>
        </w:rPr>
        <w:t xml:space="preserve"> </w:t>
      </w:r>
      <w:r>
        <w:rPr>
          <w:rFonts w:hint="eastAsia" w:ascii="Times New Roman" w:hAnsi="Times New Roman" w:eastAsia="宋体"/>
          <w:sz w:val="24"/>
        </w:rPr>
        <w:t>3.60（中心年）→</w:t>
      </w:r>
      <w:r>
        <w:rPr>
          <w:rFonts w:ascii="Times New Roman" w:hAnsi="Times New Roman" w:eastAsia="宋体"/>
          <w:sz w:val="24"/>
        </w:rPr>
        <w:t xml:space="preserve"> FY2025 </w:t>
      </w:r>
      <w:r>
        <w:rPr>
          <w:rFonts w:hint="eastAsia" w:ascii="Times New Roman" w:hAnsi="Times New Roman" w:eastAsia="宋体"/>
          <w:sz w:val="24"/>
        </w:rPr>
        <w:t>第二次变更年跳升至</w:t>
      </w:r>
      <w:r>
        <w:rPr>
          <w:rFonts w:ascii="Times New Roman" w:hAnsi="Times New Roman" w:eastAsia="宋体"/>
          <w:sz w:val="24"/>
        </w:rPr>
        <w:t xml:space="preserve"> </w:t>
      </w:r>
      <w:r>
        <w:rPr>
          <w:rFonts w:hint="eastAsia" w:ascii="Times New Roman" w:hAnsi="Times New Roman" w:eastAsia="宋体"/>
          <w:sz w:val="24"/>
        </w:rPr>
        <w:t>4.45——面板内两次延长、两次跳升，是与</w:t>
      </w:r>
      <w:r>
        <w:rPr>
          <w:rFonts w:ascii="Times New Roman" w:hAnsi="Times New Roman" w:eastAsia="宋体"/>
          <w:sz w:val="24"/>
        </w:rPr>
        <w:t xml:space="preserve"> Meta </w:t>
      </w:r>
      <w:r>
        <w:rPr>
          <w:rFonts w:hint="eastAsia" w:ascii="Times New Roman" w:hAnsi="Times New Roman" w:eastAsia="宋体"/>
          <w:sz w:val="24"/>
        </w:rPr>
        <w:t>并列的“连续延长者”，也是</w:t>
      </w:r>
      <w:r>
        <w:rPr>
          <w:rFonts w:ascii="Times New Roman" w:hAnsi="Times New Roman" w:eastAsia="宋体"/>
          <w:sz w:val="24"/>
        </w:rPr>
        <w:t xml:space="preserve"> Burry“Oracle 2028 </w:t>
      </w:r>
      <w:r>
        <w:rPr>
          <w:rFonts w:hint="eastAsia" w:ascii="Times New Roman" w:hAnsi="Times New Roman" w:eastAsia="宋体"/>
          <w:sz w:val="24"/>
        </w:rPr>
        <w:t>年利润或夸大</w:t>
      </w:r>
      <w:r>
        <w:rPr>
          <w:rFonts w:ascii="Times New Roman" w:hAnsi="Times New Roman" w:eastAsia="宋体"/>
          <w:sz w:val="24"/>
        </w:rPr>
        <w:t xml:space="preserve"> </w:t>
      </w:r>
      <w:r>
        <w:rPr>
          <w:rFonts w:hint="eastAsia" w:ascii="Times New Roman" w:hAnsi="Times New Roman" w:eastAsia="宋体"/>
          <w:sz w:val="24"/>
        </w:rPr>
        <w:t>26.9%”点名的微观注脚。</w:t>
      </w:r>
    </w:p>
    <w:p w14:paraId="369E0382">
      <w:pPr>
        <w:pStyle w:val="3"/>
        <w:spacing w:before="40" w:after="40" w:line="360" w:lineRule="auto"/>
        <w:ind w:firstLine="480"/>
      </w:pPr>
      <w:r>
        <w:rPr>
          <w:rFonts w:hint="eastAsia" w:ascii="Times New Roman" w:hAnsi="Times New Roman" w:eastAsia="宋体"/>
          <w:sz w:val="24"/>
        </w:rPr>
        <w:t>两次延长对比（均未来适用法，均量化披露）：</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2498FD04">
        <w:tblPrEx>
          <w:tblCellMar>
            <w:top w:w="0" w:type="dxa"/>
            <w:left w:w="108" w:type="dxa"/>
            <w:bottom w:w="0" w:type="dxa"/>
            <w:right w:w="108" w:type="dxa"/>
          </w:tblCellMar>
        </w:tblPrEx>
        <w:trPr>
          <w:cantSplit/>
          <w:tblHeader/>
        </w:trPr>
        <w:tc>
          <w:p w14:paraId="6F365DE1">
            <w:pPr>
              <w:pStyle w:val="26"/>
              <w:spacing w:before="20" w:after="20" w:line="276" w:lineRule="auto"/>
            </w:pPr>
          </w:p>
        </w:tc>
        <w:tc>
          <w:p w14:paraId="07261631">
            <w:pPr>
              <w:pStyle w:val="26"/>
              <w:spacing w:before="20" w:after="20" w:line="276" w:lineRule="auto"/>
            </w:pPr>
            <w:r>
              <w:rPr>
                <w:rFonts w:hint="eastAsia" w:ascii="Times New Roman" w:hAnsi="Times New Roman" w:eastAsia="宋体"/>
                <w:b/>
                <w:bCs/>
                <w:sz w:val="20"/>
              </w:rPr>
              <w:t>第一次（FY2023</w:t>
            </w:r>
            <w:r>
              <w:rPr>
                <w:rFonts w:ascii="Times New Roman" w:hAnsi="Times New Roman" w:eastAsia="宋体"/>
                <w:b/>
                <w:bCs/>
                <w:sz w:val="20"/>
              </w:rPr>
              <w:t xml:space="preserve"> </w:t>
            </w:r>
            <w:r>
              <w:rPr>
                <w:rFonts w:hint="eastAsia" w:ascii="Times New Roman" w:hAnsi="Times New Roman" w:eastAsia="宋体"/>
                <w:b/>
                <w:bCs/>
                <w:sz w:val="20"/>
              </w:rPr>
              <w:t>Q1，2022</w:t>
            </w:r>
            <w:r>
              <w:rPr>
                <w:rFonts w:ascii="Times New Roman" w:hAnsi="Times New Roman" w:eastAsia="宋体"/>
                <w:b/>
                <w:bCs/>
                <w:sz w:val="20"/>
              </w:rPr>
              <w:t xml:space="preserve"> </w:t>
            </w:r>
            <w:r>
              <w:rPr>
                <w:rFonts w:hint="eastAsia" w:ascii="Times New Roman" w:hAnsi="Times New Roman" w:eastAsia="宋体"/>
                <w:b/>
                <w:bCs/>
                <w:sz w:val="20"/>
              </w:rPr>
              <w:t>年</w:t>
            </w:r>
            <w:r>
              <w:rPr>
                <w:rFonts w:ascii="Times New Roman" w:hAnsi="Times New Roman" w:eastAsia="宋体"/>
                <w:b/>
                <w:bCs/>
                <w:sz w:val="20"/>
              </w:rPr>
              <w:t xml:space="preserve"> 6 </w:t>
            </w:r>
            <w:r>
              <w:rPr>
                <w:rFonts w:hint="eastAsia" w:ascii="Times New Roman" w:hAnsi="Times New Roman" w:eastAsia="宋体"/>
                <w:b/>
                <w:bCs/>
                <w:sz w:val="20"/>
              </w:rPr>
              <w:t>月生效）</w:t>
            </w:r>
          </w:p>
        </w:tc>
        <w:tc>
          <w:p w14:paraId="0B1F8AAD">
            <w:pPr>
              <w:pStyle w:val="26"/>
              <w:spacing w:before="20" w:after="20" w:line="276" w:lineRule="auto"/>
            </w:pPr>
            <w:r>
              <w:rPr>
                <w:rFonts w:hint="eastAsia" w:ascii="Times New Roman" w:hAnsi="Times New Roman" w:eastAsia="宋体"/>
                <w:b/>
                <w:bCs/>
                <w:sz w:val="20"/>
              </w:rPr>
              <w:t>第二次（FY2025</w:t>
            </w:r>
            <w:r>
              <w:rPr>
                <w:rFonts w:ascii="Times New Roman" w:hAnsi="Times New Roman" w:eastAsia="宋体"/>
                <w:b/>
                <w:bCs/>
                <w:sz w:val="20"/>
              </w:rPr>
              <w:t xml:space="preserve"> </w:t>
            </w:r>
            <w:r>
              <w:rPr>
                <w:rFonts w:hint="eastAsia" w:ascii="Times New Roman" w:hAnsi="Times New Roman" w:eastAsia="宋体"/>
                <w:b/>
                <w:bCs/>
                <w:sz w:val="20"/>
              </w:rPr>
              <w:t>Q1，2024</w:t>
            </w:r>
            <w:r>
              <w:rPr>
                <w:rFonts w:ascii="Times New Roman" w:hAnsi="Times New Roman" w:eastAsia="宋体"/>
                <w:b/>
                <w:bCs/>
                <w:sz w:val="20"/>
              </w:rPr>
              <w:t xml:space="preserve"> </w:t>
            </w:r>
            <w:r>
              <w:rPr>
                <w:rFonts w:hint="eastAsia" w:ascii="Times New Roman" w:hAnsi="Times New Roman" w:eastAsia="宋体"/>
                <w:b/>
                <w:bCs/>
                <w:sz w:val="20"/>
              </w:rPr>
              <w:t>年</w:t>
            </w:r>
            <w:r>
              <w:rPr>
                <w:rFonts w:ascii="Times New Roman" w:hAnsi="Times New Roman" w:eastAsia="宋体"/>
                <w:b/>
                <w:bCs/>
                <w:sz w:val="20"/>
              </w:rPr>
              <w:t xml:space="preserve"> 6 </w:t>
            </w:r>
            <w:r>
              <w:rPr>
                <w:rFonts w:hint="eastAsia" w:ascii="Times New Roman" w:hAnsi="Times New Roman" w:eastAsia="宋体"/>
                <w:b/>
                <w:bCs/>
                <w:sz w:val="20"/>
              </w:rPr>
              <w:t>月生效）</w:t>
            </w:r>
          </w:p>
        </w:tc>
      </w:tr>
      <w:tr w14:paraId="33E2DDD0">
        <w:tblPrEx>
          <w:tblCellMar>
            <w:top w:w="0" w:type="dxa"/>
            <w:left w:w="108" w:type="dxa"/>
            <w:bottom w:w="0" w:type="dxa"/>
            <w:right w:w="108" w:type="dxa"/>
          </w:tblCellMar>
        </w:tblPrEx>
        <w:trPr>
          <w:cantSplit/>
        </w:trPr>
        <w:tc>
          <w:p w14:paraId="385FB81D">
            <w:pPr>
              <w:pStyle w:val="26"/>
              <w:spacing w:before="20" w:after="20" w:line="276" w:lineRule="auto"/>
            </w:pPr>
            <w:r>
              <w:rPr>
                <w:rFonts w:hint="eastAsia" w:ascii="Times New Roman" w:hAnsi="Times New Roman" w:eastAsia="宋体"/>
                <w:sz w:val="20"/>
              </w:rPr>
              <w:t>变更内容</w:t>
            </w:r>
          </w:p>
        </w:tc>
        <w:tc>
          <w:p w14:paraId="20E13901">
            <w:pPr>
              <w:pStyle w:val="26"/>
              <w:spacing w:before="20" w:after="20" w:line="276" w:lineRule="auto"/>
            </w:pPr>
            <w:r>
              <w:rPr>
                <w:rFonts w:hint="eastAsia" w:ascii="Times New Roman" w:hAnsi="Times New Roman" w:eastAsia="宋体"/>
                <w:sz w:val="20"/>
              </w:rPr>
              <w:t>服务器</w:t>
            </w:r>
            <w:r>
              <w:rPr>
                <w:rFonts w:ascii="Times New Roman" w:hAnsi="Times New Roman" w:eastAsia="宋体"/>
                <w:sz w:val="20"/>
              </w:rPr>
              <w:t xml:space="preserve"> 4→5 </w:t>
            </w:r>
            <w:r>
              <w:rPr>
                <w:rFonts w:hint="eastAsia" w:ascii="Times New Roman" w:hAnsi="Times New Roman" w:eastAsia="宋体"/>
                <w:sz w:val="20"/>
              </w:rPr>
              <w:t>年</w:t>
            </w:r>
          </w:p>
        </w:tc>
        <w:tc>
          <w:p w14:paraId="65DB5B92">
            <w:pPr>
              <w:pStyle w:val="26"/>
              <w:spacing w:before="20" w:after="20" w:line="276" w:lineRule="auto"/>
            </w:pPr>
            <w:r>
              <w:rPr>
                <w:rFonts w:hint="eastAsia" w:ascii="Times New Roman" w:hAnsi="Times New Roman" w:eastAsia="宋体"/>
                <w:sz w:val="20"/>
              </w:rPr>
              <w:t>服务器及网络设备</w:t>
            </w:r>
            <w:r>
              <w:rPr>
                <w:rFonts w:ascii="Times New Roman" w:hAnsi="Times New Roman" w:eastAsia="宋体"/>
                <w:sz w:val="20"/>
              </w:rPr>
              <w:t xml:space="preserve"> 5→6 </w:t>
            </w:r>
            <w:r>
              <w:rPr>
                <w:rFonts w:hint="eastAsia" w:ascii="Times New Roman" w:hAnsi="Times New Roman" w:eastAsia="宋体"/>
                <w:sz w:val="20"/>
              </w:rPr>
              <w:t>年</w:t>
            </w:r>
          </w:p>
        </w:tc>
      </w:tr>
      <w:tr w14:paraId="11A3C784">
        <w:tblPrEx>
          <w:tblCellMar>
            <w:top w:w="0" w:type="dxa"/>
            <w:left w:w="108" w:type="dxa"/>
            <w:bottom w:w="0" w:type="dxa"/>
            <w:right w:w="108" w:type="dxa"/>
          </w:tblCellMar>
        </w:tblPrEx>
        <w:trPr>
          <w:cantSplit/>
        </w:trPr>
        <w:tc>
          <w:p w14:paraId="6FC5C329">
            <w:pPr>
              <w:pStyle w:val="26"/>
              <w:spacing w:before="20" w:after="20" w:line="276" w:lineRule="auto"/>
            </w:pPr>
            <w:r>
              <w:rPr>
                <w:rFonts w:hint="eastAsia" w:ascii="Times New Roman" w:hAnsi="Times New Roman" w:eastAsia="宋体"/>
                <w:sz w:val="20"/>
              </w:rPr>
              <w:t>量化影响</w:t>
            </w:r>
          </w:p>
        </w:tc>
        <w:tc>
          <w:p w14:paraId="1E61E532">
            <w:pPr>
              <w:pStyle w:val="26"/>
              <w:spacing w:before="20" w:after="20" w:line="276" w:lineRule="auto"/>
            </w:pPr>
            <w:r>
              <w:rPr>
                <w:rFonts w:ascii="Times New Roman" w:hAnsi="Times New Roman" w:eastAsia="宋体"/>
                <w:sz w:val="20"/>
              </w:rPr>
              <w:t xml:space="preserve">FY2023 </w:t>
            </w:r>
            <w:r>
              <w:rPr>
                <w:rFonts w:hint="eastAsia" w:ascii="Times New Roman" w:hAnsi="Times New Roman" w:eastAsia="宋体"/>
                <w:sz w:val="20"/>
              </w:rPr>
              <w:t>经营费用</w:t>
            </w:r>
            <w:r>
              <w:rPr>
                <w:rFonts w:ascii="Times New Roman" w:hAnsi="Times New Roman" w:eastAsia="宋体"/>
                <w:sz w:val="20"/>
              </w:rPr>
              <w:t xml:space="preserve"> </w:t>
            </w:r>
            <w:r>
              <w:rPr>
                <w:rFonts w:ascii="Times New Roman" w:hAnsi="Times New Roman" w:eastAsia="宋体"/>
                <w:b/>
                <w:bCs/>
                <w:sz w:val="20"/>
              </w:rPr>
              <w:t>-$434M</w:t>
            </w:r>
            <w:r>
              <w:rPr>
                <w:rFonts w:hint="eastAsia" w:ascii="Times New Roman" w:hAnsi="Times New Roman" w:eastAsia="宋体"/>
                <w:sz w:val="20"/>
              </w:rPr>
              <w:t>（占当年净利</w:t>
            </w:r>
            <w:r>
              <w:rPr>
                <w:rFonts w:ascii="Times New Roman" w:hAnsi="Times New Roman" w:eastAsia="宋体"/>
                <w:sz w:val="20"/>
              </w:rPr>
              <w:t xml:space="preserve"> </w:t>
            </w:r>
            <w:r>
              <w:rPr>
                <w:rFonts w:hint="eastAsia" w:ascii="Times New Roman" w:hAnsi="Times New Roman" w:eastAsia="宋体"/>
                <w:sz w:val="20"/>
              </w:rPr>
              <w:t>5.1%）</w:t>
            </w:r>
          </w:p>
        </w:tc>
        <w:tc>
          <w:p w14:paraId="3CEE8C14">
            <w:pPr>
              <w:pStyle w:val="26"/>
              <w:spacing w:before="20" w:after="20" w:line="276" w:lineRule="auto"/>
            </w:pPr>
            <w:r>
              <w:rPr>
                <w:rFonts w:ascii="Times New Roman" w:hAnsi="Times New Roman" w:eastAsia="宋体"/>
                <w:sz w:val="20"/>
              </w:rPr>
              <w:t xml:space="preserve">FY2025 </w:t>
            </w:r>
            <w:r>
              <w:rPr>
                <w:rFonts w:hint="eastAsia" w:ascii="Times New Roman" w:hAnsi="Times New Roman" w:eastAsia="宋体"/>
                <w:sz w:val="20"/>
              </w:rPr>
              <w:t>经营费用</w:t>
            </w:r>
            <w:r>
              <w:rPr>
                <w:rFonts w:ascii="Times New Roman" w:hAnsi="Times New Roman" w:eastAsia="宋体"/>
                <w:sz w:val="20"/>
              </w:rPr>
              <w:t xml:space="preserve"> </w:t>
            </w:r>
            <w:r>
              <w:rPr>
                <w:rFonts w:ascii="Times New Roman" w:hAnsi="Times New Roman" w:eastAsia="宋体"/>
                <w:b/>
                <w:bCs/>
                <w:sz w:val="20"/>
              </w:rPr>
              <w:t>-$733M</w:t>
            </w:r>
            <w:r>
              <w:rPr>
                <w:rFonts w:hint="eastAsia" w:ascii="Times New Roman" w:hAnsi="Times New Roman" w:eastAsia="宋体"/>
                <w:sz w:val="20"/>
              </w:rPr>
              <w:t>、净利</w:t>
            </w:r>
            <w:r>
              <w:rPr>
                <w:rFonts w:ascii="Times New Roman" w:hAnsi="Times New Roman" w:eastAsia="宋体"/>
                <w:sz w:val="20"/>
              </w:rPr>
              <w:t xml:space="preserve"> </w:t>
            </w:r>
            <w:r>
              <w:rPr>
                <w:rFonts w:ascii="Times New Roman" w:hAnsi="Times New Roman" w:eastAsia="宋体"/>
                <w:b/>
                <w:bCs/>
                <w:sz w:val="20"/>
              </w:rPr>
              <w:t>+$573M</w:t>
            </w:r>
            <w:r>
              <w:rPr>
                <w:rFonts w:ascii="Times New Roman" w:hAnsi="Times New Roman" w:eastAsia="宋体"/>
                <w:sz w:val="20"/>
              </w:rPr>
              <w:t xml:space="preserve">、EPS </w:t>
            </w:r>
            <w:r>
              <w:rPr>
                <w:rFonts w:ascii="Times New Roman" w:hAnsi="Times New Roman" w:eastAsia="宋体"/>
                <w:b/>
                <w:bCs/>
                <w:sz w:val="20"/>
              </w:rPr>
              <w:t>+$0.21</w:t>
            </w:r>
            <w:r>
              <w:rPr>
                <w:rFonts w:hint="eastAsia" w:ascii="Times New Roman" w:hAnsi="Times New Roman" w:eastAsia="宋体"/>
                <w:sz w:val="20"/>
              </w:rPr>
              <w:t>（基本）/+$0.20（稀释）</w:t>
            </w:r>
          </w:p>
        </w:tc>
      </w:tr>
      <w:tr w14:paraId="7BD24084">
        <w:tblPrEx>
          <w:tblCellMar>
            <w:top w:w="0" w:type="dxa"/>
            <w:left w:w="108" w:type="dxa"/>
            <w:bottom w:w="0" w:type="dxa"/>
            <w:right w:w="108" w:type="dxa"/>
          </w:tblCellMar>
        </w:tblPrEx>
        <w:trPr>
          <w:cantSplit/>
        </w:trPr>
        <w:tc>
          <w:p w14:paraId="7A9DC64E">
            <w:pPr>
              <w:pStyle w:val="26"/>
              <w:spacing w:before="20" w:after="20" w:line="276" w:lineRule="auto"/>
            </w:pPr>
            <w:r>
              <w:rPr>
                <w:rFonts w:hint="eastAsia" w:ascii="Times New Roman" w:hAnsi="Times New Roman" w:eastAsia="宋体"/>
                <w:sz w:val="20"/>
              </w:rPr>
              <w:t>披露位置</w:t>
            </w:r>
          </w:p>
        </w:tc>
        <w:tc>
          <w:p w14:paraId="7A92CB92">
            <w:pPr>
              <w:pStyle w:val="26"/>
              <w:spacing w:before="20" w:after="20" w:line="276" w:lineRule="auto"/>
            </w:pPr>
            <w:r>
              <w:rPr>
                <w:rFonts w:ascii="Times New Roman" w:hAnsi="Times New Roman" w:eastAsia="宋体"/>
                <w:sz w:val="20"/>
              </w:rPr>
              <w:t xml:space="preserve">Note </w:t>
            </w:r>
            <w:r>
              <w:rPr>
                <w:rFonts w:hint="eastAsia" w:ascii="Times New Roman" w:hAnsi="Times New Roman" w:eastAsia="宋体"/>
                <w:sz w:val="20"/>
              </w:rPr>
              <w:t>1，HTML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7317 </w:t>
            </w:r>
            <w:r>
              <w:rPr>
                <w:rFonts w:hint="eastAsia" w:ascii="Times New Roman" w:hAnsi="Times New Roman" w:eastAsia="宋体"/>
                <w:sz w:val="20"/>
              </w:rPr>
              <w:t>行（FY2023/FY2024</w:t>
            </w:r>
            <w:r>
              <w:rPr>
                <w:rFonts w:ascii="Times New Roman" w:hAnsi="Times New Roman" w:eastAsia="宋体"/>
                <w:sz w:val="20"/>
              </w:rPr>
              <w:t xml:space="preserve"> </w:t>
            </w:r>
            <w:r>
              <w:rPr>
                <w:rFonts w:hint="eastAsia" w:ascii="Times New Roman" w:hAnsi="Times New Roman" w:eastAsia="宋体"/>
                <w:sz w:val="20"/>
              </w:rPr>
              <w:t>10-K）</w:t>
            </w:r>
          </w:p>
        </w:tc>
        <w:tc>
          <w:p w14:paraId="3BA3B3A6">
            <w:pPr>
              <w:pStyle w:val="26"/>
              <w:spacing w:before="20" w:after="20" w:line="276" w:lineRule="auto"/>
            </w:pPr>
            <w:r>
              <w:rPr>
                <w:rFonts w:ascii="Times New Roman" w:hAnsi="Times New Roman" w:eastAsia="宋体"/>
                <w:sz w:val="20"/>
              </w:rPr>
              <w:t xml:space="preserve">Note </w:t>
            </w:r>
            <w:r>
              <w:rPr>
                <w:rFonts w:hint="eastAsia" w:ascii="Times New Roman" w:hAnsi="Times New Roman" w:eastAsia="宋体"/>
                <w:sz w:val="20"/>
              </w:rPr>
              <w:t>1，HTML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6755 </w:t>
            </w:r>
            <w:r>
              <w:rPr>
                <w:rFonts w:hint="eastAsia" w:ascii="Times New Roman" w:hAnsi="Times New Roman" w:eastAsia="宋体"/>
                <w:sz w:val="20"/>
              </w:rPr>
              <w:t>行（已验证，见附录</w:t>
            </w:r>
            <w:r>
              <w:rPr>
                <w:rFonts w:ascii="Times New Roman" w:hAnsi="Times New Roman" w:eastAsia="宋体"/>
                <w:sz w:val="20"/>
              </w:rPr>
              <w:t xml:space="preserve"> B </w:t>
            </w:r>
            <w:r>
              <w:rPr>
                <w:rFonts w:hint="eastAsia" w:ascii="Times New Roman" w:hAnsi="Times New Roman" w:eastAsia="宋体"/>
                <w:sz w:val="20"/>
              </w:rPr>
              <w:t>样例二）；Note</w:t>
            </w:r>
            <w:r>
              <w:rPr>
                <w:rFonts w:ascii="Times New Roman" w:hAnsi="Times New Roman" w:eastAsia="宋体"/>
                <w:sz w:val="20"/>
              </w:rPr>
              <w:t xml:space="preserve"> 4 PP&amp;E </w:t>
            </w:r>
            <w:r>
              <w:rPr>
                <w:rFonts w:hint="eastAsia" w:ascii="Times New Roman" w:hAnsi="Times New Roman" w:eastAsia="宋体"/>
                <w:sz w:val="20"/>
              </w:rPr>
              <w:t>表脚注（2），第</w:t>
            </w:r>
            <w:r>
              <w:rPr>
                <w:rFonts w:ascii="Times New Roman" w:hAnsi="Times New Roman" w:eastAsia="宋体"/>
                <w:sz w:val="20"/>
              </w:rPr>
              <w:t xml:space="preserve"> 7507 </w:t>
            </w:r>
            <w:r>
              <w:rPr>
                <w:rFonts w:hint="eastAsia" w:ascii="Times New Roman" w:hAnsi="Times New Roman" w:eastAsia="宋体"/>
                <w:sz w:val="20"/>
              </w:rPr>
              <w:t>行（FY2025</w:t>
            </w:r>
            <w:r>
              <w:rPr>
                <w:rFonts w:ascii="Times New Roman" w:hAnsi="Times New Roman" w:eastAsia="宋体"/>
                <w:sz w:val="20"/>
              </w:rPr>
              <w:t xml:space="preserve"> </w:t>
            </w:r>
            <w:r>
              <w:rPr>
                <w:rFonts w:hint="eastAsia" w:ascii="Times New Roman" w:hAnsi="Times New Roman" w:eastAsia="宋体"/>
                <w:sz w:val="20"/>
              </w:rPr>
              <w:t>10-K）</w:t>
            </w:r>
          </w:p>
        </w:tc>
      </w:tr>
      <w:tr w14:paraId="2276A5A8">
        <w:tblPrEx>
          <w:tblCellMar>
            <w:top w:w="0" w:type="dxa"/>
            <w:left w:w="108" w:type="dxa"/>
            <w:bottom w:w="0" w:type="dxa"/>
            <w:right w:w="108" w:type="dxa"/>
          </w:tblCellMar>
        </w:tblPrEx>
        <w:trPr>
          <w:cantSplit/>
        </w:trPr>
        <w:tc>
          <w:p w14:paraId="3FBB72C8">
            <w:pPr>
              <w:pStyle w:val="26"/>
              <w:spacing w:before="20" w:after="20" w:line="276" w:lineRule="auto"/>
            </w:pPr>
            <w:r>
              <w:rPr>
                <w:rFonts w:hint="eastAsia" w:ascii="Times New Roman" w:hAnsi="Times New Roman" w:eastAsia="宋体"/>
                <w:sz w:val="20"/>
              </w:rPr>
              <w:t>三年累计利润增厚</w:t>
            </w:r>
          </w:p>
        </w:tc>
        <w:tc>
          <w:p w14:paraId="29B85902">
            <w:pPr>
              <w:pStyle w:val="26"/>
              <w:spacing w:before="20" w:after="20" w:line="276" w:lineRule="auto"/>
            </w:pPr>
            <w:r>
              <w:rPr>
                <w:rFonts w:hint="eastAsia" w:ascii="Times New Roman" w:hAnsi="Times New Roman" w:eastAsia="宋体"/>
                <w:sz w:val="20"/>
              </w:rPr>
              <w:t>约</w:t>
            </w:r>
            <w:r>
              <w:rPr>
                <w:rFonts w:ascii="Times New Roman" w:hAnsi="Times New Roman" w:eastAsia="宋体"/>
                <w:sz w:val="20"/>
              </w:rPr>
              <w:t xml:space="preserve"> $1.17 </w:t>
            </w:r>
            <w:r>
              <w:rPr>
                <w:rFonts w:hint="eastAsia" w:ascii="Times New Roman" w:hAnsi="Times New Roman" w:eastAsia="宋体"/>
                <w:sz w:val="20"/>
              </w:rPr>
              <w:t>B（11.7</w:t>
            </w:r>
            <w:r>
              <w:rPr>
                <w:rFonts w:ascii="Times New Roman" w:hAnsi="Times New Roman" w:eastAsia="宋体"/>
                <w:sz w:val="20"/>
              </w:rPr>
              <w:t xml:space="preserve"> </w:t>
            </w:r>
            <w:r>
              <w:rPr>
                <w:rFonts w:hint="eastAsia" w:ascii="Times New Roman" w:hAnsi="Times New Roman" w:eastAsia="宋体"/>
                <w:sz w:val="20"/>
              </w:rPr>
              <w:t>亿美元）经营费用削减，历史少提折旧永不追溯</w:t>
            </w:r>
          </w:p>
        </w:tc>
        <w:tc>
          <w:p w14:paraId="1E0BDC6B">
            <w:pPr>
              <w:pStyle w:val="26"/>
              <w:spacing w:before="20" w:after="20" w:line="276" w:lineRule="auto"/>
            </w:pPr>
            <w:r>
              <w:rPr>
                <w:rFonts w:hint="eastAsia" w:ascii="Times New Roman" w:hAnsi="Times New Roman" w:eastAsia="宋体"/>
                <w:sz w:val="20"/>
              </w:rPr>
              <w:t>同左</w:t>
            </w:r>
          </w:p>
        </w:tc>
      </w:tr>
    </w:tbl>
    <w:p w14:paraId="721575D8">
      <w:pPr>
        <w:pStyle w:val="3"/>
        <w:spacing w:before="40" w:after="40" w:line="360" w:lineRule="auto"/>
        <w:ind w:firstLine="480"/>
      </w:pPr>
      <w:r>
        <w:rPr>
          <w:rFonts w:hint="eastAsia" w:ascii="Times New Roman" w:hAnsi="Times New Roman" w:eastAsia="宋体"/>
          <w:sz w:val="24"/>
        </w:rPr>
        <w:t>“表外递延”形态保留并升级：Oracle</w:t>
      </w:r>
      <w:r>
        <w:rPr>
          <w:rFonts w:ascii="Times New Roman" w:hAnsi="Times New Roman" w:eastAsia="宋体"/>
          <w:sz w:val="24"/>
        </w:rPr>
        <w:t xml:space="preserve"> </w:t>
      </w:r>
      <w:r>
        <w:rPr>
          <w:rFonts w:hint="eastAsia" w:ascii="Times New Roman" w:hAnsi="Times New Roman" w:eastAsia="宋体"/>
          <w:sz w:val="24"/>
        </w:rPr>
        <w:t>的风险不止于折旧表内。FY2024</w:t>
      </w:r>
      <w:r>
        <w:rPr>
          <w:rFonts w:ascii="Times New Roman" w:hAnsi="Times New Roman" w:eastAsia="宋体"/>
          <w:sz w:val="24"/>
        </w:rPr>
        <w:t xml:space="preserve"> </w:t>
      </w:r>
      <w:r>
        <w:rPr>
          <w:rFonts w:hint="eastAsia" w:ascii="Times New Roman" w:hAnsi="Times New Roman" w:eastAsia="宋体"/>
          <w:sz w:val="24"/>
        </w:rPr>
        <w:t>已承诺但未上表的数据中心经营租赁</w:t>
      </w:r>
      <w:r>
        <w:rPr>
          <w:rFonts w:ascii="Times New Roman" w:hAnsi="Times New Roman" w:eastAsia="宋体"/>
          <w:sz w:val="24"/>
        </w:rPr>
        <w:t xml:space="preserve"> </w:t>
      </w:r>
      <w:r>
        <w:rPr>
          <w:rFonts w:hint="eastAsia" w:ascii="Times New Roman" w:hAnsi="Times New Roman" w:eastAsia="宋体"/>
          <w:sz w:val="24"/>
        </w:rPr>
        <w:t>$22.9B（9-15</w:t>
      </w:r>
      <w:r>
        <w:rPr>
          <w:rFonts w:ascii="Times New Roman" w:hAnsi="Times New Roman" w:eastAsia="宋体"/>
          <w:sz w:val="24"/>
        </w:rPr>
        <w:t xml:space="preserve"> </w:t>
      </w:r>
      <w:r>
        <w:rPr>
          <w:rFonts w:hint="eastAsia" w:ascii="Times New Roman" w:hAnsi="Times New Roman" w:eastAsia="宋体"/>
          <w:sz w:val="24"/>
        </w:rPr>
        <w:t>年期）+</w:t>
      </w:r>
      <w:r>
        <w:rPr>
          <w:rFonts w:ascii="Times New Roman" w:hAnsi="Times New Roman" w:eastAsia="宋体"/>
          <w:sz w:val="24"/>
        </w:rPr>
        <w:t xml:space="preserve"> </w:t>
      </w:r>
      <w:r>
        <w:rPr>
          <w:rFonts w:hint="eastAsia" w:ascii="Times New Roman" w:hAnsi="Times New Roman" w:eastAsia="宋体"/>
          <w:sz w:val="24"/>
        </w:rPr>
        <w:t>期后新签</w:t>
      </w:r>
      <w:r>
        <w:rPr>
          <w:rFonts w:ascii="Times New Roman" w:hAnsi="Times New Roman" w:eastAsia="宋体"/>
          <w:sz w:val="24"/>
        </w:rPr>
        <w:t xml:space="preserve"> </w:t>
      </w:r>
      <w:r>
        <w:rPr>
          <w:rFonts w:hint="eastAsia" w:ascii="Times New Roman" w:hAnsi="Times New Roman" w:eastAsia="宋体"/>
          <w:sz w:val="24"/>
        </w:rPr>
        <w:t>$9.3B，合计</w:t>
      </w:r>
      <w:r>
        <w:rPr>
          <w:rFonts w:ascii="Times New Roman" w:hAnsi="Times New Roman" w:eastAsia="宋体"/>
          <w:sz w:val="24"/>
        </w:rPr>
        <w:t xml:space="preserve"> </w:t>
      </w:r>
      <w:r>
        <w:rPr>
          <w:rFonts w:hint="eastAsia" w:ascii="Times New Roman" w:hAnsi="Times New Roman" w:eastAsia="宋体"/>
          <w:sz w:val="24"/>
        </w:rPr>
        <w:t>$32.2B，超过其全部自有固定资产净值（$21.5B）；FY2025</w:t>
      </w:r>
      <w:r>
        <w:rPr>
          <w:rFonts w:ascii="Times New Roman" w:hAnsi="Times New Roman" w:eastAsia="宋体"/>
          <w:sz w:val="24"/>
        </w:rPr>
        <w:t xml:space="preserve"> </w:t>
      </w:r>
      <w:r>
        <w:rPr>
          <w:rFonts w:hint="eastAsia" w:ascii="Times New Roman" w:hAnsi="Times New Roman" w:eastAsia="宋体"/>
          <w:sz w:val="24"/>
        </w:rPr>
        <w:t>更进一步——新增未上表租赁承诺</w:t>
      </w:r>
      <w:r>
        <w:rPr>
          <w:rFonts w:ascii="Times New Roman" w:hAnsi="Times New Roman" w:eastAsia="宋体"/>
          <w:sz w:val="24"/>
        </w:rPr>
        <w:t xml:space="preserve"> </w:t>
      </w:r>
      <w:r>
        <w:rPr>
          <w:rFonts w:hint="eastAsia" w:ascii="Times New Roman" w:hAnsi="Times New Roman" w:eastAsia="宋体"/>
          <w:sz w:val="24"/>
        </w:rPr>
        <w:t>$43.4B（主要为数据中心，预计</w:t>
      </w:r>
      <w:r>
        <w:rPr>
          <w:rFonts w:ascii="Times New Roman" w:hAnsi="Times New Roman" w:eastAsia="宋体"/>
          <w:sz w:val="24"/>
        </w:rPr>
        <w:t xml:space="preserve"> FY2026-2028 </w:t>
      </w:r>
      <w:r>
        <w:rPr>
          <w:rFonts w:hint="eastAsia" w:ascii="Times New Roman" w:hAnsi="Times New Roman" w:eastAsia="宋体"/>
          <w:sz w:val="24"/>
        </w:rPr>
        <w:t>起租、租期</w:t>
      </w:r>
      <w:r>
        <w:rPr>
          <w:rFonts w:ascii="Times New Roman" w:hAnsi="Times New Roman" w:eastAsia="宋体"/>
          <w:sz w:val="24"/>
        </w:rPr>
        <w:t xml:space="preserve"> 10-16 </w:t>
      </w:r>
      <w:r>
        <w:rPr>
          <w:rFonts w:hint="eastAsia" w:ascii="Times New Roman" w:hAnsi="Times New Roman" w:eastAsia="宋体"/>
          <w:sz w:val="24"/>
        </w:rPr>
        <w:t>年，Note</w:t>
      </w:r>
      <w:r>
        <w:rPr>
          <w:rFonts w:ascii="Times New Roman" w:hAnsi="Times New Roman" w:eastAsia="宋体"/>
          <w:sz w:val="24"/>
        </w:rPr>
        <w:t xml:space="preserve"> </w:t>
      </w:r>
      <w:r>
        <w:rPr>
          <w:rFonts w:hint="eastAsia" w:ascii="Times New Roman" w:hAnsi="Times New Roman" w:eastAsia="宋体"/>
          <w:sz w:val="24"/>
        </w:rPr>
        <w:t>9，第</w:t>
      </w:r>
      <w:r>
        <w:rPr>
          <w:rFonts w:ascii="Times New Roman" w:hAnsi="Times New Roman" w:eastAsia="宋体"/>
          <w:sz w:val="24"/>
        </w:rPr>
        <w:t xml:space="preserve"> 10592 </w:t>
      </w:r>
      <w:r>
        <w:rPr>
          <w:rFonts w:hint="eastAsia" w:ascii="Times New Roman" w:hAnsi="Times New Roman" w:eastAsia="宋体"/>
          <w:sz w:val="24"/>
        </w:rPr>
        <w:t>行），同期净</w:t>
      </w:r>
      <w:r>
        <w:rPr>
          <w:rFonts w:ascii="Times New Roman" w:hAnsi="Times New Roman" w:eastAsia="宋体"/>
          <w:sz w:val="24"/>
        </w:rPr>
        <w:t xml:space="preserve"> PP&amp;E </w:t>
      </w:r>
      <w:r>
        <w:rPr>
          <w:rFonts w:hint="eastAsia" w:ascii="Times New Roman" w:hAnsi="Times New Roman" w:eastAsia="宋体"/>
          <w:sz w:val="24"/>
        </w:rPr>
        <w:t>一年内从</w:t>
      </w:r>
      <w:r>
        <w:rPr>
          <w:rFonts w:ascii="Times New Roman" w:hAnsi="Times New Roman" w:eastAsia="宋体"/>
          <w:sz w:val="24"/>
        </w:rPr>
        <w:t xml:space="preserve"> $21.5B </w:t>
      </w:r>
      <w:r>
        <w:rPr>
          <w:rFonts w:hint="eastAsia" w:ascii="Times New Roman" w:hAnsi="Times New Roman" w:eastAsia="宋体"/>
          <w:sz w:val="24"/>
        </w:rPr>
        <w:t>翻倍至</w:t>
      </w:r>
      <w:r>
        <w:rPr>
          <w:rFonts w:ascii="Times New Roman" w:hAnsi="Times New Roman" w:eastAsia="宋体"/>
          <w:sz w:val="24"/>
        </w:rPr>
        <w:t xml:space="preserve"> </w:t>
      </w:r>
      <w:r>
        <w:rPr>
          <w:rFonts w:hint="eastAsia" w:ascii="Times New Roman" w:hAnsi="Times New Roman" w:eastAsia="宋体"/>
          <w:sz w:val="24"/>
        </w:rPr>
        <w:t>$43.5B。连续三年（FY2023-FY2025）零重大固定资产减值。折旧错配没有在利润表爆发，而是随着租赁承诺与自建产能向后累积——FY2026-2028</w:t>
      </w:r>
      <w:r>
        <w:rPr>
          <w:rFonts w:ascii="Times New Roman" w:hAnsi="Times New Roman" w:eastAsia="宋体"/>
          <w:sz w:val="24"/>
        </w:rPr>
        <w:t xml:space="preserve"> </w:t>
      </w:r>
      <w:r>
        <w:rPr>
          <w:rFonts w:hint="eastAsia" w:ascii="Times New Roman" w:hAnsi="Times New Roman" w:eastAsia="宋体"/>
          <w:sz w:val="24"/>
        </w:rPr>
        <w:t>折旧阶梯式上升已成定局。</w:t>
      </w:r>
    </w:p>
    <w:p w14:paraId="38806051">
      <w:pPr>
        <w:pStyle w:val="3"/>
        <w:spacing w:before="40" w:after="40" w:line="360" w:lineRule="auto"/>
        <w:ind w:firstLine="480"/>
      </w:pPr>
      <w:r>
        <w:rPr>
          <w:rFonts w:hint="eastAsia" w:ascii="Times New Roman" w:hAnsi="Times New Roman" w:eastAsia="宋体"/>
          <w:sz w:val="24"/>
        </w:rPr>
        <w:t>双向验证案例的公司侧写法（方法论侧见</w:t>
      </w:r>
      <w:r>
        <w:rPr>
          <w:rFonts w:ascii="Times New Roman" w:hAnsi="Times New Roman" w:eastAsia="宋体"/>
          <w:sz w:val="24"/>
        </w:rPr>
        <w:t xml:space="preserve"> </w:t>
      </w:r>
      <w:r>
        <w:rPr>
          <w:rFonts w:hint="eastAsia" w:ascii="Times New Roman" w:hAnsi="Times New Roman" w:eastAsia="宋体"/>
          <w:sz w:val="24"/>
        </w:rPr>
        <w:t>3.3.5）：市场上易混淆的“5→8</w:t>
      </w:r>
      <w:r>
        <w:rPr>
          <w:rFonts w:ascii="Times New Roman" w:hAnsi="Times New Roman" w:eastAsia="宋体"/>
          <w:sz w:val="24"/>
        </w:rPr>
        <w:t xml:space="preserve"> </w:t>
      </w:r>
      <w:r>
        <w:rPr>
          <w:rFonts w:hint="eastAsia" w:ascii="Times New Roman" w:hAnsi="Times New Roman" w:eastAsia="宋体"/>
          <w:sz w:val="24"/>
        </w:rPr>
        <w:t>年”实为</w:t>
      </w:r>
      <w:r>
        <w:rPr>
          <w:rFonts w:ascii="Times New Roman" w:hAnsi="Times New Roman" w:eastAsia="宋体"/>
          <w:sz w:val="24"/>
        </w:rPr>
        <w:t xml:space="preserve"> Intel </w:t>
      </w:r>
      <w:r>
        <w:rPr>
          <w:rFonts w:hint="eastAsia" w:ascii="Times New Roman" w:hAnsi="Times New Roman" w:eastAsia="宋体"/>
          <w:sz w:val="24"/>
        </w:rPr>
        <w:t>晶圆厂设备变更，本研究的证据链核验明确将其与</w:t>
      </w:r>
      <w:r>
        <w:rPr>
          <w:rFonts w:ascii="Times New Roman" w:hAnsi="Times New Roman" w:eastAsia="宋体"/>
          <w:sz w:val="24"/>
        </w:rPr>
        <w:t xml:space="preserve"> Oracle </w:t>
      </w:r>
      <w:r>
        <w:rPr>
          <w:rFonts w:hint="eastAsia" w:ascii="Times New Roman" w:hAnsi="Times New Roman" w:eastAsia="宋体"/>
          <w:sz w:val="24"/>
        </w:rPr>
        <w:t>区分；而市场真实流传的“Oracle</w:t>
      </w:r>
      <w:r>
        <w:rPr>
          <w:rFonts w:ascii="Times New Roman" w:hAnsi="Times New Roman" w:eastAsia="宋体"/>
          <w:sz w:val="24"/>
        </w:rPr>
        <w:t xml:space="preserve"> </w:t>
      </w:r>
      <w:r>
        <w:rPr>
          <w:rFonts w:hint="eastAsia" w:ascii="Times New Roman" w:hAnsi="Times New Roman" w:eastAsia="宋体"/>
          <w:sz w:val="24"/>
        </w:rPr>
        <w:t>延长至</w:t>
      </w:r>
      <w:r>
        <w:rPr>
          <w:rFonts w:ascii="Times New Roman" w:hAnsi="Times New Roman" w:eastAsia="宋体"/>
          <w:sz w:val="24"/>
        </w:rPr>
        <w:t xml:space="preserve"> 6 </w:t>
      </w:r>
      <w:r>
        <w:rPr>
          <w:rFonts w:hint="eastAsia" w:ascii="Times New Roman" w:hAnsi="Times New Roman" w:eastAsia="宋体"/>
          <w:sz w:val="24"/>
        </w:rPr>
        <w:t>年”（界面新闻</w:t>
      </w:r>
      <w:r>
        <w:rPr>
          <w:rFonts w:ascii="Times New Roman" w:hAnsi="Times New Roman" w:eastAsia="宋体"/>
          <w:sz w:val="24"/>
        </w:rPr>
        <w:t xml:space="preserve"> 2025 </w:t>
      </w:r>
      <w:r>
        <w:rPr>
          <w:rFonts w:hint="eastAsia" w:ascii="Times New Roman" w:hAnsi="Times New Roman" w:eastAsia="宋体"/>
          <w:sz w:val="24"/>
        </w:rPr>
        <w:t>年底；Burry</w:t>
      </w:r>
      <w:r>
        <w:rPr>
          <w:rFonts w:ascii="Times New Roman" w:hAnsi="Times New Roman" w:eastAsia="宋体"/>
          <w:sz w:val="24"/>
        </w:rPr>
        <w:t xml:space="preserve"> 2025 </w:t>
      </w:r>
      <w:r>
        <w:rPr>
          <w:rFonts w:hint="eastAsia" w:ascii="Times New Roman" w:hAnsi="Times New Roman" w:eastAsia="宋体"/>
          <w:sz w:val="24"/>
        </w:rPr>
        <w:t>年底点名），FY2025</w:t>
      </w:r>
      <w:r>
        <w:rPr>
          <w:rFonts w:ascii="Times New Roman" w:hAnsi="Times New Roman" w:eastAsia="宋体"/>
          <w:sz w:val="24"/>
        </w:rPr>
        <w:t xml:space="preserve"> 10-K </w:t>
      </w:r>
      <w:r>
        <w:rPr>
          <w:rFonts w:hint="eastAsia" w:ascii="Times New Roman" w:hAnsi="Times New Roman" w:eastAsia="宋体"/>
          <w:sz w:val="24"/>
        </w:rPr>
        <w:t>标注证实为真且完成逐字量化。Oracle</w:t>
      </w:r>
      <w:r>
        <w:rPr>
          <w:rFonts w:ascii="Times New Roman" w:hAnsi="Times New Roman" w:eastAsia="宋体"/>
          <w:sz w:val="24"/>
        </w:rPr>
        <w:t xml:space="preserve"> </w:t>
      </w:r>
      <w:r>
        <w:rPr>
          <w:rFonts w:hint="eastAsia" w:ascii="Times New Roman" w:hAnsi="Times New Roman" w:eastAsia="宋体"/>
          <w:sz w:val="24"/>
        </w:rPr>
        <w:t>因此成为本研究“证据链方法对相似变更精准区分、对真实信息逐字证实”的完整闭环案例。</w:t>
      </w:r>
    </w:p>
    <w:bookmarkEnd w:id="92"/>
    <w:p w14:paraId="562EC3CE">
      <w:pPr>
        <w:pStyle w:val="5"/>
        <w:spacing w:before="240" w:after="120" w:line="360" w:lineRule="auto"/>
      </w:pPr>
      <w:bookmarkStart w:id="93" w:name="tesla202220243.203.203.75价格战挤压下的诚实样本"/>
      <w:r>
        <w:rPr>
          <w:rFonts w:ascii="Times New Roman" w:hAnsi="Times New Roman" w:eastAsia="黑体"/>
          <w:b/>
          <w:color w:val="003366"/>
          <w:sz w:val="24"/>
        </w:rPr>
        <w:t xml:space="preserve">4.4.2 </w:t>
      </w:r>
      <w:r>
        <w:rPr>
          <w:rFonts w:hint="eastAsia" w:ascii="Times New Roman" w:hAnsi="Times New Roman" w:eastAsia="黑体"/>
          <w:b/>
          <w:color w:val="003366"/>
          <w:sz w:val="24"/>
        </w:rPr>
        <w:t>Tesla（2022→2024：3.20→3.20→3.75）：价格战挤压下的诚实样本</w:t>
      </w:r>
    </w:p>
    <w:p w14:paraId="51E272EB">
      <w:pPr>
        <w:pStyle w:val="25"/>
        <w:spacing w:before="40" w:after="40" w:line="360" w:lineRule="auto"/>
        <w:ind w:firstLine="480"/>
      </w:pPr>
      <w:r>
        <w:rPr>
          <w:rFonts w:hint="eastAsia" w:ascii="Times New Roman" w:hAnsi="Times New Roman" w:eastAsia="宋体"/>
          <w:sz w:val="24"/>
        </w:rPr>
        <w:t>三年轨迹：前两年持平，2024</w:t>
      </w:r>
      <w:r>
        <w:rPr>
          <w:rFonts w:ascii="Times New Roman" w:hAnsi="Times New Roman" w:eastAsia="宋体"/>
          <w:sz w:val="24"/>
        </w:rPr>
        <w:t xml:space="preserve"> </w:t>
      </w:r>
      <w:r>
        <w:rPr>
          <w:rFonts w:hint="eastAsia" w:ascii="Times New Roman" w:hAnsi="Times New Roman" w:eastAsia="宋体"/>
          <w:sz w:val="24"/>
        </w:rPr>
        <w:t>年随毛利承压、减值信号与</w:t>
      </w:r>
      <w:r>
        <w:rPr>
          <w:rFonts w:ascii="Times New Roman" w:hAnsi="Times New Roman" w:eastAsia="宋体"/>
          <w:sz w:val="24"/>
        </w:rPr>
        <w:t xml:space="preserve"> CAPEX </w:t>
      </w:r>
      <w:r>
        <w:rPr>
          <w:rFonts w:hint="eastAsia" w:ascii="Times New Roman" w:hAnsi="Times New Roman" w:eastAsia="宋体"/>
          <w:sz w:val="24"/>
        </w:rPr>
        <w:t>上行升至</w:t>
      </w:r>
      <w:r>
        <w:rPr>
          <w:rFonts w:ascii="Times New Roman" w:hAnsi="Times New Roman" w:eastAsia="宋体"/>
          <w:sz w:val="24"/>
        </w:rPr>
        <w:t xml:space="preserve"> </w:t>
      </w:r>
      <w:r>
        <w:rPr>
          <w:rFonts w:hint="eastAsia" w:ascii="Times New Roman" w:hAnsi="Times New Roman" w:eastAsia="宋体"/>
          <w:sz w:val="24"/>
        </w:rPr>
        <w:t>3.75——无年限变更，升分由经营现实驱动。</w:t>
      </w:r>
    </w:p>
    <w:p w14:paraId="2D3E2A67">
      <w:pPr>
        <w:pStyle w:val="3"/>
        <w:spacing w:before="40" w:after="40" w:line="360" w:lineRule="auto"/>
        <w:ind w:firstLine="480"/>
      </w:pPr>
      <w:r>
        <w:rPr>
          <w:rFonts w:ascii="Times New Roman" w:hAnsi="Times New Roman" w:eastAsia="宋体"/>
          <w:sz w:val="24"/>
        </w:rPr>
        <w:t xml:space="preserve">2023 </w:t>
      </w:r>
      <w:r>
        <w:rPr>
          <w:rFonts w:hint="eastAsia" w:ascii="Times New Roman" w:hAnsi="Times New Roman" w:eastAsia="宋体"/>
          <w:sz w:val="24"/>
        </w:rPr>
        <w:t>年无任何折旧年限变更（D2</w:t>
      </w:r>
      <w:r>
        <w:rPr>
          <w:rFonts w:ascii="Times New Roman" w:hAnsi="Times New Roman" w:eastAsia="宋体"/>
          <w:sz w:val="24"/>
        </w:rPr>
        <w:t xml:space="preserve"> </w:t>
      </w:r>
      <w:r>
        <w:rPr>
          <w:rFonts w:hint="eastAsia" w:ascii="Times New Roman" w:hAnsi="Times New Roman" w:eastAsia="宋体"/>
          <w:sz w:val="24"/>
        </w:rPr>
        <w:t>中性</w:t>
      </w:r>
      <w:r>
        <w:rPr>
          <w:rFonts w:ascii="Times New Roman" w:hAnsi="Times New Roman" w:eastAsia="宋体"/>
          <w:sz w:val="24"/>
        </w:rPr>
        <w:t xml:space="preserve"> 3 </w:t>
      </w:r>
      <w:r>
        <w:rPr>
          <w:rFonts w:hint="eastAsia" w:ascii="Times New Roman" w:hAnsi="Times New Roman" w:eastAsia="宋体"/>
          <w:sz w:val="24"/>
        </w:rPr>
        <w:t>分）、连续三年长期资产零重大减值（D3</w:t>
      </w:r>
      <w:r>
        <w:rPr>
          <w:rFonts w:ascii="Times New Roman" w:hAnsi="Times New Roman" w:eastAsia="宋体"/>
          <w:sz w:val="24"/>
        </w:rPr>
        <w:t xml:space="preserve"> </w:t>
      </w:r>
      <w:r>
        <w:rPr>
          <w:rFonts w:hint="eastAsia" w:ascii="Times New Roman" w:hAnsi="Times New Roman" w:eastAsia="宋体"/>
          <w:sz w:val="24"/>
        </w:rPr>
        <w:t>仅</w:t>
      </w:r>
      <w:r>
        <w:rPr>
          <w:rFonts w:ascii="Times New Roman" w:hAnsi="Times New Roman" w:eastAsia="宋体"/>
          <w:sz w:val="24"/>
        </w:rPr>
        <w:t xml:space="preserve"> 2 </w:t>
      </w:r>
      <w:r>
        <w:rPr>
          <w:rFonts w:hint="eastAsia" w:ascii="Times New Roman" w:hAnsi="Times New Roman" w:eastAsia="宋体"/>
          <w:sz w:val="24"/>
        </w:rPr>
        <w:t>分）。Tesla</w:t>
      </w:r>
      <w:r>
        <w:rPr>
          <w:rFonts w:ascii="Times New Roman" w:hAnsi="Times New Roman" w:eastAsia="宋体"/>
          <w:sz w:val="24"/>
        </w:rPr>
        <w:t xml:space="preserve"> </w:t>
      </w:r>
      <w:r>
        <w:rPr>
          <w:rFonts w:hint="eastAsia" w:ascii="Times New Roman" w:hAnsi="Times New Roman" w:eastAsia="宋体"/>
          <w:sz w:val="24"/>
        </w:rPr>
        <w:t>的风险不在会计假设而在经营现实：2023</w:t>
      </w:r>
      <w:r>
        <w:rPr>
          <w:rFonts w:ascii="Times New Roman" w:hAnsi="Times New Roman" w:eastAsia="宋体"/>
          <w:sz w:val="24"/>
        </w:rPr>
        <w:t xml:space="preserve"> </w:t>
      </w:r>
      <w:r>
        <w:rPr>
          <w:rFonts w:hint="eastAsia" w:ascii="Times New Roman" w:hAnsi="Times New Roman" w:eastAsia="宋体"/>
          <w:sz w:val="24"/>
        </w:rPr>
        <w:t>年多次降价致汽车毛利率从</w:t>
      </w:r>
      <w:r>
        <w:rPr>
          <w:rFonts w:ascii="Times New Roman" w:hAnsi="Times New Roman" w:eastAsia="宋体"/>
          <w:sz w:val="24"/>
        </w:rPr>
        <w:t xml:space="preserve"> 28.5% </w:t>
      </w:r>
      <w:r>
        <w:rPr>
          <w:rFonts w:hint="eastAsia" w:ascii="Times New Roman" w:hAnsi="Times New Roman" w:eastAsia="宋体"/>
          <w:sz w:val="24"/>
        </w:rPr>
        <w:t>崩塌至</w:t>
      </w:r>
      <w:r>
        <w:rPr>
          <w:rFonts w:ascii="Times New Roman" w:hAnsi="Times New Roman" w:eastAsia="宋体"/>
          <w:sz w:val="24"/>
        </w:rPr>
        <w:t xml:space="preserve"> </w:t>
      </w:r>
      <w:r>
        <w:rPr>
          <w:rFonts w:hint="eastAsia" w:ascii="Times New Roman" w:hAnsi="Times New Roman" w:eastAsia="宋体"/>
          <w:sz w:val="24"/>
        </w:rPr>
        <w:t>19.4%（-9.1pp），Risk</w:t>
      </w:r>
      <w:r>
        <w:rPr>
          <w:rFonts w:ascii="Times New Roman" w:hAnsi="Times New Roman" w:eastAsia="宋体"/>
          <w:sz w:val="24"/>
        </w:rPr>
        <w:t xml:space="preserve"> Factors </w:t>
      </w:r>
      <w:r>
        <w:rPr>
          <w:rFonts w:hint="eastAsia" w:ascii="Times New Roman" w:hAnsi="Times New Roman" w:eastAsia="宋体"/>
          <w:sz w:val="24"/>
        </w:rPr>
        <w:t>明确承认“制造设备可能提前淘汰”（early</w:t>
      </w:r>
      <w:r>
        <w:rPr>
          <w:rFonts w:ascii="Times New Roman" w:hAnsi="Times New Roman" w:eastAsia="宋体"/>
          <w:sz w:val="24"/>
        </w:rPr>
        <w:t xml:space="preserve"> </w:t>
      </w:r>
      <w:r>
        <w:rPr>
          <w:rFonts w:hint="eastAsia" w:ascii="Times New Roman" w:hAnsi="Times New Roman" w:eastAsia="宋体"/>
          <w:sz w:val="24"/>
        </w:rPr>
        <w:t>obsolescence）；Dojo</w:t>
      </w:r>
      <w:r>
        <w:rPr>
          <w:rFonts w:ascii="Times New Roman" w:hAnsi="Times New Roman" w:eastAsia="宋体"/>
          <w:sz w:val="24"/>
        </w:rPr>
        <w:t xml:space="preserve"> </w:t>
      </w:r>
      <w:r>
        <w:rPr>
          <w:rFonts w:hint="eastAsia" w:ascii="Times New Roman" w:hAnsi="Times New Roman" w:eastAsia="宋体"/>
          <w:sz w:val="24"/>
        </w:rPr>
        <w:t>超算与</w:t>
      </w:r>
      <w:r>
        <w:rPr>
          <w:rFonts w:ascii="Times New Roman" w:hAnsi="Times New Roman" w:eastAsia="宋体"/>
          <w:sz w:val="24"/>
        </w:rPr>
        <w:t xml:space="preserve"> HW3→HW4 </w:t>
      </w:r>
      <w:r>
        <w:rPr>
          <w:rFonts w:hint="eastAsia" w:ascii="Times New Roman" w:hAnsi="Times New Roman" w:eastAsia="宋体"/>
          <w:sz w:val="24"/>
        </w:rPr>
        <w:t>车端芯片迭代构成</w:t>
      </w:r>
      <w:r>
        <w:rPr>
          <w:rFonts w:ascii="Times New Roman" w:hAnsi="Times New Roman" w:eastAsia="宋体"/>
          <w:sz w:val="24"/>
        </w:rPr>
        <w:t xml:space="preserve"> AI </w:t>
      </w:r>
      <w:r>
        <w:rPr>
          <w:rFonts w:hint="eastAsia" w:ascii="Times New Roman" w:hAnsi="Times New Roman" w:eastAsia="宋体"/>
          <w:sz w:val="24"/>
        </w:rPr>
        <w:t>算力自研路线的替代压力。CAPEX</w:t>
      </w:r>
      <w:r>
        <w:rPr>
          <w:rFonts w:ascii="Times New Roman" w:hAnsi="Times New Roman" w:eastAsia="宋体"/>
          <w:sz w:val="24"/>
        </w:rPr>
        <w:t xml:space="preserve"> </w:t>
      </w:r>
      <w:r>
        <w:rPr>
          <w:rFonts w:hint="eastAsia" w:ascii="Times New Roman" w:hAnsi="Times New Roman" w:eastAsia="宋体"/>
          <w:sz w:val="24"/>
        </w:rPr>
        <w:t>$8.9B（占收入</w:t>
      </w:r>
      <w:r>
        <w:rPr>
          <w:rFonts w:ascii="Times New Roman" w:hAnsi="Times New Roman" w:eastAsia="宋体"/>
          <w:sz w:val="24"/>
        </w:rPr>
        <w:t xml:space="preserve"> </w:t>
      </w:r>
      <w:r>
        <w:rPr>
          <w:rFonts w:hint="eastAsia" w:ascii="Times New Roman" w:hAnsi="Times New Roman" w:eastAsia="宋体"/>
          <w:sz w:val="24"/>
        </w:rPr>
        <w:t>9.2%）且指引</w:t>
      </w:r>
      <w:r>
        <w:rPr>
          <w:rFonts w:ascii="Times New Roman" w:hAnsi="Times New Roman" w:eastAsia="宋体"/>
          <w:sz w:val="24"/>
        </w:rPr>
        <w:t xml:space="preserve"> 2024 </w:t>
      </w:r>
      <w:r>
        <w:rPr>
          <w:rFonts w:hint="eastAsia" w:ascii="Times New Roman" w:hAnsi="Times New Roman" w:eastAsia="宋体"/>
          <w:sz w:val="24"/>
        </w:rPr>
        <w:t>年超</w:t>
      </w:r>
      <w:r>
        <w:rPr>
          <w:rFonts w:ascii="Times New Roman" w:hAnsi="Times New Roman" w:eastAsia="宋体"/>
          <w:sz w:val="24"/>
        </w:rPr>
        <w:t xml:space="preserve"> </w:t>
      </w:r>
      <w:r>
        <w:rPr>
          <w:rFonts w:hint="eastAsia" w:ascii="Times New Roman" w:hAnsi="Times New Roman" w:eastAsia="宋体"/>
          <w:sz w:val="24"/>
        </w:rPr>
        <w:t>$10B，扩张与毛利承压并存——2024</w:t>
      </w:r>
      <w:r>
        <w:rPr>
          <w:rFonts w:ascii="Times New Roman" w:hAnsi="Times New Roman" w:eastAsia="宋体"/>
          <w:sz w:val="24"/>
        </w:rPr>
        <w:t xml:space="preserve"> </w:t>
      </w:r>
      <w:r>
        <w:rPr>
          <w:rFonts w:hint="eastAsia" w:ascii="Times New Roman" w:hAnsi="Times New Roman" w:eastAsia="宋体"/>
          <w:sz w:val="24"/>
        </w:rPr>
        <w:t>年评分的上行正是这一压力的量化表达。</w:t>
      </w:r>
    </w:p>
    <w:bookmarkEnd w:id="93"/>
    <w:p w14:paraId="5D561A60">
      <w:pPr>
        <w:pStyle w:val="5"/>
        <w:spacing w:before="240" w:after="120" w:line="360" w:lineRule="auto"/>
      </w:pPr>
      <w:bookmarkStart w:id="94" w:name="X15e004e0e5e8c63bdc90bc2b0a4fcda9a215cbd"/>
      <w:r>
        <w:rPr>
          <w:rFonts w:ascii="Times New Roman" w:hAnsi="Times New Roman" w:eastAsia="黑体"/>
          <w:b/>
          <w:color w:val="003366"/>
          <w:sz w:val="24"/>
        </w:rPr>
        <w:t xml:space="preserve">4.4.3 </w:t>
      </w:r>
      <w:r>
        <w:rPr>
          <w:rFonts w:hint="eastAsia" w:ascii="Times New Roman" w:hAnsi="Times New Roman" w:eastAsia="黑体"/>
          <w:b/>
          <w:color w:val="003366"/>
          <w:sz w:val="24"/>
        </w:rPr>
        <w:t>NVIDIA（FY2023→FY2025：2.85→3.10→3.45）：最激进的政策</w:t>
      </w:r>
      <w:r>
        <w:rPr>
          <w:rFonts w:ascii="Times New Roman" w:hAnsi="Times New Roman" w:eastAsia="黑体"/>
          <w:b/>
          <w:color w:val="003366"/>
          <w:sz w:val="24"/>
        </w:rPr>
        <w:t xml:space="preserve"> × </w:t>
      </w:r>
      <w:r>
        <w:rPr>
          <w:rFonts w:hint="eastAsia" w:ascii="Times New Roman" w:hAnsi="Times New Roman" w:eastAsia="黑体"/>
          <w:b/>
          <w:color w:val="003366"/>
          <w:sz w:val="24"/>
        </w:rPr>
        <w:t>最轻的资产</w:t>
      </w:r>
    </w:p>
    <w:p w14:paraId="2058E38F">
      <w:pPr>
        <w:pStyle w:val="25"/>
        <w:spacing w:before="40" w:after="40" w:line="360" w:lineRule="auto"/>
        <w:ind w:firstLine="480"/>
      </w:pPr>
      <w:r>
        <w:rPr>
          <w:rFonts w:hint="eastAsia" w:ascii="Times New Roman" w:hAnsi="Times New Roman" w:eastAsia="宋体"/>
          <w:sz w:val="24"/>
        </w:rPr>
        <w:t>三年轨迹：三年连升——FY2024</w:t>
      </w:r>
      <w:r>
        <w:rPr>
          <w:rFonts w:ascii="Times New Roman" w:hAnsi="Times New Roman" w:eastAsia="宋体"/>
          <w:sz w:val="24"/>
        </w:rPr>
        <w:t xml:space="preserve"> </w:t>
      </w:r>
      <w:r>
        <w:rPr>
          <w:rFonts w:hint="eastAsia" w:ascii="Times New Roman" w:hAnsi="Times New Roman" w:eastAsia="宋体"/>
          <w:sz w:val="24"/>
        </w:rPr>
        <w:t>变更年</w:t>
      </w:r>
      <w:r>
        <w:rPr>
          <w:rFonts w:ascii="Times New Roman" w:hAnsi="Times New Roman" w:eastAsia="宋体"/>
          <w:sz w:val="24"/>
        </w:rPr>
        <w:t xml:space="preserve"> </w:t>
      </w:r>
      <w:r>
        <w:rPr>
          <w:rFonts w:hint="eastAsia" w:ascii="Times New Roman" w:hAnsi="Times New Roman" w:eastAsia="宋体"/>
          <w:sz w:val="24"/>
        </w:rPr>
        <w:t>3.10，FY2025</w:t>
      </w:r>
      <w:r>
        <w:rPr>
          <w:rFonts w:ascii="Times New Roman" w:hAnsi="Times New Roman" w:eastAsia="宋体"/>
          <w:sz w:val="24"/>
        </w:rPr>
        <w:t xml:space="preserve"> </w:t>
      </w:r>
      <w:r>
        <w:rPr>
          <w:rFonts w:hint="eastAsia" w:ascii="Times New Roman" w:hAnsi="Times New Roman" w:eastAsia="宋体"/>
          <w:sz w:val="24"/>
        </w:rPr>
        <w:t>无新变更仍升至</w:t>
      </w:r>
      <w:r>
        <w:rPr>
          <w:rFonts w:ascii="Times New Roman" w:hAnsi="Times New Roman" w:eastAsia="宋体"/>
          <w:sz w:val="24"/>
        </w:rPr>
        <w:t xml:space="preserve"> </w:t>
      </w:r>
      <w:r>
        <w:rPr>
          <w:rFonts w:hint="eastAsia" w:ascii="Times New Roman" w:hAnsi="Times New Roman" w:eastAsia="宋体"/>
          <w:sz w:val="24"/>
        </w:rPr>
        <w:t>3.45，是“无变更也升分”的</w:t>
      </w:r>
      <w:r>
        <w:rPr>
          <w:rFonts w:ascii="Times New Roman" w:hAnsi="Times New Roman" w:eastAsia="宋体"/>
          <w:sz w:val="24"/>
        </w:rPr>
        <w:t xml:space="preserve"> CAPEX </w:t>
      </w:r>
      <w:r>
        <w:rPr>
          <w:rFonts w:hint="eastAsia" w:ascii="Times New Roman" w:hAnsi="Times New Roman" w:eastAsia="宋体"/>
          <w:sz w:val="24"/>
        </w:rPr>
        <w:t>扩张驱动型累积对照案例。</w:t>
      </w:r>
    </w:p>
    <w:p w14:paraId="3C640B9B">
      <w:pPr>
        <w:pStyle w:val="3"/>
        <w:spacing w:before="40" w:after="40" w:line="360" w:lineRule="auto"/>
        <w:ind w:firstLine="480"/>
      </w:pPr>
      <w:r>
        <w:rPr>
          <w:rFonts w:ascii="Times New Roman" w:hAnsi="Times New Roman" w:eastAsia="宋体"/>
          <w:sz w:val="24"/>
        </w:rPr>
        <w:t xml:space="preserve">D2 </w:t>
      </w:r>
      <w:r>
        <w:rPr>
          <w:rFonts w:hint="eastAsia" w:ascii="Times New Roman" w:hAnsi="Times New Roman" w:eastAsia="宋体"/>
          <w:sz w:val="24"/>
        </w:rPr>
        <w:t>满分（5</w:t>
      </w:r>
      <w:r>
        <w:rPr>
          <w:rFonts w:ascii="Times New Roman" w:hAnsi="Times New Roman" w:eastAsia="宋体"/>
          <w:sz w:val="24"/>
        </w:rPr>
        <w:t xml:space="preserve"> </w:t>
      </w:r>
      <w:r>
        <w:rPr>
          <w:rFonts w:hint="eastAsia" w:ascii="Times New Roman" w:hAnsi="Times New Roman" w:eastAsia="宋体"/>
          <w:sz w:val="24"/>
        </w:rPr>
        <w:t>分）：2023</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月将服务器/存储/网络设备</w:t>
      </w:r>
      <w:r>
        <w:rPr>
          <w:rFonts w:ascii="Times New Roman" w:hAnsi="Times New Roman" w:eastAsia="宋体"/>
          <w:sz w:val="24"/>
        </w:rPr>
        <w:t xml:space="preserve"> 3→4-5 </w:t>
      </w:r>
      <w:r>
        <w:rPr>
          <w:rFonts w:hint="eastAsia" w:ascii="Times New Roman" w:hAnsi="Times New Roman" w:eastAsia="宋体"/>
          <w:sz w:val="24"/>
        </w:rPr>
        <w:t>年、组装测试设备</w:t>
      </w:r>
      <w:r>
        <w:rPr>
          <w:rFonts w:ascii="Times New Roman" w:hAnsi="Times New Roman" w:eastAsia="宋体"/>
          <w:sz w:val="24"/>
        </w:rPr>
        <w:t xml:space="preserve"> 5→7 </w:t>
      </w:r>
      <w:r>
        <w:rPr>
          <w:rFonts w:hint="eastAsia" w:ascii="Times New Roman" w:hAnsi="Times New Roman" w:eastAsia="宋体"/>
          <w:sz w:val="24"/>
        </w:rPr>
        <w:t>年，量化增厚</w:t>
      </w:r>
      <w:r>
        <w:rPr>
          <w:rFonts w:ascii="Times New Roman" w:hAnsi="Times New Roman" w:eastAsia="宋体"/>
          <w:sz w:val="24"/>
        </w:rPr>
        <w:t xml:space="preserve"> FY2024 </w:t>
      </w:r>
      <w:r>
        <w:rPr>
          <w:rFonts w:hint="eastAsia" w:ascii="Times New Roman" w:hAnsi="Times New Roman" w:eastAsia="宋体"/>
          <w:sz w:val="24"/>
        </w:rPr>
        <w:t>营业利润</w:t>
      </w:r>
      <w:r>
        <w:rPr>
          <w:rFonts w:ascii="Times New Roman" w:hAnsi="Times New Roman" w:eastAsia="宋体"/>
          <w:sz w:val="24"/>
        </w:rPr>
        <w:t xml:space="preserve"> </w:t>
      </w:r>
      <w:r>
        <w:rPr>
          <w:rFonts w:hint="eastAsia" w:ascii="Times New Roman" w:hAnsi="Times New Roman" w:eastAsia="宋体"/>
          <w:sz w:val="24"/>
        </w:rPr>
        <w:t>$133M（NVIDIA</w:t>
      </w:r>
      <w:r>
        <w:rPr>
          <w:rFonts w:ascii="Times New Roman" w:hAnsi="Times New Roman" w:eastAsia="宋体"/>
          <w:sz w:val="24"/>
        </w:rPr>
        <w:t xml:space="preserve"> FY2024 10-K </w:t>
      </w:r>
      <w:r>
        <w:rPr>
          <w:rFonts w:hint="eastAsia" w:ascii="Times New Roman" w:hAnsi="Times New Roman" w:eastAsia="宋体"/>
          <w:sz w:val="24"/>
        </w:rPr>
        <w:t>直接披露），按有效税率约</w:t>
      </w:r>
      <w:r>
        <w:rPr>
          <w:rFonts w:ascii="Times New Roman" w:hAnsi="Times New Roman" w:eastAsia="宋体"/>
          <w:sz w:val="24"/>
        </w:rPr>
        <w:t xml:space="preserve"> 15% </w:t>
      </w:r>
      <w:r>
        <w:rPr>
          <w:rFonts w:hint="eastAsia" w:ascii="Times New Roman" w:hAnsi="Times New Roman" w:eastAsia="宋体"/>
          <w:sz w:val="24"/>
        </w:rPr>
        <w:t>推算税后净利约</w:t>
      </w:r>
      <w:r>
        <w:rPr>
          <w:rFonts w:ascii="Times New Roman" w:hAnsi="Times New Roman" w:eastAsia="宋体"/>
          <w:sz w:val="24"/>
        </w:rPr>
        <w:t xml:space="preserve"> </w:t>
      </w:r>
      <w:r>
        <w:rPr>
          <w:rFonts w:hint="eastAsia" w:ascii="Times New Roman" w:hAnsi="Times New Roman" w:eastAsia="宋体"/>
          <w:sz w:val="24"/>
        </w:rPr>
        <w:t>$113M（非官方直接披露，为推算值）——且公司用“技术进步”作为延长年限的理由，而同一股技术力量在存货侧被认定为减值驱动（FY2024/FY2023</w:t>
      </w:r>
      <w:r>
        <w:rPr>
          <w:rFonts w:ascii="Times New Roman" w:hAnsi="Times New Roman" w:eastAsia="宋体"/>
          <w:sz w:val="24"/>
        </w:rPr>
        <w:t xml:space="preserve"> </w:t>
      </w:r>
      <w:r>
        <w:rPr>
          <w:rFonts w:hint="eastAsia" w:ascii="Times New Roman" w:hAnsi="Times New Roman" w:eastAsia="宋体"/>
          <w:sz w:val="24"/>
        </w:rPr>
        <w:t>存货拨备</w:t>
      </w:r>
      <w:r>
        <w:rPr>
          <w:rFonts w:ascii="Times New Roman" w:hAnsi="Times New Roman" w:eastAsia="宋体"/>
          <w:sz w:val="24"/>
        </w:rPr>
        <w:t xml:space="preserve"> </w:t>
      </w:r>
      <w:r>
        <w:rPr>
          <w:rFonts w:hint="eastAsia" w:ascii="Times New Roman" w:hAnsi="Times New Roman" w:eastAsia="宋体"/>
          <w:sz w:val="24"/>
        </w:rPr>
        <w:t>$774M/$1.0B），逻辑自相矛盾。但</w:t>
      </w:r>
      <w:r>
        <w:rPr>
          <w:rFonts w:ascii="Times New Roman" w:hAnsi="Times New Roman" w:eastAsia="宋体"/>
          <w:sz w:val="24"/>
        </w:rPr>
        <w:t xml:space="preserve"> D4 </w:t>
      </w:r>
      <w:r>
        <w:rPr>
          <w:rFonts w:hint="eastAsia" w:ascii="Times New Roman" w:hAnsi="Times New Roman" w:eastAsia="宋体"/>
          <w:sz w:val="24"/>
        </w:rPr>
        <w:t>仅</w:t>
      </w:r>
      <w:r>
        <w:rPr>
          <w:rFonts w:ascii="Times New Roman" w:hAnsi="Times New Roman" w:eastAsia="宋体"/>
          <w:sz w:val="24"/>
        </w:rPr>
        <w:t xml:space="preserve"> 1 </w:t>
      </w:r>
      <w:r>
        <w:rPr>
          <w:rFonts w:hint="eastAsia" w:ascii="Times New Roman" w:hAnsi="Times New Roman" w:eastAsia="宋体"/>
          <w:sz w:val="24"/>
        </w:rPr>
        <w:t>分（FY2024</w:t>
      </w:r>
      <w:r>
        <w:rPr>
          <w:rFonts w:ascii="Times New Roman" w:hAnsi="Times New Roman" w:eastAsia="宋体"/>
          <w:sz w:val="24"/>
        </w:rPr>
        <w:t xml:space="preserve"> </w:t>
      </w:r>
      <w:r>
        <w:rPr>
          <w:rFonts w:hint="eastAsia" w:ascii="Times New Roman" w:hAnsi="Times New Roman" w:eastAsia="宋体"/>
          <w:sz w:val="24"/>
        </w:rPr>
        <w:t>CAPEX/收入</w:t>
      </w:r>
      <w:r>
        <w:rPr>
          <w:rFonts w:ascii="Times New Roman" w:hAnsi="Times New Roman" w:eastAsia="宋体"/>
          <w:sz w:val="24"/>
        </w:rPr>
        <w:t xml:space="preserve"> </w:t>
      </w:r>
      <w:r>
        <w:rPr>
          <w:rFonts w:hint="eastAsia" w:ascii="Times New Roman" w:hAnsi="Times New Roman" w:eastAsia="宋体"/>
          <w:sz w:val="24"/>
        </w:rPr>
        <w:t>1.75%）：fabless</w:t>
      </w:r>
      <w:r>
        <w:rPr>
          <w:rFonts w:ascii="Times New Roman" w:hAnsi="Times New Roman" w:eastAsia="宋体"/>
          <w:sz w:val="24"/>
        </w:rPr>
        <w:t xml:space="preserve"> </w:t>
      </w:r>
      <w:r>
        <w:rPr>
          <w:rFonts w:hint="eastAsia" w:ascii="Times New Roman" w:hAnsi="Times New Roman" w:eastAsia="宋体"/>
          <w:sz w:val="24"/>
        </w:rPr>
        <w:t>模式下</w:t>
      </w:r>
      <w:r>
        <w:rPr>
          <w:rFonts w:ascii="Times New Roman" w:hAnsi="Times New Roman" w:eastAsia="宋体"/>
          <w:sz w:val="24"/>
        </w:rPr>
        <w:t xml:space="preserve"> NVIDIA </w:t>
      </w:r>
      <w:r>
        <w:rPr>
          <w:rFonts w:hint="eastAsia" w:ascii="Times New Roman" w:hAnsi="Times New Roman" w:eastAsia="宋体"/>
          <w:sz w:val="24"/>
        </w:rPr>
        <w:t>自身几乎不持有算力资产，过时风险由客户（云厂商）的折旧表和自身的存货承担。FY2025</w:t>
      </w:r>
      <w:r>
        <w:rPr>
          <w:rFonts w:ascii="Times New Roman" w:hAnsi="Times New Roman" w:eastAsia="宋体"/>
          <w:sz w:val="24"/>
        </w:rPr>
        <w:t xml:space="preserve"> </w:t>
      </w:r>
      <w:r>
        <w:rPr>
          <w:rFonts w:hint="eastAsia" w:ascii="Times New Roman" w:hAnsi="Times New Roman" w:eastAsia="宋体"/>
          <w:sz w:val="24"/>
        </w:rPr>
        <w:t>评分的继续上行（D3</w:t>
      </w:r>
      <w:r>
        <w:rPr>
          <w:rFonts w:ascii="Times New Roman" w:hAnsi="Times New Roman" w:eastAsia="宋体"/>
          <w:sz w:val="24"/>
        </w:rPr>
        <w:t xml:space="preserve"> 3→4、D4 </w:t>
      </w:r>
      <w:r>
        <w:rPr>
          <w:rFonts w:hint="eastAsia" w:ascii="Times New Roman" w:hAnsi="Times New Roman" w:eastAsia="宋体"/>
          <w:sz w:val="24"/>
        </w:rPr>
        <w:t>1→2）恰来自产能采购承诺与存货敞口的扩张——信号检测价值大于金额重大性价值。</w:t>
      </w:r>
    </w:p>
    <w:bookmarkEnd w:id="94"/>
    <w:p w14:paraId="549D932F">
      <w:pPr>
        <w:pStyle w:val="5"/>
        <w:spacing w:before="240" w:after="120" w:line="360" w:lineRule="auto"/>
      </w:pPr>
      <w:bookmarkStart w:id="95" w:name="amazon2025反向缩回-65-年反事实对照组延不延是会计选择不是技术必然"/>
      <w:r>
        <w:rPr>
          <w:rFonts w:ascii="Times New Roman" w:hAnsi="Times New Roman" w:eastAsia="黑体"/>
          <w:b/>
          <w:color w:val="003366"/>
          <w:sz w:val="24"/>
        </w:rPr>
        <w:t xml:space="preserve">4.4.4 </w:t>
      </w:r>
      <w:r>
        <w:rPr>
          <w:rFonts w:hint="eastAsia" w:ascii="Times New Roman" w:hAnsi="Times New Roman" w:eastAsia="黑体"/>
          <w:b/>
          <w:color w:val="003366"/>
          <w:sz w:val="24"/>
        </w:rPr>
        <w:t>Amazon（2025：反向缩回</w:t>
      </w:r>
      <w:r>
        <w:rPr>
          <w:rFonts w:ascii="Times New Roman" w:hAnsi="Times New Roman" w:eastAsia="黑体"/>
          <w:b/>
          <w:color w:val="003366"/>
          <w:sz w:val="24"/>
        </w:rPr>
        <w:t xml:space="preserve"> 6→5 </w:t>
      </w:r>
      <w:r>
        <w:rPr>
          <w:rFonts w:hint="eastAsia" w:ascii="Times New Roman" w:hAnsi="Times New Roman" w:eastAsia="黑体"/>
          <w:b/>
          <w:color w:val="003366"/>
          <w:sz w:val="24"/>
        </w:rPr>
        <w:t>年）：反事实对照组——“延不延”是会计选择，不是技术必然</w:t>
      </w:r>
    </w:p>
    <w:p w14:paraId="6A37C03B">
      <w:pPr>
        <w:pStyle w:val="25"/>
        <w:spacing w:before="40" w:after="40" w:line="360" w:lineRule="auto"/>
        <w:ind w:firstLine="480"/>
      </w:pPr>
      <w:r>
        <w:rPr>
          <w:rFonts w:hint="eastAsia" w:ascii="Times New Roman" w:hAnsi="Times New Roman" w:eastAsia="宋体"/>
          <w:sz w:val="24"/>
        </w:rPr>
        <w:t>与“行业共振”叙事形成尖锐对照的是</w:t>
      </w:r>
      <w:r>
        <w:rPr>
          <w:rFonts w:ascii="Times New Roman" w:hAnsi="Times New Roman" w:eastAsia="宋体"/>
          <w:sz w:val="24"/>
        </w:rPr>
        <w:t xml:space="preserve"> Amazon </w:t>
      </w:r>
      <w:r>
        <w:rPr>
          <w:rFonts w:hint="eastAsia" w:ascii="Times New Roman" w:hAnsi="Times New Roman" w:eastAsia="宋体"/>
          <w:sz w:val="24"/>
        </w:rPr>
        <w:t>的反向操作。2025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月（披露于</w:t>
      </w:r>
      <w:r>
        <w:rPr>
          <w:rFonts w:ascii="Times New Roman" w:hAnsi="Times New Roman" w:eastAsia="宋体"/>
          <w:sz w:val="24"/>
        </w:rPr>
        <w:t xml:space="preserve"> 2024 Q4 </w:t>
      </w:r>
      <w:r>
        <w:rPr>
          <w:rFonts w:hint="eastAsia" w:ascii="Times New Roman" w:hAnsi="Times New Roman" w:eastAsia="宋体"/>
          <w:sz w:val="24"/>
        </w:rPr>
        <w:t>业绩电话会），Amazon</w:t>
      </w:r>
      <w:r>
        <w:rPr>
          <w:rFonts w:ascii="Times New Roman" w:hAnsi="Times New Roman" w:eastAsia="宋体"/>
          <w:sz w:val="24"/>
        </w:rPr>
        <w:t xml:space="preserve"> CFO Brian Olsavsky </w:t>
      </w:r>
      <w:r>
        <w:rPr>
          <w:rFonts w:hint="eastAsia" w:ascii="Times New Roman" w:hAnsi="Times New Roman" w:eastAsia="宋体"/>
          <w:sz w:val="24"/>
        </w:rPr>
        <w:t>表示：因“AI</w:t>
      </w:r>
      <w:r>
        <w:rPr>
          <w:rFonts w:ascii="Times New Roman" w:hAnsi="Times New Roman" w:eastAsia="宋体"/>
          <w:sz w:val="24"/>
        </w:rPr>
        <w:t xml:space="preserve"> </w:t>
      </w:r>
      <w:r>
        <w:rPr>
          <w:rFonts w:hint="eastAsia" w:ascii="Times New Roman" w:hAnsi="Times New Roman" w:eastAsia="宋体"/>
          <w:sz w:val="24"/>
        </w:rPr>
        <w:t>与机器学习发展提速”（原文</w:t>
      </w:r>
      <w:r>
        <w:rPr>
          <w:rFonts w:ascii="Times New Roman" w:hAnsi="Times New Roman" w:eastAsia="宋体"/>
          <w:sz w:val="24"/>
        </w:rPr>
        <w:t xml:space="preserve"> an increased pace of technology development, particularly in AI and </w:t>
      </w:r>
      <w:r>
        <w:rPr>
          <w:rFonts w:hint="eastAsia" w:ascii="Times New Roman" w:hAnsi="Times New Roman" w:eastAsia="宋体"/>
          <w:sz w:val="24"/>
        </w:rPr>
        <w:t>ML），公司将部分服务器与网络设备使用年限从</w:t>
      </w:r>
      <w:r>
        <w:rPr>
          <w:rFonts w:ascii="Times New Roman" w:hAnsi="Times New Roman" w:eastAsia="宋体"/>
          <w:sz w:val="24"/>
        </w:rPr>
        <w:t xml:space="preserve"> 6 </w:t>
      </w:r>
      <w:r>
        <w:rPr>
          <w:rFonts w:hint="eastAsia" w:ascii="Times New Roman" w:hAnsi="Times New Roman" w:eastAsia="宋体"/>
          <w:sz w:val="24"/>
        </w:rPr>
        <w:t>年缩回</w:t>
      </w:r>
      <w:r>
        <w:rPr>
          <w:rFonts w:ascii="Times New Roman" w:hAnsi="Times New Roman" w:eastAsia="宋体"/>
          <w:sz w:val="24"/>
        </w:rPr>
        <w:t xml:space="preserve"> 5 </w:t>
      </w:r>
      <w:r>
        <w:rPr>
          <w:rFonts w:hint="eastAsia" w:ascii="Times New Roman" w:hAnsi="Times New Roman" w:eastAsia="宋体"/>
          <w:sz w:val="24"/>
        </w:rPr>
        <w:t>年，自</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月起生效，预计使</w:t>
      </w:r>
      <w:r>
        <w:rPr>
          <w:rFonts w:ascii="Times New Roman" w:hAnsi="Times New Roman" w:eastAsia="宋体"/>
          <w:sz w:val="24"/>
        </w:rPr>
        <w:t xml:space="preserve"> 2025 </w:t>
      </w:r>
      <w:r>
        <w:rPr>
          <w:rFonts w:hint="eastAsia" w:ascii="Times New Roman" w:hAnsi="Times New Roman" w:eastAsia="宋体"/>
          <w:sz w:val="24"/>
        </w:rPr>
        <w:t>年经营利润减少约</w:t>
      </w:r>
      <w:r>
        <w:rPr>
          <w:rFonts w:ascii="Times New Roman" w:hAnsi="Times New Roman" w:eastAsia="宋体"/>
          <w:sz w:val="24"/>
        </w:rPr>
        <w:t xml:space="preserve"> </w:t>
      </w:r>
      <w:r>
        <w:rPr>
          <w:rFonts w:hint="eastAsia" w:ascii="Times New Roman" w:hAnsi="Times New Roman" w:eastAsia="宋体"/>
          <w:sz w:val="24"/>
        </w:rPr>
        <w:t>$700M；同期公司提前退役部分设备，在</w:t>
      </w:r>
      <w:r>
        <w:rPr>
          <w:rFonts w:ascii="Times New Roman" w:hAnsi="Times New Roman" w:eastAsia="宋体"/>
          <w:sz w:val="24"/>
        </w:rPr>
        <w:t xml:space="preserve"> 2024 Q4 </w:t>
      </w:r>
      <w:r>
        <w:rPr>
          <w:rFonts w:hint="eastAsia" w:ascii="Times New Roman" w:hAnsi="Times New Roman" w:eastAsia="宋体"/>
          <w:sz w:val="24"/>
        </w:rPr>
        <w:t>计提</w:t>
      </w:r>
      <w:r>
        <w:rPr>
          <w:rFonts w:ascii="Times New Roman" w:hAnsi="Times New Roman" w:eastAsia="宋体"/>
          <w:sz w:val="24"/>
        </w:rPr>
        <w:t xml:space="preserve"> $920M </w:t>
      </w:r>
      <w:r>
        <w:rPr>
          <w:rFonts w:hint="eastAsia" w:ascii="Times New Roman" w:hAnsi="Times New Roman" w:eastAsia="宋体"/>
          <w:sz w:val="24"/>
        </w:rPr>
        <w:t>加速折旧与相关费用，该笔一次性费用还将使</w:t>
      </w:r>
      <w:r>
        <w:rPr>
          <w:rFonts w:ascii="Times New Roman" w:hAnsi="Times New Roman" w:eastAsia="宋体"/>
          <w:sz w:val="24"/>
        </w:rPr>
        <w:t xml:space="preserve"> 2025 </w:t>
      </w:r>
      <w:r>
        <w:rPr>
          <w:rFonts w:hint="eastAsia" w:ascii="Times New Roman" w:hAnsi="Times New Roman" w:eastAsia="宋体"/>
          <w:sz w:val="24"/>
        </w:rPr>
        <w:t>年经营利润再减少约</w:t>
      </w:r>
      <w:r>
        <w:rPr>
          <w:rFonts w:ascii="Times New Roman" w:hAnsi="Times New Roman" w:eastAsia="宋体"/>
          <w:sz w:val="24"/>
        </w:rPr>
        <w:t xml:space="preserve"> </w:t>
      </w:r>
      <w:r>
        <w:rPr>
          <w:rFonts w:hint="eastAsia" w:ascii="Times New Roman" w:hAnsi="Times New Roman" w:eastAsia="宋体"/>
          <w:sz w:val="24"/>
        </w:rPr>
        <w:t>$600M（数据交叉核验见</w:t>
      </w:r>
      <w:r>
        <w:rPr>
          <w:rFonts w:ascii="Times New Roman" w:hAnsi="Times New Roman" w:eastAsia="宋体"/>
          <w:sz w:val="24"/>
        </w:rPr>
        <w:t xml:space="preserve"> Data Center Dynamics、Calcbench </w:t>
      </w:r>
      <w:r>
        <w:rPr>
          <w:rFonts w:hint="eastAsia" w:ascii="Times New Roman" w:hAnsi="Times New Roman" w:eastAsia="宋体"/>
          <w:sz w:val="24"/>
        </w:rPr>
        <w:t>等公开分析，及</w:t>
      </w:r>
      <w:r>
        <w:rPr>
          <w:rFonts w:ascii="Times New Roman" w:hAnsi="Times New Roman" w:eastAsia="宋体"/>
          <w:sz w:val="24"/>
        </w:rPr>
        <w:t xml:space="preserve"> Amazon 2024 10-K </w:t>
      </w:r>
      <w:r>
        <w:rPr>
          <w:rFonts w:hint="eastAsia" w:ascii="Times New Roman" w:hAnsi="Times New Roman" w:eastAsia="宋体"/>
          <w:sz w:val="24"/>
        </w:rPr>
        <w:t>相关披露）。</w:t>
      </w:r>
    </w:p>
    <w:p w14:paraId="3B73932C">
      <w:pPr>
        <w:pStyle w:val="3"/>
        <w:spacing w:before="40" w:after="40" w:line="360" w:lineRule="auto"/>
        <w:ind w:firstLine="480"/>
      </w:pPr>
      <w:r>
        <w:rPr>
          <w:rFonts w:hint="eastAsia" w:ascii="Times New Roman" w:hAnsi="Times New Roman" w:eastAsia="宋体"/>
          <w:sz w:val="24"/>
        </w:rPr>
        <w:t>这一案例的方法论价值有三层：</w:t>
      </w:r>
    </w:p>
    <w:p w14:paraId="0EEB63B1">
      <w:pPr>
        <w:numPr>
          <w:ilvl w:val="0"/>
          <w:numId w:val="5"/>
        </w:numPr>
        <w:spacing w:before="40" w:after="40" w:line="360" w:lineRule="auto"/>
        <w:ind w:firstLine="480"/>
      </w:pPr>
      <w:r>
        <w:rPr>
          <w:rFonts w:hint="eastAsia" w:ascii="Times New Roman" w:hAnsi="Times New Roman" w:eastAsia="宋体"/>
          <w:sz w:val="24"/>
        </w:rPr>
        <w:t>证伪“不得不延”：Amazon</w:t>
      </w:r>
      <w:r>
        <w:rPr>
          <w:rFonts w:ascii="Times New Roman" w:hAnsi="Times New Roman" w:eastAsia="宋体"/>
          <w:sz w:val="24"/>
        </w:rPr>
        <w:t xml:space="preserve"> </w:t>
      </w:r>
      <w:r>
        <w:rPr>
          <w:rFonts w:hint="eastAsia" w:ascii="Times New Roman" w:hAnsi="Times New Roman" w:eastAsia="宋体"/>
          <w:sz w:val="24"/>
        </w:rPr>
        <w:t>同为五大</w:t>
      </w:r>
      <w:r>
        <w:rPr>
          <w:rFonts w:ascii="Times New Roman" w:hAnsi="Times New Roman" w:eastAsia="宋体"/>
          <w:sz w:val="24"/>
        </w:rPr>
        <w:t xml:space="preserve"> hyperscaler </w:t>
      </w:r>
      <w:r>
        <w:rPr>
          <w:rFonts w:hint="eastAsia" w:ascii="Times New Roman" w:hAnsi="Times New Roman" w:eastAsia="宋体"/>
          <w:sz w:val="24"/>
        </w:rPr>
        <w:t>之一，却主动反向缩短年限，证明在</w:t>
      </w:r>
      <w:r>
        <w:rPr>
          <w:rFonts w:ascii="Times New Roman" w:hAnsi="Times New Roman" w:eastAsia="宋体"/>
          <w:sz w:val="24"/>
        </w:rPr>
        <w:t xml:space="preserve"> AI </w:t>
      </w:r>
      <w:r>
        <w:rPr>
          <w:rFonts w:hint="eastAsia" w:ascii="Times New Roman" w:hAnsi="Times New Roman" w:eastAsia="宋体"/>
          <w:sz w:val="24"/>
        </w:rPr>
        <w:t>硬件迭代加速下，6</w:t>
      </w:r>
      <w:r>
        <w:rPr>
          <w:rFonts w:ascii="Times New Roman" w:hAnsi="Times New Roman" w:eastAsia="宋体"/>
          <w:sz w:val="24"/>
        </w:rPr>
        <w:t xml:space="preserve"> </w:t>
      </w:r>
      <w:r>
        <w:rPr>
          <w:rFonts w:hint="eastAsia" w:ascii="Times New Roman" w:hAnsi="Times New Roman" w:eastAsia="宋体"/>
          <w:sz w:val="24"/>
        </w:rPr>
        <w:t>年年限并非技术必然，而是会计选择——本研究的“发现②</w:t>
      </w:r>
      <w:r>
        <w:rPr>
          <w:rFonts w:ascii="Times New Roman" w:hAnsi="Times New Roman" w:eastAsia="宋体"/>
          <w:sz w:val="24"/>
        </w:rPr>
        <w:t xml:space="preserve"> </w:t>
      </w:r>
      <w:r>
        <w:rPr>
          <w:rFonts w:hint="eastAsia" w:ascii="Times New Roman" w:hAnsi="Times New Roman" w:eastAsia="宋体"/>
          <w:sz w:val="24"/>
        </w:rPr>
        <w:t>估计变更共振”由此从“行业共振”升级为“延不延是裁量”：共振是现象，选择才是本质。</w:t>
      </w:r>
    </w:p>
    <w:p w14:paraId="58E81790">
      <w:pPr>
        <w:numPr>
          <w:ilvl w:val="0"/>
          <w:numId w:val="5"/>
        </w:numPr>
        <w:spacing w:before="40" w:after="40" w:line="360" w:lineRule="auto"/>
        <w:ind w:firstLine="480"/>
      </w:pPr>
      <w:r>
        <w:rPr>
          <w:rFonts w:hint="eastAsia" w:ascii="Times New Roman" w:hAnsi="Times New Roman" w:eastAsia="宋体"/>
          <w:sz w:val="24"/>
        </w:rPr>
        <w:t>凸显模型判别效度：若纳入</w:t>
      </w:r>
      <w:r>
        <w:rPr>
          <w:rFonts w:ascii="Times New Roman" w:hAnsi="Times New Roman" w:eastAsia="宋体"/>
          <w:sz w:val="24"/>
        </w:rPr>
        <w:t xml:space="preserve"> </w:t>
      </w:r>
      <w:r>
        <w:rPr>
          <w:rFonts w:hint="eastAsia" w:ascii="Times New Roman" w:hAnsi="Times New Roman" w:eastAsia="宋体"/>
          <w:sz w:val="24"/>
        </w:rPr>
        <w:t>5D-DRS，Amazon</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w:t>
      </w:r>
      <w:r>
        <w:rPr>
          <w:rFonts w:hint="eastAsia" w:ascii="Times New Roman" w:hAnsi="Times New Roman" w:eastAsia="宋体"/>
          <w:sz w:val="24"/>
        </w:rPr>
        <w:t>D1（年限错配方向为缩短，错配方向为收敛，会计寿命从</w:t>
      </w:r>
      <w:r>
        <w:rPr>
          <w:rFonts w:ascii="Times New Roman" w:hAnsi="Times New Roman" w:eastAsia="宋体"/>
          <w:sz w:val="24"/>
        </w:rPr>
        <w:t xml:space="preserve"> 6 </w:t>
      </w:r>
      <w:r>
        <w:rPr>
          <w:rFonts w:hint="eastAsia" w:ascii="Times New Roman" w:hAnsi="Times New Roman" w:eastAsia="宋体"/>
          <w:sz w:val="24"/>
        </w:rPr>
        <w:t>年向技术寿命靠拢，错配程度减轻但未完全消除；若缩回至</w:t>
      </w:r>
      <w:r>
        <w:rPr>
          <w:rFonts w:ascii="Times New Roman" w:hAnsi="Times New Roman" w:eastAsia="宋体"/>
          <w:sz w:val="24"/>
        </w:rPr>
        <w:t xml:space="preserve"> ≤2 </w:t>
      </w:r>
      <w:r>
        <w:rPr>
          <w:rFonts w:hint="eastAsia" w:ascii="Times New Roman" w:hAnsi="Times New Roman" w:eastAsia="宋体"/>
          <w:sz w:val="24"/>
        </w:rPr>
        <w:t>年方可判定为无错配）、D2（政策保守性满分但方向反向）、D3（加速折旧已真实兑现）将区别于</w:t>
      </w:r>
      <w:r>
        <w:rPr>
          <w:rFonts w:ascii="Times New Roman" w:hAnsi="Times New Roman" w:eastAsia="宋体"/>
          <w:sz w:val="24"/>
        </w:rPr>
        <w:t xml:space="preserve"> </w:t>
      </w:r>
      <w:r>
        <w:rPr>
          <w:rFonts w:hint="eastAsia" w:ascii="Times New Roman" w:hAnsi="Times New Roman" w:eastAsia="宋体"/>
          <w:sz w:val="24"/>
        </w:rPr>
        <w:t>Oracle/Meta，综合分应明显更低——恰能进一步证明模型能区分“延长”与“缩短”两类相反信号。</w:t>
      </w:r>
    </w:p>
    <w:p w14:paraId="79F6328B">
      <w:pPr>
        <w:numPr>
          <w:ilvl w:val="0"/>
          <w:numId w:val="5"/>
        </w:numPr>
        <w:spacing w:before="40" w:after="40" w:line="360" w:lineRule="auto"/>
        <w:ind w:firstLine="480"/>
      </w:pPr>
      <w:r>
        <w:rPr>
          <w:rFonts w:hint="eastAsia" w:ascii="Times New Roman" w:hAnsi="Times New Roman" w:eastAsia="宋体"/>
          <w:sz w:val="24"/>
        </w:rPr>
        <w:t>答辩反例储备：本研究</w:t>
      </w:r>
      <w:r>
        <w:rPr>
          <w:rFonts w:ascii="Times New Roman" w:hAnsi="Times New Roman" w:eastAsia="宋体"/>
          <w:sz w:val="24"/>
        </w:rPr>
        <w:t xml:space="preserve"> 30 </w:t>
      </w:r>
      <w:r>
        <w:rPr>
          <w:rFonts w:hint="eastAsia" w:ascii="Times New Roman" w:hAnsi="Times New Roman" w:eastAsia="宋体"/>
          <w:sz w:val="24"/>
        </w:rPr>
        <w:t>份面板未含</w:t>
      </w:r>
      <w:r>
        <w:rPr>
          <w:rFonts w:ascii="Times New Roman" w:hAnsi="Times New Roman" w:eastAsia="宋体"/>
          <w:sz w:val="24"/>
        </w:rPr>
        <w:t xml:space="preserve"> </w:t>
      </w:r>
      <w:r>
        <w:rPr>
          <w:rFonts w:hint="eastAsia" w:ascii="Times New Roman" w:hAnsi="Times New Roman" w:eastAsia="宋体"/>
          <w:sz w:val="24"/>
        </w:rPr>
        <w:t>Amazon（样本为</w:t>
      </w:r>
      <w:r>
        <w:rPr>
          <w:rFonts w:ascii="Times New Roman" w:hAnsi="Times New Roman" w:eastAsia="宋体"/>
          <w:sz w:val="24"/>
        </w:rPr>
        <w:t xml:space="preserve"> 10 </w:t>
      </w:r>
      <w:r>
        <w:rPr>
          <w:rFonts w:hint="eastAsia" w:ascii="Times New Roman" w:hAnsi="Times New Roman" w:eastAsia="宋体"/>
          <w:sz w:val="24"/>
        </w:rPr>
        <w:t>家美科技巨头），故此处作为定性反事实对照组呈现；若答辩被问“有无反例</w:t>
      </w:r>
      <w:r>
        <w:rPr>
          <w:rFonts w:ascii="Times New Roman" w:hAnsi="Times New Roman" w:eastAsia="宋体"/>
          <w:sz w:val="24"/>
        </w:rPr>
        <w:t xml:space="preserve"> / </w:t>
      </w:r>
      <w:r>
        <w:rPr>
          <w:rFonts w:hint="eastAsia" w:ascii="Times New Roman" w:hAnsi="Times New Roman" w:eastAsia="宋体"/>
          <w:sz w:val="24"/>
        </w:rPr>
        <w:t>模型是否只挑延长的公司”，即以</w:t>
      </w:r>
      <w:r>
        <w:rPr>
          <w:rFonts w:ascii="Times New Roman" w:hAnsi="Times New Roman" w:eastAsia="宋体"/>
          <w:sz w:val="24"/>
        </w:rPr>
        <w:t xml:space="preserve"> Amazon </w:t>
      </w:r>
      <w:r>
        <w:rPr>
          <w:rFonts w:hint="eastAsia" w:ascii="Times New Roman" w:hAnsi="Times New Roman" w:eastAsia="宋体"/>
          <w:sz w:val="24"/>
        </w:rPr>
        <w:t>应之，并说明其未被纳入面板是样本边界而非方法盲区。</w:t>
      </w:r>
    </w:p>
    <w:bookmarkEnd w:id="91"/>
    <w:bookmarkEnd w:id="95"/>
    <w:p w14:paraId="604F5B80">
      <w:pPr>
        <w:pStyle w:val="4"/>
        <w:spacing w:before="320" w:after="160" w:line="360" w:lineRule="auto"/>
      </w:pPr>
      <w:bookmarkStart w:id="96" w:name="_Toc10905"/>
      <w:bookmarkStart w:id="97" w:name="低分对照组3.0模型的判别效度"/>
      <w:r>
        <w:rPr>
          <w:rFonts w:ascii="Times New Roman" w:hAnsi="Times New Roman" w:eastAsia="黑体"/>
          <w:b/>
          <w:color w:val="003366"/>
          <w:sz w:val="28"/>
        </w:rPr>
        <w:t xml:space="preserve">4.5 </w:t>
      </w:r>
      <w:r>
        <w:rPr>
          <w:rFonts w:hint="eastAsia" w:ascii="Times New Roman" w:hAnsi="Times New Roman" w:eastAsia="黑体"/>
          <w:b/>
          <w:color w:val="003366"/>
          <w:sz w:val="28"/>
        </w:rPr>
        <w:t>低分对照组（&lt;3.0）：模型的判别效度</w:t>
      </w:r>
      <w:bookmarkEnd w:id="96"/>
    </w:p>
    <w:p w14:paraId="7A91F2F4">
      <w:pPr>
        <w:pStyle w:val="25"/>
        <w:spacing w:before="40" w:after="40" w:line="360" w:lineRule="auto"/>
        <w:ind w:firstLine="480"/>
      </w:pPr>
      <w:r>
        <w:rPr>
          <w:rFonts w:hint="eastAsia" w:ascii="Times New Roman" w:hAnsi="Times New Roman" w:eastAsia="宋体"/>
          <w:sz w:val="24"/>
        </w:rPr>
        <w:t>AMD（2022→2024：2.40→2.40→2.60）：固定资产折旧口径干净（无年限变更记录）；风险大头在</w:t>
      </w:r>
      <w:r>
        <w:rPr>
          <w:rFonts w:ascii="Times New Roman" w:hAnsi="Times New Roman" w:eastAsia="宋体"/>
          <w:sz w:val="24"/>
        </w:rPr>
        <w:t xml:space="preserve"> Xilinx </w:t>
      </w:r>
      <w:r>
        <w:rPr>
          <w:rFonts w:hint="eastAsia" w:ascii="Times New Roman" w:hAnsi="Times New Roman" w:eastAsia="宋体"/>
          <w:sz w:val="24"/>
        </w:rPr>
        <w:t>收购形成的无形资产——开发技术</w:t>
      </w:r>
      <w:r>
        <w:rPr>
          <w:rFonts w:ascii="Times New Roman" w:hAnsi="Times New Roman" w:eastAsia="宋体"/>
          <w:sz w:val="24"/>
        </w:rPr>
        <w:t xml:space="preserve"> $12.3B </w:t>
      </w:r>
      <w:r>
        <w:rPr>
          <w:rFonts w:hint="eastAsia" w:ascii="Times New Roman" w:hAnsi="Times New Roman" w:eastAsia="宋体"/>
          <w:sz w:val="24"/>
        </w:rPr>
        <w:t>按</w:t>
      </w:r>
      <w:r>
        <w:rPr>
          <w:rFonts w:ascii="Times New Roman" w:hAnsi="Times New Roman" w:eastAsia="宋体"/>
          <w:sz w:val="24"/>
        </w:rPr>
        <w:t xml:space="preserve"> 16 </w:t>
      </w:r>
      <w:r>
        <w:rPr>
          <w:rFonts w:hint="eastAsia" w:ascii="Times New Roman" w:hAnsi="Times New Roman" w:eastAsia="宋体"/>
          <w:sz w:val="24"/>
        </w:rPr>
        <w:t>年摊销，FY2023</w:t>
      </w:r>
      <w:r>
        <w:rPr>
          <w:rFonts w:ascii="Times New Roman" w:hAnsi="Times New Roman" w:eastAsia="宋体"/>
          <w:sz w:val="24"/>
        </w:rPr>
        <w:t xml:space="preserve"> </w:t>
      </w:r>
      <w:r>
        <w:rPr>
          <w:rFonts w:hint="eastAsia" w:ascii="Times New Roman" w:hAnsi="Times New Roman" w:eastAsia="宋体"/>
          <w:sz w:val="24"/>
        </w:rPr>
        <w:t>收购摊销</w:t>
      </w:r>
      <w:r>
        <w:rPr>
          <w:rFonts w:ascii="Times New Roman" w:hAnsi="Times New Roman" w:eastAsia="宋体"/>
          <w:sz w:val="24"/>
        </w:rPr>
        <w:t xml:space="preserve"> $2,811M </w:t>
      </w:r>
      <w:r>
        <w:rPr>
          <w:rFonts w:hint="eastAsia" w:ascii="Times New Roman" w:hAnsi="Times New Roman" w:eastAsia="宋体"/>
          <w:sz w:val="24"/>
        </w:rPr>
        <w:t>为净利润的</w:t>
      </w:r>
      <w:r>
        <w:rPr>
          <w:rFonts w:ascii="Times New Roman" w:hAnsi="Times New Roman" w:eastAsia="宋体"/>
          <w:sz w:val="24"/>
        </w:rPr>
        <w:t xml:space="preserve"> 3.3 </w:t>
      </w:r>
      <w:r>
        <w:rPr>
          <w:rFonts w:hint="eastAsia" w:ascii="Times New Roman" w:hAnsi="Times New Roman" w:eastAsia="宋体"/>
          <w:sz w:val="24"/>
        </w:rPr>
        <w:t>倍。这是“摊销版”的年限乐观，藏在无形资产而非固定资产里；2024</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D3 </w:t>
      </w:r>
      <w:r>
        <w:rPr>
          <w:rFonts w:hint="eastAsia" w:ascii="Times New Roman" w:hAnsi="Times New Roman" w:eastAsia="宋体"/>
          <w:sz w:val="24"/>
        </w:rPr>
        <w:t>升分（3→4）带动综合分小幅上行。</w:t>
      </w:r>
    </w:p>
    <w:p w14:paraId="2785EE81">
      <w:pPr>
        <w:pStyle w:val="3"/>
        <w:spacing w:before="40" w:after="40" w:line="360" w:lineRule="auto"/>
        <w:ind w:firstLine="480"/>
      </w:pPr>
      <w:r>
        <w:rPr>
          <w:rFonts w:hint="eastAsia" w:ascii="Times New Roman" w:hAnsi="Times New Roman" w:eastAsia="宋体"/>
          <w:sz w:val="24"/>
        </w:rPr>
        <w:t>CRM/Salesforce（FY2023→FY2025：2.10→2.10→2.10）：全样本最低分且三年零变化。CAPEX/收入仅</w:t>
      </w:r>
      <w:r>
        <w:rPr>
          <w:rFonts w:ascii="Times New Roman" w:hAnsi="Times New Roman" w:eastAsia="宋体"/>
          <w:sz w:val="24"/>
        </w:rPr>
        <w:t xml:space="preserve"> </w:t>
      </w:r>
      <w:r>
        <w:rPr>
          <w:rFonts w:hint="eastAsia" w:ascii="Times New Roman" w:hAnsi="Times New Roman" w:eastAsia="宋体"/>
          <w:sz w:val="24"/>
        </w:rPr>
        <w:t>2.11%（D4</w:t>
      </w:r>
      <w:r>
        <w:rPr>
          <w:rFonts w:ascii="Times New Roman" w:hAnsi="Times New Roman" w:eastAsia="宋体"/>
          <w:sz w:val="24"/>
        </w:rPr>
        <w:t xml:space="preserve"> </w:t>
      </w:r>
      <w:r>
        <w:rPr>
          <w:rFonts w:hint="eastAsia" w:ascii="Times New Roman" w:hAnsi="Times New Roman" w:eastAsia="宋体"/>
          <w:sz w:val="24"/>
        </w:rPr>
        <w:t>一分）；不直接运营</w:t>
      </w:r>
      <w:r>
        <w:rPr>
          <w:rFonts w:ascii="Times New Roman" w:hAnsi="Times New Roman" w:eastAsia="宋体"/>
          <w:sz w:val="24"/>
        </w:rPr>
        <w:t xml:space="preserve"> GPU </w:t>
      </w:r>
      <w:r>
        <w:rPr>
          <w:rFonts w:hint="eastAsia" w:ascii="Times New Roman" w:hAnsi="Times New Roman" w:eastAsia="宋体"/>
          <w:sz w:val="24"/>
        </w:rPr>
        <w:t>集群，AI</w:t>
      </w:r>
      <w:r>
        <w:rPr>
          <w:rFonts w:ascii="Times New Roman" w:hAnsi="Times New Roman" w:eastAsia="宋体"/>
          <w:sz w:val="24"/>
        </w:rPr>
        <w:t xml:space="preserve"> </w:t>
      </w:r>
      <w:r>
        <w:rPr>
          <w:rFonts w:hint="eastAsia" w:ascii="Times New Roman" w:hAnsi="Times New Roman" w:eastAsia="宋体"/>
          <w:sz w:val="24"/>
        </w:rPr>
        <w:t>能力（Einstein/Agentforce）构建于租用的第三方机房与公有云之上——算力迭代成本被转嫁给基础设施供应商；AI</w:t>
      </w:r>
      <w:r>
        <w:rPr>
          <w:rFonts w:ascii="Times New Roman" w:hAnsi="Times New Roman" w:eastAsia="宋体"/>
          <w:sz w:val="24"/>
        </w:rPr>
        <w:t xml:space="preserve"> </w:t>
      </w:r>
      <w:r>
        <w:rPr>
          <w:rFonts w:hint="eastAsia" w:ascii="Times New Roman" w:hAnsi="Times New Roman" w:eastAsia="宋体"/>
          <w:sz w:val="24"/>
        </w:rPr>
        <w:t>军备竞赛三年未跟进任何年限延长（D2</w:t>
      </w:r>
      <w:r>
        <w:rPr>
          <w:rFonts w:ascii="Times New Roman" w:hAnsi="Times New Roman" w:eastAsia="宋体"/>
          <w:sz w:val="24"/>
        </w:rPr>
        <w:t xml:space="preserve"> </w:t>
      </w:r>
      <w:r>
        <w:rPr>
          <w:rFonts w:hint="eastAsia" w:ascii="Times New Roman" w:hAnsi="Times New Roman" w:eastAsia="宋体"/>
          <w:sz w:val="24"/>
        </w:rPr>
        <w:t>中性</w:t>
      </w:r>
      <w:r>
        <w:rPr>
          <w:rFonts w:ascii="Times New Roman" w:hAnsi="Times New Roman" w:eastAsia="宋体"/>
          <w:sz w:val="24"/>
        </w:rPr>
        <w:t xml:space="preserve"> 3 </w:t>
      </w:r>
      <w:r>
        <w:rPr>
          <w:rFonts w:hint="eastAsia" w:ascii="Times New Roman" w:hAnsi="Times New Roman" w:eastAsia="宋体"/>
          <w:sz w:val="24"/>
        </w:rPr>
        <w:t>分）。</w:t>
      </w:r>
    </w:p>
    <w:p w14:paraId="67EEAE4F">
      <w:pPr>
        <w:pStyle w:val="3"/>
        <w:spacing w:before="40" w:after="40" w:line="360" w:lineRule="auto"/>
        <w:ind w:firstLine="480"/>
      </w:pPr>
      <w:r>
        <w:rPr>
          <w:rFonts w:hint="eastAsia" w:ascii="Times New Roman" w:hAnsi="Times New Roman" w:eastAsia="宋体"/>
          <w:sz w:val="24"/>
        </w:rPr>
        <w:t>对照组的意义在于：模型在低风险公司上同样给出低分，且能指出风险的替代藏身之处（AMD</w:t>
      </w:r>
      <w:r>
        <w:rPr>
          <w:rFonts w:ascii="Times New Roman" w:hAnsi="Times New Roman" w:eastAsia="宋体"/>
          <w:sz w:val="24"/>
        </w:rPr>
        <w:t xml:space="preserve"> </w:t>
      </w:r>
      <w:r>
        <w:rPr>
          <w:rFonts w:hint="eastAsia" w:ascii="Times New Roman" w:hAnsi="Times New Roman" w:eastAsia="宋体"/>
          <w:sz w:val="24"/>
        </w:rPr>
        <w:t>的摊销、CRM</w:t>
      </w:r>
      <w:r>
        <w:rPr>
          <w:rFonts w:ascii="Times New Roman" w:hAnsi="Times New Roman" w:eastAsia="宋体"/>
          <w:sz w:val="24"/>
        </w:rPr>
        <w:t xml:space="preserve"> </w:t>
      </w:r>
      <w:r>
        <w:rPr>
          <w:rFonts w:hint="eastAsia" w:ascii="Times New Roman" w:hAnsi="Times New Roman" w:eastAsia="宋体"/>
          <w:sz w:val="24"/>
        </w:rPr>
        <w:t>的风险转嫁），证明</w:t>
      </w:r>
      <w:r>
        <w:rPr>
          <w:rFonts w:ascii="Times New Roman" w:hAnsi="Times New Roman" w:eastAsia="宋体"/>
          <w:sz w:val="24"/>
        </w:rPr>
        <w:t xml:space="preserve"> 5D-DRS </w:t>
      </w:r>
      <w:r>
        <w:rPr>
          <w:rFonts w:hint="eastAsia" w:ascii="Times New Roman" w:hAnsi="Times New Roman" w:eastAsia="宋体"/>
          <w:sz w:val="24"/>
        </w:rPr>
        <w:t>具备全光谱判别力，而非“凡科技公司皆高分”的单向放大器。</w:t>
      </w:r>
    </w:p>
    <w:bookmarkEnd w:id="97"/>
    <w:p w14:paraId="163FC5FF">
      <w:pPr>
        <w:pStyle w:val="4"/>
        <w:spacing w:before="320" w:after="160" w:line="360" w:lineRule="auto"/>
      </w:pPr>
      <w:bookmarkStart w:id="98" w:name="_Toc21316"/>
      <w:bookmarkStart w:id="99" w:name="四个结构性发现"/>
      <w:r>
        <w:rPr>
          <w:rFonts w:ascii="Times New Roman" w:hAnsi="Times New Roman" w:eastAsia="黑体"/>
          <w:b/>
          <w:color w:val="003366"/>
          <w:sz w:val="28"/>
        </w:rPr>
        <w:t xml:space="preserve">4.6 </w:t>
      </w:r>
      <w:r>
        <w:rPr>
          <w:rFonts w:hint="eastAsia" w:ascii="Times New Roman" w:hAnsi="Times New Roman" w:eastAsia="黑体"/>
          <w:b/>
          <w:color w:val="003366"/>
          <w:sz w:val="28"/>
        </w:rPr>
        <w:t>四个结构性发现</w:t>
      </w:r>
      <w:bookmarkEnd w:id="98"/>
    </w:p>
    <w:p w14:paraId="4D0AFDC6">
      <w:pPr>
        <w:pStyle w:val="5"/>
        <w:spacing w:before="240" w:after="120" w:line="360" w:lineRule="auto"/>
      </w:pPr>
      <w:bookmarkStart w:id="100" w:name="发现①风险-假设激进度-资产敞口且由模型内生生成"/>
      <w:r>
        <w:rPr>
          <w:rFonts w:hint="eastAsia" w:ascii="Times New Roman" w:hAnsi="Times New Roman" w:eastAsia="黑体"/>
          <w:b/>
          <w:color w:val="003366"/>
          <w:sz w:val="24"/>
        </w:rPr>
        <w:t>发现①：风险</w:t>
      </w:r>
      <w:r>
        <w:rPr>
          <w:rFonts w:ascii="Times New Roman" w:hAnsi="Times New Roman" w:eastAsia="黑体"/>
          <w:b/>
          <w:color w:val="003366"/>
          <w:sz w:val="24"/>
        </w:rPr>
        <w:t xml:space="preserve"> = </w:t>
      </w:r>
      <w:r>
        <w:rPr>
          <w:rFonts w:hint="eastAsia" w:ascii="Times New Roman" w:hAnsi="Times New Roman" w:eastAsia="黑体"/>
          <w:b/>
          <w:color w:val="003366"/>
          <w:sz w:val="24"/>
        </w:rPr>
        <w:t>假设激进度</w:t>
      </w:r>
      <w:r>
        <w:rPr>
          <w:rFonts w:ascii="Times New Roman" w:hAnsi="Times New Roman" w:eastAsia="黑体"/>
          <w:b/>
          <w:color w:val="003366"/>
          <w:sz w:val="24"/>
        </w:rPr>
        <w:t xml:space="preserve"> × </w:t>
      </w:r>
      <w:r>
        <w:rPr>
          <w:rFonts w:hint="eastAsia" w:ascii="Times New Roman" w:hAnsi="Times New Roman" w:eastAsia="黑体"/>
          <w:b/>
          <w:color w:val="003366"/>
          <w:sz w:val="24"/>
        </w:rPr>
        <w:t>资产敞口，且由模型内生生成</w:t>
      </w:r>
    </w:p>
    <w:p w14:paraId="3C60DBCE">
      <w:pPr>
        <w:pStyle w:val="25"/>
        <w:spacing w:before="40" w:after="40" w:line="360" w:lineRule="auto"/>
        <w:ind w:firstLine="480"/>
      </w:pPr>
      <w:r>
        <w:rPr>
          <w:rFonts w:hint="eastAsia" w:ascii="Times New Roman" w:hAnsi="Times New Roman" w:eastAsia="宋体"/>
          <w:sz w:val="24"/>
        </w:rPr>
        <w:t>综合评分与资产密集度（CAPEX/收入）高度相关：制造型（INTC</w:t>
      </w:r>
      <w:r>
        <w:rPr>
          <w:rFonts w:ascii="Times New Roman" w:hAnsi="Times New Roman" w:eastAsia="宋体"/>
          <w:sz w:val="24"/>
        </w:rPr>
        <w:t xml:space="preserve"> 47.5%、MU </w:t>
      </w:r>
      <w:r>
        <w:rPr>
          <w:rFonts w:hint="eastAsia" w:ascii="Times New Roman" w:hAnsi="Times New Roman" w:eastAsia="宋体"/>
          <w:sz w:val="24"/>
        </w:rPr>
        <w:t>49.4%）与运营型（META</w:t>
      </w:r>
      <w:r>
        <w:rPr>
          <w:rFonts w:ascii="Times New Roman" w:hAnsi="Times New Roman" w:eastAsia="宋体"/>
          <w:sz w:val="24"/>
        </w:rPr>
        <w:t xml:space="preserve"> 20.2%、MSFT </w:t>
      </w:r>
      <w:r>
        <w:rPr>
          <w:rFonts w:hint="eastAsia" w:ascii="Times New Roman" w:hAnsi="Times New Roman" w:eastAsia="宋体"/>
          <w:sz w:val="24"/>
        </w:rPr>
        <w:t>18.1%）霸榜前五；轻资产的设计型（NVDA</w:t>
      </w:r>
      <w:r>
        <w:rPr>
          <w:rFonts w:ascii="Times New Roman" w:hAnsi="Times New Roman" w:eastAsia="宋体"/>
          <w:sz w:val="24"/>
        </w:rPr>
        <w:t xml:space="preserve"> 1.75%、AMD </w:t>
      </w:r>
      <w:r>
        <w:rPr>
          <w:rFonts w:hint="eastAsia" w:ascii="Times New Roman" w:hAnsi="Times New Roman" w:eastAsia="宋体"/>
          <w:sz w:val="24"/>
        </w:rPr>
        <w:t>2.41%）与软件型（CRM</w:t>
      </w:r>
      <w:r>
        <w:rPr>
          <w:rFonts w:ascii="Times New Roman" w:hAnsi="Times New Roman" w:eastAsia="宋体"/>
          <w:sz w:val="24"/>
        </w:rPr>
        <w:t xml:space="preserve"> </w:t>
      </w:r>
      <w:r>
        <w:rPr>
          <w:rFonts w:hint="eastAsia" w:ascii="Times New Roman" w:hAnsi="Times New Roman" w:eastAsia="宋体"/>
          <w:sz w:val="24"/>
        </w:rPr>
        <w:t>2.11%）居于榜尾。这一排序完全由五维加权内生生成，未经人工调整——折旧风险的高低本质上由“你押注了多少资本在会过时的资产上”决定。面板数据中这一结构同样成立：模型化路径的可行性验证（附录</w:t>
      </w:r>
      <w:r>
        <w:rPr>
          <w:rFonts w:ascii="Times New Roman" w:hAnsi="Times New Roman" w:eastAsia="宋体"/>
          <w:sz w:val="24"/>
        </w:rPr>
        <w:t xml:space="preserve"> </w:t>
      </w:r>
      <w:r>
        <w:rPr>
          <w:rFonts w:hint="eastAsia" w:ascii="Times New Roman" w:hAnsi="Times New Roman" w:eastAsia="宋体"/>
          <w:sz w:val="24"/>
        </w:rPr>
        <w:t>F）显示，capex_to_revenue</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55 </w:t>
      </w:r>
      <w:r>
        <w:rPr>
          <w:rFonts w:hint="eastAsia" w:ascii="Times New Roman" w:hAnsi="Times New Roman" w:eastAsia="宋体"/>
          <w:sz w:val="24"/>
        </w:rPr>
        <w:t>个全量特征中以绝对优势位列</w:t>
      </w:r>
      <w:r>
        <w:rPr>
          <w:rFonts w:ascii="Times New Roman" w:hAnsi="Times New Roman" w:eastAsia="宋体"/>
          <w:sz w:val="24"/>
        </w:rPr>
        <w:t xml:space="preserve"> SHAP </w:t>
      </w:r>
      <w:r>
        <w:rPr>
          <w:rFonts w:hint="eastAsia" w:ascii="Times New Roman" w:hAnsi="Times New Roman" w:eastAsia="宋体"/>
          <w:sz w:val="24"/>
        </w:rPr>
        <w:t>重要性第</w:t>
      </w:r>
      <w:r>
        <w:rPr>
          <w:rFonts w:ascii="Times New Roman" w:hAnsi="Times New Roman" w:eastAsia="宋体"/>
          <w:sz w:val="24"/>
        </w:rPr>
        <w:t xml:space="preserve"> </w:t>
      </w:r>
      <w:r>
        <w:rPr>
          <w:rFonts w:hint="eastAsia" w:ascii="Times New Roman" w:hAnsi="Times New Roman" w:eastAsia="宋体"/>
          <w:sz w:val="24"/>
        </w:rPr>
        <w:t>1，方向为正，与人工评分逻辑一致。</w:t>
      </w:r>
    </w:p>
    <w:p w14:paraId="00429C13">
      <w:pPr>
        <w:pStyle w:val="3"/>
        <w:spacing w:before="80" w:after="120" w:line="312" w:lineRule="auto"/>
        <w:ind w:firstLine="0"/>
        <w:jc w:val="center"/>
      </w:pPr>
      <w:r>
        <w:drawing>
          <wp:inline distT="0" distB="0" distL="114300" distR="114300">
            <wp:extent cx="5029200" cy="314515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3145536"/>
                    </a:xfrm>
                    <a:prstGeom prst="rect">
                      <a:avLst/>
                    </a:prstGeom>
                  </pic:spPr>
                </pic:pic>
              </a:graphicData>
            </a:graphic>
          </wp:inline>
        </w:drawing>
      </w:r>
    </w:p>
    <w:p w14:paraId="4273BD80">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4-4 CAPEX </w:t>
      </w:r>
      <w:r>
        <w:rPr>
          <w:rFonts w:hint="eastAsia" w:ascii="Times New Roman" w:hAnsi="Times New Roman" w:eastAsia="宋体"/>
          <w:i w:val="0"/>
          <w:sz w:val="21"/>
        </w:rPr>
        <w:t>强度与风险评分散点图</w:t>
      </w:r>
    </w:p>
    <w:bookmarkEnd w:id="100"/>
    <w:p w14:paraId="79CF8B11">
      <w:pPr>
        <w:pStyle w:val="5"/>
        <w:spacing w:before="240" w:after="120" w:line="360" w:lineRule="auto"/>
      </w:pPr>
      <w:bookmarkStart w:id="101" w:name="发现②估计变更共振与连续延长者最重磅的实证发现"/>
      <w:r>
        <w:rPr>
          <w:rFonts w:hint="eastAsia" w:ascii="Times New Roman" w:hAnsi="Times New Roman" w:eastAsia="黑体"/>
          <w:b/>
          <w:color w:val="003366"/>
          <w:sz w:val="24"/>
        </w:rPr>
        <w:t>发现②：估计变更共振与“连续延长者”——最重磅的实证发现</w:t>
      </w:r>
    </w:p>
    <w:p w14:paraId="143641F9">
      <w:pPr>
        <w:pStyle w:val="25"/>
        <w:spacing w:before="40" w:after="40" w:line="360" w:lineRule="auto"/>
        <w:ind w:firstLine="480"/>
      </w:pPr>
      <w:r>
        <w:rPr>
          <w:rFonts w:hint="eastAsia" w:ascii="Times New Roman" w:hAnsi="Times New Roman" w:eastAsia="宋体"/>
          <w:sz w:val="24"/>
        </w:rPr>
        <w:t>将面板内全部年限变更置于同一时间轴，浮现出一个此前未被系统揭示的模式：</w:t>
      </w:r>
    </w:p>
    <w:p w14:paraId="6031AD94">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4-3 </w:t>
      </w:r>
      <w:r>
        <w:rPr>
          <w:rFonts w:hint="eastAsia" w:ascii="Times New Roman" w:hAnsi="Times New Roman" w:eastAsia="宋体"/>
          <w:i w:val="0"/>
          <w:sz w:val="21"/>
        </w:rPr>
        <w:t>折旧年限延长变更时间轴（30</w:t>
      </w:r>
      <w:r>
        <w:rPr>
          <w:rFonts w:ascii="Times New Roman" w:hAnsi="Times New Roman" w:eastAsia="宋体"/>
          <w:i w:val="0"/>
          <w:sz w:val="21"/>
        </w:rPr>
        <w:t xml:space="preserve"> </w:t>
      </w:r>
      <w:r>
        <w:rPr>
          <w:rFonts w:hint="eastAsia" w:ascii="Times New Roman" w:hAnsi="Times New Roman" w:eastAsia="宋体"/>
          <w:i w:val="0"/>
          <w:sz w:val="21"/>
        </w:rPr>
        <w:t>样本版）</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795B0DA8">
        <w:tblPrEx>
          <w:tblCellMar>
            <w:top w:w="0" w:type="dxa"/>
            <w:left w:w="108" w:type="dxa"/>
            <w:bottom w:w="0" w:type="dxa"/>
            <w:right w:w="108" w:type="dxa"/>
          </w:tblCellMar>
        </w:tblPrEx>
        <w:trPr>
          <w:cantSplit/>
          <w:tblHeader/>
        </w:trPr>
        <w:tc>
          <w:p w14:paraId="21245A3F">
            <w:pPr>
              <w:pStyle w:val="26"/>
              <w:spacing w:before="20" w:after="20" w:line="276" w:lineRule="auto"/>
            </w:pPr>
            <w:r>
              <w:rPr>
                <w:rFonts w:hint="eastAsia" w:ascii="Times New Roman" w:hAnsi="Times New Roman" w:eastAsia="宋体"/>
                <w:b/>
                <w:bCs/>
                <w:sz w:val="20"/>
              </w:rPr>
              <w:t>生效时点</w:t>
            </w:r>
          </w:p>
        </w:tc>
        <w:tc>
          <w:p w14:paraId="309A6CD5">
            <w:pPr>
              <w:pStyle w:val="26"/>
              <w:spacing w:before="20" w:after="20" w:line="276" w:lineRule="auto"/>
            </w:pPr>
            <w:r>
              <w:rPr>
                <w:rFonts w:hint="eastAsia" w:ascii="Times New Roman" w:hAnsi="Times New Roman" w:eastAsia="宋体"/>
                <w:b/>
                <w:bCs/>
                <w:sz w:val="20"/>
              </w:rPr>
              <w:t>公司</w:t>
            </w:r>
          </w:p>
        </w:tc>
        <w:tc>
          <w:p w14:paraId="3B6383E8">
            <w:pPr>
              <w:pStyle w:val="26"/>
              <w:spacing w:before="20" w:after="20" w:line="276" w:lineRule="auto"/>
            </w:pPr>
            <w:r>
              <w:rPr>
                <w:rFonts w:hint="eastAsia" w:ascii="Times New Roman" w:hAnsi="Times New Roman" w:eastAsia="宋体"/>
                <w:b/>
                <w:bCs/>
                <w:sz w:val="20"/>
              </w:rPr>
              <w:t>变更内容</w:t>
            </w:r>
          </w:p>
        </w:tc>
        <w:tc>
          <w:p w14:paraId="77F11656">
            <w:pPr>
              <w:pStyle w:val="26"/>
              <w:spacing w:before="20" w:after="20" w:line="276" w:lineRule="auto"/>
            </w:pPr>
            <w:r>
              <w:rPr>
                <w:rFonts w:hint="eastAsia" w:ascii="Times New Roman" w:hAnsi="Times New Roman" w:eastAsia="宋体"/>
                <w:b/>
                <w:bCs/>
                <w:sz w:val="20"/>
              </w:rPr>
              <w:t>量化影响</w:t>
            </w:r>
          </w:p>
        </w:tc>
      </w:tr>
      <w:tr w14:paraId="2B8FA325">
        <w:tblPrEx>
          <w:tblCellMar>
            <w:top w:w="0" w:type="dxa"/>
            <w:left w:w="108" w:type="dxa"/>
            <w:bottom w:w="0" w:type="dxa"/>
            <w:right w:w="108" w:type="dxa"/>
          </w:tblCellMar>
        </w:tblPrEx>
        <w:trPr>
          <w:cantSplit/>
        </w:trPr>
        <w:tc>
          <w:p w14:paraId="2519021D">
            <w:pPr>
              <w:pStyle w:val="26"/>
              <w:spacing w:before="20" w:after="20" w:line="276" w:lineRule="auto"/>
            </w:pPr>
            <w:r>
              <w:rPr>
                <w:rFonts w:ascii="Times New Roman" w:hAnsi="Times New Roman" w:eastAsia="宋体"/>
                <w:sz w:val="20"/>
              </w:rPr>
              <w:t xml:space="preserve">2022 </w:t>
            </w:r>
            <w:r>
              <w:rPr>
                <w:rFonts w:hint="eastAsia" w:ascii="Times New Roman" w:hAnsi="Times New Roman" w:eastAsia="宋体"/>
                <w:sz w:val="20"/>
              </w:rPr>
              <w:t>年</w:t>
            </w:r>
            <w:r>
              <w:rPr>
                <w:rFonts w:ascii="Times New Roman" w:hAnsi="Times New Roman" w:eastAsia="宋体"/>
                <w:sz w:val="20"/>
              </w:rPr>
              <w:t xml:space="preserve"> 4 </w:t>
            </w:r>
            <w:r>
              <w:rPr>
                <w:rFonts w:hint="eastAsia" w:ascii="Times New Roman" w:hAnsi="Times New Roman" w:eastAsia="宋体"/>
                <w:sz w:val="20"/>
              </w:rPr>
              <w:t>月（Q2）/</w:t>
            </w:r>
            <w:r>
              <w:rPr>
                <w:rFonts w:ascii="Times New Roman" w:hAnsi="Times New Roman" w:eastAsia="宋体"/>
                <w:sz w:val="20"/>
              </w:rPr>
              <w:t xml:space="preserve"> 2022 </w:t>
            </w:r>
            <w:r>
              <w:rPr>
                <w:rFonts w:hint="eastAsia" w:ascii="Times New Roman" w:hAnsi="Times New Roman" w:eastAsia="宋体"/>
                <w:sz w:val="20"/>
              </w:rPr>
              <w:t>年</w:t>
            </w:r>
            <w:r>
              <w:rPr>
                <w:rFonts w:ascii="Times New Roman" w:hAnsi="Times New Roman" w:eastAsia="宋体"/>
                <w:sz w:val="20"/>
              </w:rPr>
              <w:t xml:space="preserve"> 10 </w:t>
            </w:r>
            <w:r>
              <w:rPr>
                <w:rFonts w:hint="eastAsia" w:ascii="Times New Roman" w:hAnsi="Times New Roman" w:eastAsia="宋体"/>
                <w:sz w:val="20"/>
              </w:rPr>
              <w:t>月（Q4）</w:t>
            </w:r>
          </w:p>
        </w:tc>
        <w:tc>
          <w:p w14:paraId="218ACB48">
            <w:pPr>
              <w:pStyle w:val="26"/>
              <w:spacing w:before="20" w:after="20" w:line="276" w:lineRule="auto"/>
            </w:pPr>
            <w:r>
              <w:rPr>
                <w:rFonts w:ascii="Times New Roman" w:hAnsi="Times New Roman" w:eastAsia="宋体"/>
                <w:sz w:val="20"/>
              </w:rPr>
              <w:t>META</w:t>
            </w:r>
          </w:p>
        </w:tc>
        <w:tc>
          <w:p w14:paraId="1103D965">
            <w:pPr>
              <w:pStyle w:val="26"/>
              <w:spacing w:before="20" w:after="20" w:line="276" w:lineRule="auto"/>
            </w:pPr>
            <w:r>
              <w:rPr>
                <w:rFonts w:hint="eastAsia" w:ascii="Times New Roman" w:hAnsi="Times New Roman" w:eastAsia="宋体"/>
                <w:sz w:val="20"/>
              </w:rPr>
              <w:t>服务器/网络资产</w:t>
            </w:r>
            <w:r>
              <w:rPr>
                <w:rFonts w:ascii="Times New Roman" w:hAnsi="Times New Roman" w:eastAsia="宋体"/>
                <w:sz w:val="20"/>
              </w:rPr>
              <w:t xml:space="preserve"> 4→4.5 </w:t>
            </w:r>
            <w:r>
              <w:rPr>
                <w:rFonts w:hint="eastAsia" w:ascii="Times New Roman" w:hAnsi="Times New Roman" w:eastAsia="宋体"/>
                <w:sz w:val="20"/>
              </w:rPr>
              <w:t>年</w:t>
            </w:r>
            <w:r>
              <w:rPr>
                <w:rFonts w:ascii="Times New Roman" w:hAnsi="Times New Roman" w:eastAsia="宋体"/>
                <w:sz w:val="20"/>
              </w:rPr>
              <w:t xml:space="preserve"> → 5 </w:t>
            </w:r>
            <w:r>
              <w:rPr>
                <w:rFonts w:hint="eastAsia" w:ascii="Times New Roman" w:hAnsi="Times New Roman" w:eastAsia="宋体"/>
                <w:sz w:val="20"/>
              </w:rPr>
              <w:t>年</w:t>
            </w:r>
          </w:p>
        </w:tc>
        <w:tc>
          <w:p w14:paraId="40A92061">
            <w:pPr>
              <w:pStyle w:val="26"/>
              <w:spacing w:before="20" w:after="20" w:line="276" w:lineRule="auto"/>
            </w:pPr>
            <w:r>
              <w:rPr>
                <w:rFonts w:ascii="Times New Roman" w:hAnsi="Times New Roman" w:eastAsia="宋体"/>
                <w:sz w:val="20"/>
              </w:rPr>
              <w:t xml:space="preserve">FY2022 </w:t>
            </w:r>
            <w:r>
              <w:rPr>
                <w:rFonts w:hint="eastAsia" w:ascii="Times New Roman" w:hAnsi="Times New Roman" w:eastAsia="宋体"/>
                <w:sz w:val="20"/>
              </w:rPr>
              <w:t>折旧</w:t>
            </w:r>
            <w:r>
              <w:rPr>
                <w:rFonts w:ascii="Times New Roman" w:hAnsi="Times New Roman" w:eastAsia="宋体"/>
                <w:sz w:val="20"/>
              </w:rPr>
              <w:t xml:space="preserve"> </w:t>
            </w:r>
            <w:r>
              <w:rPr>
                <w:rFonts w:hint="eastAsia" w:ascii="Times New Roman" w:hAnsi="Times New Roman" w:eastAsia="宋体"/>
                <w:sz w:val="20"/>
              </w:rPr>
              <w:t>-$860M、净利</w:t>
            </w:r>
            <w:r>
              <w:rPr>
                <w:rFonts w:ascii="Times New Roman" w:hAnsi="Times New Roman" w:eastAsia="宋体"/>
                <w:sz w:val="20"/>
              </w:rPr>
              <w:t xml:space="preserve"> </w:t>
            </w:r>
            <w:r>
              <w:rPr>
                <w:rFonts w:hint="eastAsia" w:ascii="Times New Roman" w:hAnsi="Times New Roman" w:eastAsia="宋体"/>
                <w:sz w:val="20"/>
              </w:rPr>
              <w:t>+$693M（+$0.26/股）</w:t>
            </w:r>
          </w:p>
        </w:tc>
      </w:tr>
      <w:tr w14:paraId="6D0F7BE8">
        <w:tblPrEx>
          <w:tblCellMar>
            <w:top w:w="0" w:type="dxa"/>
            <w:left w:w="108" w:type="dxa"/>
            <w:bottom w:w="0" w:type="dxa"/>
            <w:right w:w="108" w:type="dxa"/>
          </w:tblCellMar>
        </w:tblPrEx>
        <w:trPr>
          <w:cantSplit/>
        </w:trPr>
        <w:tc>
          <w:p w14:paraId="61D60837">
            <w:pPr>
              <w:pStyle w:val="26"/>
              <w:spacing w:before="20" w:after="20" w:line="276" w:lineRule="auto"/>
            </w:pPr>
            <w:r>
              <w:rPr>
                <w:rFonts w:ascii="Times New Roman" w:hAnsi="Times New Roman" w:eastAsia="宋体"/>
                <w:sz w:val="20"/>
              </w:rPr>
              <w:t xml:space="preserve">2022 </w:t>
            </w:r>
            <w:r>
              <w:rPr>
                <w:rFonts w:hint="eastAsia" w:ascii="Times New Roman" w:hAnsi="Times New Roman" w:eastAsia="宋体"/>
                <w:sz w:val="20"/>
              </w:rPr>
              <w:t>年</w:t>
            </w:r>
            <w:r>
              <w:rPr>
                <w:rFonts w:ascii="Times New Roman" w:hAnsi="Times New Roman" w:eastAsia="宋体"/>
                <w:sz w:val="20"/>
              </w:rPr>
              <w:t xml:space="preserve"> 6 </w:t>
            </w:r>
            <w:r>
              <w:rPr>
                <w:rFonts w:hint="eastAsia" w:ascii="Times New Roman" w:hAnsi="Times New Roman" w:eastAsia="宋体"/>
                <w:sz w:val="20"/>
              </w:rPr>
              <w:t>月（FY2023</w:t>
            </w:r>
            <w:r>
              <w:rPr>
                <w:rFonts w:ascii="Times New Roman" w:hAnsi="Times New Roman" w:eastAsia="宋体"/>
                <w:sz w:val="20"/>
              </w:rPr>
              <w:t xml:space="preserve"> </w:t>
            </w:r>
            <w:r>
              <w:rPr>
                <w:rFonts w:hint="eastAsia" w:ascii="Times New Roman" w:hAnsi="Times New Roman" w:eastAsia="宋体"/>
                <w:sz w:val="20"/>
              </w:rPr>
              <w:t>Q1）</w:t>
            </w:r>
          </w:p>
        </w:tc>
        <w:tc>
          <w:p w14:paraId="0F627E5B">
            <w:pPr>
              <w:pStyle w:val="26"/>
              <w:spacing w:before="20" w:after="20" w:line="276" w:lineRule="auto"/>
            </w:pPr>
            <w:r>
              <w:rPr>
                <w:rFonts w:ascii="Times New Roman" w:hAnsi="Times New Roman" w:eastAsia="宋体"/>
                <w:sz w:val="20"/>
              </w:rPr>
              <w:t>ORCL</w:t>
            </w:r>
          </w:p>
        </w:tc>
        <w:tc>
          <w:p w14:paraId="7C8BDAFA">
            <w:pPr>
              <w:pStyle w:val="26"/>
              <w:spacing w:before="20" w:after="20" w:line="276" w:lineRule="auto"/>
            </w:pPr>
            <w:r>
              <w:rPr>
                <w:rFonts w:hint="eastAsia" w:ascii="Times New Roman" w:hAnsi="Times New Roman" w:eastAsia="宋体"/>
                <w:sz w:val="20"/>
              </w:rPr>
              <w:t>服务器</w:t>
            </w:r>
            <w:r>
              <w:rPr>
                <w:rFonts w:ascii="Times New Roman" w:hAnsi="Times New Roman" w:eastAsia="宋体"/>
                <w:sz w:val="20"/>
              </w:rPr>
              <w:t xml:space="preserve"> 4→5 </w:t>
            </w:r>
            <w:r>
              <w:rPr>
                <w:rFonts w:hint="eastAsia" w:ascii="Times New Roman" w:hAnsi="Times New Roman" w:eastAsia="宋体"/>
                <w:sz w:val="20"/>
              </w:rPr>
              <w:t>年</w:t>
            </w:r>
          </w:p>
        </w:tc>
        <w:tc>
          <w:p w14:paraId="360881BE">
            <w:pPr>
              <w:pStyle w:val="26"/>
              <w:spacing w:before="20" w:after="20" w:line="276" w:lineRule="auto"/>
            </w:pPr>
            <w:r>
              <w:rPr>
                <w:rFonts w:ascii="Times New Roman" w:hAnsi="Times New Roman" w:eastAsia="宋体"/>
                <w:sz w:val="20"/>
              </w:rPr>
              <w:t xml:space="preserve">FY2023 </w:t>
            </w:r>
            <w:r>
              <w:rPr>
                <w:rFonts w:hint="eastAsia" w:ascii="Times New Roman" w:hAnsi="Times New Roman" w:eastAsia="宋体"/>
                <w:sz w:val="20"/>
              </w:rPr>
              <w:t>经营费用</w:t>
            </w:r>
            <w:r>
              <w:rPr>
                <w:rFonts w:ascii="Times New Roman" w:hAnsi="Times New Roman" w:eastAsia="宋体"/>
                <w:sz w:val="20"/>
              </w:rPr>
              <w:t xml:space="preserve"> -$434M</w:t>
            </w:r>
          </w:p>
        </w:tc>
      </w:tr>
      <w:tr w14:paraId="77176D44">
        <w:tblPrEx>
          <w:tblCellMar>
            <w:top w:w="0" w:type="dxa"/>
            <w:left w:w="108" w:type="dxa"/>
            <w:bottom w:w="0" w:type="dxa"/>
            <w:right w:w="108" w:type="dxa"/>
          </w:tblCellMar>
        </w:tblPrEx>
        <w:trPr>
          <w:cantSplit/>
        </w:trPr>
        <w:tc>
          <w:p w14:paraId="05B778EC">
            <w:pPr>
              <w:pStyle w:val="26"/>
              <w:spacing w:before="20" w:after="20" w:line="276" w:lineRule="auto"/>
            </w:pPr>
            <w:r>
              <w:rPr>
                <w:rFonts w:ascii="Times New Roman" w:hAnsi="Times New Roman" w:eastAsia="宋体"/>
                <w:sz w:val="20"/>
              </w:rPr>
              <w:t xml:space="preserve">2022 </w:t>
            </w:r>
            <w:r>
              <w:rPr>
                <w:rFonts w:hint="eastAsia" w:ascii="Times New Roman" w:hAnsi="Times New Roman" w:eastAsia="宋体"/>
                <w:sz w:val="20"/>
              </w:rPr>
              <w:t>年</w:t>
            </w:r>
            <w:r>
              <w:rPr>
                <w:rFonts w:ascii="Times New Roman" w:hAnsi="Times New Roman" w:eastAsia="宋体"/>
                <w:sz w:val="20"/>
              </w:rPr>
              <w:t xml:space="preserve"> 7 </w:t>
            </w:r>
            <w:r>
              <w:rPr>
                <w:rFonts w:hint="eastAsia" w:ascii="Times New Roman" w:hAnsi="Times New Roman" w:eastAsia="宋体"/>
                <w:sz w:val="20"/>
              </w:rPr>
              <w:t>月（FY2023）</w:t>
            </w:r>
          </w:p>
        </w:tc>
        <w:tc>
          <w:p w14:paraId="35FAD138">
            <w:pPr>
              <w:pStyle w:val="26"/>
              <w:spacing w:before="20" w:after="20" w:line="276" w:lineRule="auto"/>
            </w:pPr>
            <w:r>
              <w:rPr>
                <w:rFonts w:ascii="Times New Roman" w:hAnsi="Times New Roman" w:eastAsia="宋体"/>
                <w:sz w:val="20"/>
              </w:rPr>
              <w:t>MSFT</w:t>
            </w:r>
          </w:p>
        </w:tc>
        <w:tc>
          <w:p w14:paraId="71835B53">
            <w:pPr>
              <w:pStyle w:val="26"/>
              <w:spacing w:before="20" w:after="20" w:line="276" w:lineRule="auto"/>
            </w:pPr>
            <w:r>
              <w:rPr>
                <w:rFonts w:hint="eastAsia" w:ascii="Times New Roman" w:hAnsi="Times New Roman" w:eastAsia="宋体"/>
                <w:sz w:val="20"/>
              </w:rPr>
              <w:t>服务器/网络设备</w:t>
            </w:r>
            <w:r>
              <w:rPr>
                <w:rFonts w:ascii="Times New Roman" w:hAnsi="Times New Roman" w:eastAsia="宋体"/>
                <w:sz w:val="20"/>
              </w:rPr>
              <w:t xml:space="preserve"> 4→6 </w:t>
            </w:r>
            <w:r>
              <w:rPr>
                <w:rFonts w:hint="eastAsia" w:ascii="Times New Roman" w:hAnsi="Times New Roman" w:eastAsia="宋体"/>
                <w:sz w:val="20"/>
              </w:rPr>
              <w:t>年</w:t>
            </w:r>
          </w:p>
        </w:tc>
        <w:tc>
          <w:p w14:paraId="23679740">
            <w:pPr>
              <w:pStyle w:val="26"/>
              <w:spacing w:before="20" w:after="20" w:line="276" w:lineRule="auto"/>
            </w:pPr>
            <w:r>
              <w:rPr>
                <w:rFonts w:hint="eastAsia" w:ascii="Times New Roman" w:hAnsi="Times New Roman" w:eastAsia="宋体"/>
                <w:sz w:val="20"/>
              </w:rPr>
              <w:t>毛利率改善约</w:t>
            </w:r>
            <w:r>
              <w:rPr>
                <w:rFonts w:ascii="Times New Roman" w:hAnsi="Times New Roman" w:eastAsia="宋体"/>
                <w:sz w:val="20"/>
              </w:rPr>
              <w:t xml:space="preserve"> </w:t>
            </w:r>
            <w:r>
              <w:rPr>
                <w:rFonts w:hint="eastAsia" w:ascii="Times New Roman" w:hAnsi="Times New Roman" w:eastAsia="宋体"/>
                <w:sz w:val="20"/>
              </w:rPr>
              <w:t>2pp（跨年持续）</w:t>
            </w:r>
          </w:p>
        </w:tc>
      </w:tr>
      <w:tr w14:paraId="36535EDA">
        <w:tblPrEx>
          <w:tblCellMar>
            <w:top w:w="0" w:type="dxa"/>
            <w:left w:w="108" w:type="dxa"/>
            <w:bottom w:w="0" w:type="dxa"/>
            <w:right w:w="108" w:type="dxa"/>
          </w:tblCellMar>
        </w:tblPrEx>
        <w:trPr>
          <w:cantSplit/>
        </w:trPr>
        <w:tc>
          <w:p w14:paraId="65941488">
            <w:pPr>
              <w:pStyle w:val="26"/>
              <w:spacing w:before="20" w:after="20" w:line="276" w:lineRule="auto"/>
            </w:pPr>
            <w:r>
              <w:rPr>
                <w:rFonts w:ascii="Times New Roman" w:hAnsi="Times New Roman" w:eastAsia="宋体"/>
                <w:sz w:val="20"/>
              </w:rPr>
              <w:t xml:space="preserve">2023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274A6A26">
            <w:pPr>
              <w:pStyle w:val="26"/>
              <w:spacing w:before="20" w:after="20" w:line="276" w:lineRule="auto"/>
            </w:pPr>
            <w:r>
              <w:rPr>
                <w:rFonts w:ascii="Times New Roman" w:hAnsi="Times New Roman" w:eastAsia="宋体"/>
                <w:sz w:val="20"/>
              </w:rPr>
              <w:t>GOOGL</w:t>
            </w:r>
          </w:p>
        </w:tc>
        <w:tc>
          <w:p w14:paraId="5C93BB39">
            <w:pPr>
              <w:pStyle w:val="26"/>
              <w:spacing w:before="20" w:after="20" w:line="276" w:lineRule="auto"/>
            </w:pPr>
            <w:r>
              <w:rPr>
                <w:rFonts w:hint="eastAsia" w:ascii="Times New Roman" w:hAnsi="Times New Roman" w:eastAsia="宋体"/>
                <w:sz w:val="20"/>
              </w:rPr>
              <w:t>服务器</w:t>
            </w:r>
            <w:r>
              <w:rPr>
                <w:rFonts w:ascii="Times New Roman" w:hAnsi="Times New Roman" w:eastAsia="宋体"/>
                <w:sz w:val="20"/>
              </w:rPr>
              <w:t xml:space="preserve"> 4→6 </w:t>
            </w:r>
            <w:r>
              <w:rPr>
                <w:rFonts w:hint="eastAsia" w:ascii="Times New Roman" w:hAnsi="Times New Roman" w:eastAsia="宋体"/>
                <w:sz w:val="20"/>
              </w:rPr>
              <w:t>年、网络设备</w:t>
            </w:r>
            <w:r>
              <w:rPr>
                <w:rFonts w:ascii="Times New Roman" w:hAnsi="Times New Roman" w:eastAsia="宋体"/>
                <w:sz w:val="20"/>
              </w:rPr>
              <w:t xml:space="preserve"> 5→6 </w:t>
            </w:r>
            <w:r>
              <w:rPr>
                <w:rFonts w:hint="eastAsia" w:ascii="Times New Roman" w:hAnsi="Times New Roman" w:eastAsia="宋体"/>
                <w:sz w:val="20"/>
              </w:rPr>
              <w:t>年</w:t>
            </w:r>
          </w:p>
        </w:tc>
        <w:tc>
          <w:p w14:paraId="28766723">
            <w:pPr>
              <w:pStyle w:val="26"/>
              <w:spacing w:before="20" w:after="20" w:line="276" w:lineRule="auto"/>
            </w:pPr>
            <w:r>
              <w:rPr>
                <w:rFonts w:hint="eastAsia" w:ascii="Times New Roman" w:hAnsi="Times New Roman" w:eastAsia="宋体"/>
                <w:sz w:val="20"/>
              </w:rPr>
              <w:t>当年折旧</w:t>
            </w:r>
            <w:r>
              <w:rPr>
                <w:rFonts w:ascii="Times New Roman" w:hAnsi="Times New Roman" w:eastAsia="宋体"/>
                <w:sz w:val="20"/>
              </w:rPr>
              <w:t xml:space="preserve"> </w:t>
            </w:r>
            <w:r>
              <w:rPr>
                <w:rFonts w:hint="eastAsia" w:ascii="Times New Roman" w:hAnsi="Times New Roman" w:eastAsia="宋体"/>
                <w:sz w:val="20"/>
              </w:rPr>
              <w:t>-$3.9B、净利</w:t>
            </w:r>
            <w:r>
              <w:rPr>
                <w:rFonts w:ascii="Times New Roman" w:hAnsi="Times New Roman" w:eastAsia="宋体"/>
                <w:sz w:val="20"/>
              </w:rPr>
              <w:t xml:space="preserve"> +$3.0B</w:t>
            </w:r>
          </w:p>
        </w:tc>
      </w:tr>
      <w:tr w14:paraId="620A6C73">
        <w:tblPrEx>
          <w:tblCellMar>
            <w:top w:w="0" w:type="dxa"/>
            <w:left w:w="108" w:type="dxa"/>
            <w:bottom w:w="0" w:type="dxa"/>
            <w:right w:w="108" w:type="dxa"/>
          </w:tblCellMar>
        </w:tblPrEx>
        <w:trPr>
          <w:cantSplit/>
        </w:trPr>
        <w:tc>
          <w:p w14:paraId="4768425A">
            <w:pPr>
              <w:pStyle w:val="26"/>
              <w:spacing w:before="20" w:after="20" w:line="276" w:lineRule="auto"/>
            </w:pPr>
            <w:r>
              <w:rPr>
                <w:rFonts w:ascii="Times New Roman" w:hAnsi="Times New Roman" w:eastAsia="宋体"/>
                <w:sz w:val="20"/>
              </w:rPr>
              <w:t xml:space="preserve">2023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591B256B">
            <w:pPr>
              <w:pStyle w:val="26"/>
              <w:spacing w:before="20" w:after="20" w:line="276" w:lineRule="auto"/>
            </w:pPr>
            <w:r>
              <w:rPr>
                <w:rFonts w:ascii="Times New Roman" w:hAnsi="Times New Roman" w:eastAsia="宋体"/>
                <w:sz w:val="20"/>
              </w:rPr>
              <w:t>INTC</w:t>
            </w:r>
          </w:p>
        </w:tc>
        <w:tc>
          <w:p w14:paraId="35108E35">
            <w:pPr>
              <w:pStyle w:val="26"/>
              <w:spacing w:before="20" w:after="20" w:line="276" w:lineRule="auto"/>
            </w:pPr>
            <w:r>
              <w:rPr>
                <w:rFonts w:hint="eastAsia" w:ascii="Times New Roman" w:hAnsi="Times New Roman" w:eastAsia="宋体"/>
                <w:sz w:val="20"/>
              </w:rPr>
              <w:t>晶圆厂机器设备</w:t>
            </w:r>
            <w:r>
              <w:rPr>
                <w:rFonts w:ascii="Times New Roman" w:hAnsi="Times New Roman" w:eastAsia="宋体"/>
                <w:sz w:val="20"/>
              </w:rPr>
              <w:t xml:space="preserve"> 5→8 </w:t>
            </w:r>
            <w:r>
              <w:rPr>
                <w:rFonts w:hint="eastAsia" w:ascii="Times New Roman" w:hAnsi="Times New Roman" w:eastAsia="宋体"/>
                <w:sz w:val="20"/>
              </w:rPr>
              <w:t>年</w:t>
            </w:r>
          </w:p>
        </w:tc>
        <w:tc>
          <w:p w14:paraId="5424F471">
            <w:pPr>
              <w:pStyle w:val="26"/>
              <w:spacing w:before="20" w:after="20" w:line="276" w:lineRule="auto"/>
            </w:pPr>
            <w:r>
              <w:rPr>
                <w:rFonts w:hint="eastAsia" w:ascii="Times New Roman" w:hAnsi="Times New Roman" w:eastAsia="宋体"/>
                <w:sz w:val="20"/>
              </w:rPr>
              <w:t>当年折旧</w:t>
            </w:r>
            <w:r>
              <w:rPr>
                <w:rFonts w:ascii="Times New Roman" w:hAnsi="Times New Roman" w:eastAsia="宋体"/>
                <w:sz w:val="20"/>
              </w:rPr>
              <w:t xml:space="preserve"> -$4.2B</w:t>
            </w:r>
          </w:p>
        </w:tc>
      </w:tr>
      <w:tr w14:paraId="2E281770">
        <w:tblPrEx>
          <w:tblCellMar>
            <w:top w:w="0" w:type="dxa"/>
            <w:left w:w="108" w:type="dxa"/>
            <w:bottom w:w="0" w:type="dxa"/>
            <w:right w:w="108" w:type="dxa"/>
          </w:tblCellMar>
        </w:tblPrEx>
        <w:trPr>
          <w:cantSplit/>
        </w:trPr>
        <w:tc>
          <w:p w14:paraId="6FA37907">
            <w:pPr>
              <w:pStyle w:val="26"/>
              <w:spacing w:before="20" w:after="20" w:line="276" w:lineRule="auto"/>
            </w:pPr>
            <w:r>
              <w:rPr>
                <w:rFonts w:ascii="Times New Roman" w:hAnsi="Times New Roman" w:eastAsia="宋体"/>
                <w:sz w:val="20"/>
              </w:rPr>
              <w:t xml:space="preserve">2023 </w:t>
            </w:r>
            <w:r>
              <w:rPr>
                <w:rFonts w:hint="eastAsia" w:ascii="Times New Roman" w:hAnsi="Times New Roman" w:eastAsia="宋体"/>
                <w:sz w:val="20"/>
              </w:rPr>
              <w:t>年</w:t>
            </w:r>
            <w:r>
              <w:rPr>
                <w:rFonts w:ascii="Times New Roman" w:hAnsi="Times New Roman" w:eastAsia="宋体"/>
                <w:sz w:val="20"/>
              </w:rPr>
              <w:t xml:space="preserve"> 2 </w:t>
            </w:r>
            <w:r>
              <w:rPr>
                <w:rFonts w:hint="eastAsia" w:ascii="Times New Roman" w:hAnsi="Times New Roman" w:eastAsia="宋体"/>
                <w:sz w:val="20"/>
              </w:rPr>
              <w:t>月（FY2024）</w:t>
            </w:r>
          </w:p>
        </w:tc>
        <w:tc>
          <w:p w14:paraId="04836502">
            <w:pPr>
              <w:pStyle w:val="26"/>
              <w:spacing w:before="20" w:after="20" w:line="276" w:lineRule="auto"/>
            </w:pPr>
            <w:r>
              <w:rPr>
                <w:rFonts w:ascii="Times New Roman" w:hAnsi="Times New Roman" w:eastAsia="宋体"/>
                <w:sz w:val="20"/>
              </w:rPr>
              <w:t>NVDA</w:t>
            </w:r>
          </w:p>
        </w:tc>
        <w:tc>
          <w:p w14:paraId="24749A6A">
            <w:pPr>
              <w:pStyle w:val="26"/>
              <w:spacing w:before="20" w:after="20" w:line="276" w:lineRule="auto"/>
            </w:pPr>
            <w:r>
              <w:rPr>
                <w:rFonts w:hint="eastAsia" w:ascii="Times New Roman" w:hAnsi="Times New Roman" w:eastAsia="宋体"/>
                <w:sz w:val="20"/>
              </w:rPr>
              <w:t>服务器等</w:t>
            </w:r>
            <w:r>
              <w:rPr>
                <w:rFonts w:ascii="Times New Roman" w:hAnsi="Times New Roman" w:eastAsia="宋体"/>
                <w:sz w:val="20"/>
              </w:rPr>
              <w:t xml:space="preserve"> 3→4-5 </w:t>
            </w:r>
            <w:r>
              <w:rPr>
                <w:rFonts w:hint="eastAsia" w:ascii="Times New Roman" w:hAnsi="Times New Roman" w:eastAsia="宋体"/>
                <w:sz w:val="20"/>
              </w:rPr>
              <w:t>年、测试设备</w:t>
            </w:r>
            <w:r>
              <w:rPr>
                <w:rFonts w:ascii="Times New Roman" w:hAnsi="Times New Roman" w:eastAsia="宋体"/>
                <w:sz w:val="20"/>
              </w:rPr>
              <w:t xml:space="preserve"> 5→7 </w:t>
            </w:r>
            <w:r>
              <w:rPr>
                <w:rFonts w:hint="eastAsia" w:ascii="Times New Roman" w:hAnsi="Times New Roman" w:eastAsia="宋体"/>
                <w:sz w:val="20"/>
              </w:rPr>
              <w:t>年</w:t>
            </w:r>
          </w:p>
        </w:tc>
        <w:tc>
          <w:p w14:paraId="60D535DD">
            <w:pPr>
              <w:pStyle w:val="26"/>
              <w:spacing w:before="20" w:after="20" w:line="276" w:lineRule="auto"/>
            </w:pPr>
            <w:r>
              <w:rPr>
                <w:rFonts w:ascii="Times New Roman" w:hAnsi="Times New Roman" w:eastAsia="宋体"/>
                <w:sz w:val="20"/>
              </w:rPr>
              <w:t xml:space="preserve">FY2024 </w:t>
            </w:r>
            <w:r>
              <w:rPr>
                <w:rFonts w:hint="eastAsia" w:ascii="Times New Roman" w:hAnsi="Times New Roman" w:eastAsia="宋体"/>
                <w:sz w:val="20"/>
              </w:rPr>
              <w:t>营业利润</w:t>
            </w:r>
            <w:r>
              <w:rPr>
                <w:rFonts w:ascii="Times New Roman" w:hAnsi="Times New Roman" w:eastAsia="宋体"/>
                <w:sz w:val="20"/>
              </w:rPr>
              <w:t xml:space="preserve"> </w:t>
            </w:r>
            <w:r>
              <w:rPr>
                <w:rFonts w:hint="eastAsia" w:ascii="Times New Roman" w:hAnsi="Times New Roman" w:eastAsia="宋体"/>
                <w:sz w:val="20"/>
              </w:rPr>
              <w:t>+$133M（10-K</w:t>
            </w:r>
            <w:r>
              <w:rPr>
                <w:rFonts w:ascii="Times New Roman" w:hAnsi="Times New Roman" w:eastAsia="宋体"/>
                <w:sz w:val="20"/>
              </w:rPr>
              <w:t xml:space="preserve"> </w:t>
            </w:r>
            <w:r>
              <w:rPr>
                <w:rFonts w:hint="eastAsia" w:ascii="Times New Roman" w:hAnsi="Times New Roman" w:eastAsia="宋体"/>
                <w:sz w:val="20"/>
              </w:rPr>
              <w:t>披露），按</w:t>
            </w:r>
            <w:r>
              <w:rPr>
                <w:rFonts w:ascii="Times New Roman" w:hAnsi="Times New Roman" w:eastAsia="宋体"/>
                <w:sz w:val="20"/>
              </w:rPr>
              <w:t xml:space="preserve"> ~15% </w:t>
            </w:r>
            <w:r>
              <w:rPr>
                <w:rFonts w:hint="eastAsia" w:ascii="Times New Roman" w:hAnsi="Times New Roman" w:eastAsia="宋体"/>
                <w:sz w:val="20"/>
              </w:rPr>
              <w:t>税率推算净利约</w:t>
            </w:r>
            <w:r>
              <w:rPr>
                <w:rFonts w:ascii="Times New Roman" w:hAnsi="Times New Roman" w:eastAsia="宋体"/>
                <w:sz w:val="20"/>
              </w:rPr>
              <w:t xml:space="preserve"> +$113M</w:t>
            </w:r>
          </w:p>
        </w:tc>
      </w:tr>
      <w:tr w14:paraId="46D97C86">
        <w:tblPrEx>
          <w:tblCellMar>
            <w:top w:w="0" w:type="dxa"/>
            <w:left w:w="108" w:type="dxa"/>
            <w:bottom w:w="0" w:type="dxa"/>
            <w:right w:w="108" w:type="dxa"/>
          </w:tblCellMar>
        </w:tblPrEx>
        <w:trPr>
          <w:cantSplit/>
        </w:trPr>
        <w:tc>
          <w:p w14:paraId="7E500475">
            <w:pPr>
              <w:pStyle w:val="26"/>
              <w:spacing w:before="20" w:after="20" w:line="276" w:lineRule="auto"/>
            </w:pPr>
            <w:r>
              <w:rPr>
                <w:rFonts w:ascii="Times New Roman" w:hAnsi="Times New Roman" w:eastAsia="宋体"/>
                <w:sz w:val="20"/>
              </w:rPr>
              <w:t xml:space="preserve">2024 </w:t>
            </w:r>
            <w:r>
              <w:rPr>
                <w:rFonts w:hint="eastAsia" w:ascii="Times New Roman" w:hAnsi="Times New Roman" w:eastAsia="宋体"/>
                <w:sz w:val="20"/>
              </w:rPr>
              <w:t>年</w:t>
            </w:r>
            <w:r>
              <w:rPr>
                <w:rFonts w:ascii="Times New Roman" w:hAnsi="Times New Roman" w:eastAsia="宋体"/>
                <w:sz w:val="20"/>
              </w:rPr>
              <w:t xml:space="preserve"> 6 </w:t>
            </w:r>
            <w:r>
              <w:rPr>
                <w:rFonts w:hint="eastAsia" w:ascii="Times New Roman" w:hAnsi="Times New Roman" w:eastAsia="宋体"/>
                <w:sz w:val="20"/>
              </w:rPr>
              <w:t>月（FY2025</w:t>
            </w:r>
            <w:r>
              <w:rPr>
                <w:rFonts w:ascii="Times New Roman" w:hAnsi="Times New Roman" w:eastAsia="宋体"/>
                <w:sz w:val="20"/>
              </w:rPr>
              <w:t xml:space="preserve"> </w:t>
            </w:r>
            <w:r>
              <w:rPr>
                <w:rFonts w:hint="eastAsia" w:ascii="Times New Roman" w:hAnsi="Times New Roman" w:eastAsia="宋体"/>
                <w:sz w:val="20"/>
              </w:rPr>
              <w:t>Q1）</w:t>
            </w:r>
          </w:p>
        </w:tc>
        <w:tc>
          <w:p w14:paraId="2C89E049">
            <w:pPr>
              <w:pStyle w:val="26"/>
              <w:spacing w:before="20" w:after="20" w:line="276" w:lineRule="auto"/>
            </w:pPr>
            <w:r>
              <w:rPr>
                <w:rFonts w:ascii="Times New Roman" w:hAnsi="Times New Roman" w:eastAsia="宋体"/>
                <w:sz w:val="20"/>
              </w:rPr>
              <w:t>ORCL</w:t>
            </w:r>
          </w:p>
        </w:tc>
        <w:tc>
          <w:p w14:paraId="1FFF55BC">
            <w:pPr>
              <w:pStyle w:val="26"/>
              <w:spacing w:before="20" w:after="20" w:line="276" w:lineRule="auto"/>
            </w:pPr>
            <w:r>
              <w:rPr>
                <w:rFonts w:hint="eastAsia" w:ascii="Times New Roman" w:hAnsi="Times New Roman" w:eastAsia="宋体"/>
                <w:sz w:val="20"/>
              </w:rPr>
              <w:t>服务器及网络设备</w:t>
            </w:r>
            <w:r>
              <w:rPr>
                <w:rFonts w:ascii="Times New Roman" w:hAnsi="Times New Roman" w:eastAsia="宋体"/>
                <w:sz w:val="20"/>
              </w:rPr>
              <w:t xml:space="preserve"> 5→6 </w:t>
            </w:r>
            <w:r>
              <w:rPr>
                <w:rFonts w:hint="eastAsia" w:ascii="Times New Roman" w:hAnsi="Times New Roman" w:eastAsia="宋体"/>
                <w:sz w:val="20"/>
              </w:rPr>
              <w:t>年</w:t>
            </w:r>
          </w:p>
        </w:tc>
        <w:tc>
          <w:p w14:paraId="62ACB677">
            <w:pPr>
              <w:pStyle w:val="26"/>
              <w:spacing w:before="20" w:after="20" w:line="276" w:lineRule="auto"/>
            </w:pPr>
            <w:r>
              <w:rPr>
                <w:rFonts w:ascii="Times New Roman" w:hAnsi="Times New Roman" w:eastAsia="宋体"/>
                <w:sz w:val="20"/>
              </w:rPr>
              <w:t xml:space="preserve">FY2025 </w:t>
            </w:r>
            <w:r>
              <w:rPr>
                <w:rFonts w:hint="eastAsia" w:ascii="Times New Roman" w:hAnsi="Times New Roman" w:eastAsia="宋体"/>
                <w:sz w:val="20"/>
              </w:rPr>
              <w:t>经营费用</w:t>
            </w:r>
            <w:r>
              <w:rPr>
                <w:rFonts w:ascii="Times New Roman" w:hAnsi="Times New Roman" w:eastAsia="宋体"/>
                <w:sz w:val="20"/>
              </w:rPr>
              <w:t xml:space="preserve"> </w:t>
            </w:r>
            <w:r>
              <w:rPr>
                <w:rFonts w:hint="eastAsia" w:ascii="Times New Roman" w:hAnsi="Times New Roman" w:eastAsia="宋体"/>
                <w:sz w:val="20"/>
              </w:rPr>
              <w:t>-$733M、净利</w:t>
            </w:r>
            <w:r>
              <w:rPr>
                <w:rFonts w:ascii="Times New Roman" w:hAnsi="Times New Roman" w:eastAsia="宋体"/>
                <w:sz w:val="20"/>
              </w:rPr>
              <w:t xml:space="preserve"> +$573M、EPS +$0.21</w:t>
            </w:r>
          </w:p>
        </w:tc>
      </w:tr>
      <w:tr w14:paraId="0C6DC4C7">
        <w:tblPrEx>
          <w:tblCellMar>
            <w:top w:w="0" w:type="dxa"/>
            <w:left w:w="108" w:type="dxa"/>
            <w:bottom w:w="0" w:type="dxa"/>
            <w:right w:w="108" w:type="dxa"/>
          </w:tblCellMar>
        </w:tblPrEx>
        <w:trPr>
          <w:cantSplit/>
        </w:trPr>
        <w:tc>
          <w:p w14:paraId="4113AAA5">
            <w:pPr>
              <w:pStyle w:val="26"/>
              <w:spacing w:before="20" w:after="20" w:line="276" w:lineRule="auto"/>
            </w:pPr>
            <w:r>
              <w:rPr>
                <w:rFonts w:ascii="Times New Roman" w:hAnsi="Times New Roman" w:eastAsia="宋体"/>
                <w:sz w:val="20"/>
              </w:rPr>
              <w:t xml:space="preserve">2025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429159A6">
            <w:pPr>
              <w:pStyle w:val="26"/>
              <w:spacing w:before="20" w:after="20" w:line="276" w:lineRule="auto"/>
            </w:pPr>
            <w:r>
              <w:rPr>
                <w:rFonts w:ascii="Times New Roman" w:hAnsi="Times New Roman" w:eastAsia="宋体"/>
                <w:sz w:val="20"/>
              </w:rPr>
              <w:t>META</w:t>
            </w:r>
          </w:p>
        </w:tc>
        <w:tc>
          <w:p w14:paraId="549FA2F7">
            <w:pPr>
              <w:pStyle w:val="26"/>
              <w:spacing w:before="20" w:after="20" w:line="276" w:lineRule="auto"/>
            </w:pPr>
            <w:r>
              <w:rPr>
                <w:rFonts w:hint="eastAsia" w:ascii="Times New Roman" w:hAnsi="Times New Roman" w:eastAsia="宋体"/>
                <w:sz w:val="20"/>
              </w:rPr>
              <w:t>服务器/网络资产</w:t>
            </w:r>
            <w:r>
              <w:rPr>
                <w:rFonts w:ascii="Times New Roman" w:hAnsi="Times New Roman" w:eastAsia="宋体"/>
                <w:sz w:val="20"/>
              </w:rPr>
              <w:t xml:space="preserve"> →5.5 </w:t>
            </w:r>
            <w:r>
              <w:rPr>
                <w:rFonts w:hint="eastAsia" w:ascii="Times New Roman" w:hAnsi="Times New Roman" w:eastAsia="宋体"/>
                <w:sz w:val="20"/>
              </w:rPr>
              <w:t>年</w:t>
            </w:r>
          </w:p>
        </w:tc>
        <w:tc>
          <w:p w14:paraId="7A4EE8C3">
            <w:pPr>
              <w:pStyle w:val="26"/>
              <w:spacing w:before="20" w:after="20" w:line="276" w:lineRule="auto"/>
            </w:pPr>
            <w:r>
              <w:rPr>
                <w:rFonts w:hint="eastAsia" w:ascii="Times New Roman" w:hAnsi="Times New Roman" w:eastAsia="宋体"/>
                <w:sz w:val="20"/>
              </w:rPr>
              <w:t>预计</w:t>
            </w:r>
            <w:r>
              <w:rPr>
                <w:rFonts w:ascii="Times New Roman" w:hAnsi="Times New Roman" w:eastAsia="宋体"/>
                <w:sz w:val="20"/>
              </w:rPr>
              <w:t xml:space="preserve"> 2025 </w:t>
            </w:r>
            <w:r>
              <w:rPr>
                <w:rFonts w:hint="eastAsia" w:ascii="Times New Roman" w:hAnsi="Times New Roman" w:eastAsia="宋体"/>
                <w:sz w:val="20"/>
              </w:rPr>
              <w:t>全年折旧</w:t>
            </w:r>
            <w:r>
              <w:rPr>
                <w:rFonts w:ascii="Times New Roman" w:hAnsi="Times New Roman" w:eastAsia="宋体"/>
                <w:sz w:val="20"/>
              </w:rPr>
              <w:t xml:space="preserve"> </w:t>
            </w:r>
            <w:r>
              <w:rPr>
                <w:rFonts w:hint="eastAsia" w:ascii="Times New Roman" w:hAnsi="Times New Roman" w:eastAsia="宋体"/>
                <w:sz w:val="20"/>
              </w:rPr>
              <w:t>-$2.9B（披露于</w:t>
            </w:r>
            <w:r>
              <w:rPr>
                <w:rFonts w:ascii="Times New Roman" w:hAnsi="Times New Roman" w:eastAsia="宋体"/>
                <w:sz w:val="20"/>
              </w:rPr>
              <w:t xml:space="preserve"> 2024 </w:t>
            </w:r>
            <w:r>
              <w:rPr>
                <w:rFonts w:hint="eastAsia" w:ascii="Times New Roman" w:hAnsi="Times New Roman" w:eastAsia="宋体"/>
                <w:sz w:val="20"/>
              </w:rPr>
              <w:t>10-K）</w:t>
            </w:r>
          </w:p>
        </w:tc>
      </w:tr>
      <w:tr w14:paraId="3E8A7E50">
        <w:tblPrEx>
          <w:tblCellMar>
            <w:top w:w="0" w:type="dxa"/>
            <w:left w:w="108" w:type="dxa"/>
            <w:bottom w:w="0" w:type="dxa"/>
            <w:right w:w="108" w:type="dxa"/>
          </w:tblCellMar>
        </w:tblPrEx>
        <w:trPr>
          <w:cantSplit/>
        </w:trPr>
        <w:tc>
          <w:p w14:paraId="3D1BDE0A">
            <w:pPr>
              <w:pStyle w:val="26"/>
              <w:spacing w:before="20" w:after="20" w:line="276" w:lineRule="auto"/>
            </w:pPr>
            <w:r>
              <w:rPr>
                <w:rFonts w:ascii="Times New Roman" w:hAnsi="Times New Roman" w:eastAsia="宋体"/>
                <w:sz w:val="20"/>
              </w:rPr>
              <w:t xml:space="preserve">2025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6E6E497C">
            <w:pPr>
              <w:pStyle w:val="26"/>
              <w:spacing w:before="20" w:after="20" w:line="276" w:lineRule="auto"/>
            </w:pPr>
            <w:r>
              <w:rPr>
                <w:rFonts w:ascii="Times New Roman" w:hAnsi="Times New Roman" w:eastAsia="宋体"/>
                <w:sz w:val="20"/>
              </w:rPr>
              <w:t>AMZN</w:t>
            </w:r>
          </w:p>
        </w:tc>
        <w:tc>
          <w:p w14:paraId="48AD3CF7">
            <w:pPr>
              <w:pStyle w:val="26"/>
              <w:spacing w:before="20" w:after="20" w:line="276" w:lineRule="auto"/>
            </w:pPr>
            <w:r>
              <w:rPr>
                <w:rFonts w:hint="eastAsia" w:ascii="Times New Roman" w:hAnsi="Times New Roman" w:eastAsia="宋体"/>
                <w:sz w:val="20"/>
              </w:rPr>
              <w:t>服务器/网络设备</w:t>
            </w:r>
            <w:r>
              <w:rPr>
                <w:rFonts w:ascii="Times New Roman" w:hAnsi="Times New Roman" w:eastAsia="宋体"/>
                <w:sz w:val="20"/>
              </w:rPr>
              <w:t xml:space="preserve"> 6→5 </w:t>
            </w:r>
            <w:r>
              <w:rPr>
                <w:rFonts w:hint="eastAsia" w:ascii="Times New Roman" w:hAnsi="Times New Roman" w:eastAsia="宋体"/>
                <w:sz w:val="20"/>
              </w:rPr>
              <w:t>年（反向缩回）</w:t>
            </w:r>
          </w:p>
        </w:tc>
        <w:tc>
          <w:p w14:paraId="7C7EBBEC">
            <w:pPr>
              <w:pStyle w:val="26"/>
              <w:spacing w:before="20" w:after="20" w:line="276" w:lineRule="auto"/>
            </w:pPr>
            <w:r>
              <w:rPr>
                <w:rFonts w:hint="eastAsia" w:ascii="Times New Roman" w:hAnsi="Times New Roman" w:eastAsia="宋体"/>
                <w:sz w:val="20"/>
              </w:rPr>
              <w:t>预计</w:t>
            </w:r>
            <w:r>
              <w:rPr>
                <w:rFonts w:ascii="Times New Roman" w:hAnsi="Times New Roman" w:eastAsia="宋体"/>
                <w:sz w:val="20"/>
              </w:rPr>
              <w:t xml:space="preserve"> 2025 </w:t>
            </w:r>
            <w:r>
              <w:rPr>
                <w:rFonts w:hint="eastAsia" w:ascii="Times New Roman" w:hAnsi="Times New Roman" w:eastAsia="宋体"/>
                <w:sz w:val="20"/>
              </w:rPr>
              <w:t>经营利润</w:t>
            </w:r>
            <w:r>
              <w:rPr>
                <w:rFonts w:ascii="Times New Roman" w:hAnsi="Times New Roman" w:eastAsia="宋体"/>
                <w:sz w:val="20"/>
              </w:rPr>
              <w:t xml:space="preserve"> </w:t>
            </w:r>
            <w:r>
              <w:rPr>
                <w:rFonts w:hint="eastAsia" w:ascii="Times New Roman" w:hAnsi="Times New Roman" w:eastAsia="宋体"/>
                <w:sz w:val="20"/>
              </w:rPr>
              <w:t>-$700M；另</w:t>
            </w:r>
            <w:r>
              <w:rPr>
                <w:rFonts w:ascii="Times New Roman" w:hAnsi="Times New Roman" w:eastAsia="宋体"/>
                <w:sz w:val="20"/>
              </w:rPr>
              <w:t xml:space="preserve"> 2024 Q4 </w:t>
            </w:r>
            <w:r>
              <w:rPr>
                <w:rFonts w:hint="eastAsia" w:ascii="Times New Roman" w:hAnsi="Times New Roman" w:eastAsia="宋体"/>
                <w:sz w:val="20"/>
              </w:rPr>
              <w:t>计提</w:t>
            </w:r>
            <w:r>
              <w:rPr>
                <w:rFonts w:ascii="Times New Roman" w:hAnsi="Times New Roman" w:eastAsia="宋体"/>
                <w:sz w:val="20"/>
              </w:rPr>
              <w:t xml:space="preserve"> $920M </w:t>
            </w:r>
            <w:r>
              <w:rPr>
                <w:rFonts w:hint="eastAsia" w:ascii="Times New Roman" w:hAnsi="Times New Roman" w:eastAsia="宋体"/>
                <w:sz w:val="20"/>
              </w:rPr>
              <w:t>加速折旧</w:t>
            </w:r>
          </w:p>
        </w:tc>
      </w:tr>
    </w:tbl>
    <w:p w14:paraId="0A369BCF">
      <w:pPr>
        <w:pStyle w:val="3"/>
        <w:spacing w:before="40" w:after="120" w:line="312" w:lineRule="auto"/>
        <w:ind w:firstLine="0"/>
        <w:jc w:val="left"/>
      </w:pPr>
      <w:r>
        <w:rPr>
          <w:rFonts w:hint="eastAsia" w:ascii="Times New Roman" w:hAnsi="Times New Roman" w:eastAsia="宋体"/>
          <w:i w:val="0"/>
          <w:sz w:val="21"/>
        </w:rPr>
        <w:t>注：Amazon</w:t>
      </w:r>
      <w:r>
        <w:rPr>
          <w:rFonts w:ascii="Times New Roman" w:hAnsi="Times New Roman" w:eastAsia="宋体"/>
          <w:i w:val="0"/>
          <w:sz w:val="21"/>
        </w:rPr>
        <w:t xml:space="preserve"> </w:t>
      </w:r>
      <w:r>
        <w:rPr>
          <w:rFonts w:hint="eastAsia" w:ascii="Times New Roman" w:hAnsi="Times New Roman" w:eastAsia="宋体"/>
          <w:i w:val="0"/>
          <w:sz w:val="21"/>
        </w:rPr>
        <w:t>为反向事件（年限缩回</w:t>
      </w:r>
      <w:r>
        <w:rPr>
          <w:rFonts w:ascii="Times New Roman" w:hAnsi="Times New Roman" w:eastAsia="宋体"/>
          <w:i w:val="0"/>
          <w:sz w:val="21"/>
        </w:rPr>
        <w:t xml:space="preserve"> 6→5 </w:t>
      </w:r>
      <w:r>
        <w:rPr>
          <w:rFonts w:hint="eastAsia" w:ascii="Times New Roman" w:hAnsi="Times New Roman" w:eastAsia="宋体"/>
          <w:i w:val="0"/>
          <w:sz w:val="21"/>
        </w:rPr>
        <w:t>年），以灰色底纹/斜体单独标注，不与延长事件混排。</w:t>
      </w:r>
    </w:p>
    <w:p w14:paraId="49A8B231">
      <w:pPr>
        <w:pStyle w:val="3"/>
        <w:spacing w:before="40" w:after="40" w:line="360" w:lineRule="auto"/>
        <w:ind w:firstLine="480"/>
      </w:pPr>
      <w:r>
        <w:rPr>
          <w:rFonts w:hint="eastAsia" w:ascii="Times New Roman" w:hAnsi="Times New Roman" w:eastAsia="宋体"/>
          <w:sz w:val="24"/>
        </w:rPr>
        <w:t>六家公司在约</w:t>
      </w:r>
      <w:r>
        <w:rPr>
          <w:rFonts w:ascii="Times New Roman" w:hAnsi="Times New Roman" w:eastAsia="宋体"/>
          <w:sz w:val="24"/>
        </w:rPr>
        <w:t xml:space="preserve"> 12 </w:t>
      </w:r>
      <w:r>
        <w:rPr>
          <w:rFonts w:hint="eastAsia" w:ascii="Times New Roman" w:hAnsi="Times New Roman" w:eastAsia="宋体"/>
          <w:sz w:val="24"/>
        </w:rPr>
        <w:t>个月内同步延长折旧年限（META、ORCL、MSFT、GOOGL、INTC、NVDA；其中</w:t>
      </w:r>
      <w:r>
        <w:rPr>
          <w:rFonts w:ascii="Times New Roman" w:hAnsi="Times New Roman" w:eastAsia="宋体"/>
          <w:sz w:val="24"/>
        </w:rPr>
        <w:t xml:space="preserve"> META </w:t>
      </w:r>
      <w:r>
        <w:rPr>
          <w:rFonts w:hint="eastAsia" w:ascii="Times New Roman" w:hAnsi="Times New Roman" w:eastAsia="宋体"/>
          <w:sz w:val="24"/>
        </w:rPr>
        <w:t>为两次分步延长计为一家主体）（2022H2-2023H1</w:t>
      </w:r>
      <w:r>
        <w:rPr>
          <w:rFonts w:ascii="Times New Roman" w:hAnsi="Times New Roman" w:eastAsia="宋体"/>
          <w:sz w:val="24"/>
        </w:rPr>
        <w:t xml:space="preserve"> </w:t>
      </w:r>
      <w:r>
        <w:rPr>
          <w:rFonts w:hint="eastAsia" w:ascii="Times New Roman" w:hAnsi="Times New Roman" w:eastAsia="宋体"/>
          <w:sz w:val="24"/>
        </w:rPr>
        <w:t>窗口；META</w:t>
      </w:r>
      <w:r>
        <w:rPr>
          <w:rFonts w:ascii="Times New Roman" w:hAnsi="Times New Roman" w:eastAsia="宋体"/>
          <w:sz w:val="24"/>
        </w:rPr>
        <w:t xml:space="preserve"> Q4 2022 </w:t>
      </w:r>
      <w:r>
        <w:rPr>
          <w:rFonts w:hint="eastAsia" w:ascii="Times New Roman" w:hAnsi="Times New Roman" w:eastAsia="宋体"/>
          <w:sz w:val="24"/>
        </w:rPr>
        <w:t>延至</w:t>
      </w:r>
      <w:r>
        <w:rPr>
          <w:rFonts w:ascii="Times New Roman" w:hAnsi="Times New Roman" w:eastAsia="宋体"/>
          <w:sz w:val="24"/>
        </w:rPr>
        <w:t xml:space="preserve"> 5 </w:t>
      </w:r>
      <w:r>
        <w:rPr>
          <w:rFonts w:hint="eastAsia" w:ascii="Times New Roman" w:hAnsi="Times New Roman" w:eastAsia="宋体"/>
          <w:sz w:val="24"/>
        </w:rPr>
        <w:t>年落入该窗口，其</w:t>
      </w:r>
      <w:r>
        <w:rPr>
          <w:rFonts w:ascii="Times New Roman" w:hAnsi="Times New Roman" w:eastAsia="宋体"/>
          <w:sz w:val="24"/>
        </w:rPr>
        <w:t xml:space="preserve"> Q2 2022 </w:t>
      </w:r>
      <w:r>
        <w:rPr>
          <w:rFonts w:hint="eastAsia" w:ascii="Times New Roman" w:hAnsi="Times New Roman" w:eastAsia="宋体"/>
          <w:sz w:val="24"/>
        </w:rPr>
        <w:t>的</w:t>
      </w:r>
      <w:r>
        <w:rPr>
          <w:rFonts w:ascii="Times New Roman" w:hAnsi="Times New Roman" w:eastAsia="宋体"/>
          <w:sz w:val="24"/>
        </w:rPr>
        <w:t xml:space="preserve"> 4→4.5 </w:t>
      </w:r>
      <w:r>
        <w:rPr>
          <w:rFonts w:hint="eastAsia" w:ascii="Times New Roman" w:hAnsi="Times New Roman" w:eastAsia="宋体"/>
          <w:sz w:val="24"/>
        </w:rPr>
        <w:t>年为窗口前奏）——恰好在</w:t>
      </w:r>
      <w:r>
        <w:rPr>
          <w:rFonts w:ascii="Times New Roman" w:hAnsi="Times New Roman" w:eastAsia="宋体"/>
          <w:sz w:val="24"/>
        </w:rPr>
        <w:t xml:space="preserve"> ChatGPT </w:t>
      </w:r>
      <w:r>
        <w:rPr>
          <w:rFonts w:hint="eastAsia" w:ascii="Times New Roman" w:hAnsi="Times New Roman" w:eastAsia="宋体"/>
          <w:sz w:val="24"/>
        </w:rPr>
        <w:t>发布（2022</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月）引爆</w:t>
      </w:r>
      <w:r>
        <w:rPr>
          <w:rFonts w:ascii="Times New Roman" w:hAnsi="Times New Roman" w:eastAsia="宋体"/>
          <w:sz w:val="24"/>
        </w:rPr>
        <w:t xml:space="preserve"> AI </w:t>
      </w:r>
      <w:r>
        <w:rPr>
          <w:rFonts w:hint="eastAsia" w:ascii="Times New Roman" w:hAnsi="Times New Roman" w:eastAsia="宋体"/>
          <w:sz w:val="24"/>
        </w:rPr>
        <w:t>资本开支狂潮的同一时点。微观上，每家公司的变更都“合规且理由充分”；宏观上，这意味着全行业在同一时点系统性地压低了</w:t>
      </w:r>
      <w:r>
        <w:rPr>
          <w:rFonts w:ascii="Times New Roman" w:hAnsi="Times New Roman" w:eastAsia="宋体"/>
          <w:sz w:val="24"/>
        </w:rPr>
        <w:t xml:space="preserve"> AI </w:t>
      </w:r>
      <w:r>
        <w:rPr>
          <w:rFonts w:hint="eastAsia" w:ascii="Times New Roman" w:hAnsi="Times New Roman" w:eastAsia="宋体"/>
          <w:sz w:val="24"/>
        </w:rPr>
        <w:t>资产的计量成本——个体理性汇聚为系统性的利润前置。面板进一步揭示：其中</w:t>
      </w:r>
      <w:r>
        <w:rPr>
          <w:rFonts w:ascii="Times New Roman" w:hAnsi="Times New Roman" w:eastAsia="宋体"/>
          <w:sz w:val="24"/>
        </w:rPr>
        <w:t xml:space="preserve"> Oracle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两家在窗口之后再次延长（ORCL</w:t>
      </w:r>
      <w:r>
        <w:rPr>
          <w:rFonts w:ascii="Times New Roman" w:hAnsi="Times New Roman" w:eastAsia="宋体"/>
          <w:sz w:val="24"/>
        </w:rPr>
        <w:t xml:space="preserve"> 2024 </w:t>
      </w:r>
      <w:r>
        <w:rPr>
          <w:rFonts w:hint="eastAsia" w:ascii="Times New Roman" w:hAnsi="Times New Roman" w:eastAsia="宋体"/>
          <w:sz w:val="24"/>
        </w:rPr>
        <w:t>年</w:t>
      </w:r>
      <w:r>
        <w:rPr>
          <w:rFonts w:ascii="Times New Roman" w:hAnsi="Times New Roman" w:eastAsia="宋体"/>
          <w:sz w:val="24"/>
        </w:rPr>
        <w:t xml:space="preserve"> 6 </w:t>
      </w:r>
      <w:r>
        <w:rPr>
          <w:rFonts w:hint="eastAsia" w:ascii="Times New Roman" w:hAnsi="Times New Roman" w:eastAsia="宋体"/>
          <w:sz w:val="24"/>
        </w:rPr>
        <w:t>月</w:t>
      </w:r>
      <w:r>
        <w:rPr>
          <w:rFonts w:ascii="Times New Roman" w:hAnsi="Times New Roman" w:eastAsia="宋体"/>
          <w:sz w:val="24"/>
        </w:rPr>
        <w:t xml:space="preserve"> 5→6 </w:t>
      </w:r>
      <w:r>
        <w:rPr>
          <w:rFonts w:hint="eastAsia" w:ascii="Times New Roman" w:hAnsi="Times New Roman" w:eastAsia="宋体"/>
          <w:sz w:val="24"/>
        </w:rPr>
        <w:t>年；META</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w:t>
      </w:r>
      <w:r>
        <w:rPr>
          <w:rFonts w:ascii="Times New Roman" w:hAnsi="Times New Roman" w:eastAsia="宋体"/>
          <w:sz w:val="24"/>
        </w:rPr>
        <w:t xml:space="preserve"> →5.5 </w:t>
      </w:r>
      <w:r>
        <w:rPr>
          <w:rFonts w:hint="eastAsia" w:ascii="Times New Roman" w:hAnsi="Times New Roman" w:eastAsia="宋体"/>
          <w:sz w:val="24"/>
        </w:rPr>
        <w:t>年），“连续延长者”的出现表明共振不是一次性事件而是持续模式。这一同步性与持续性本身即为“折旧错配是行业级现象而非个案”的直接证据，与</w:t>
      </w:r>
      <w:r>
        <w:rPr>
          <w:rFonts w:ascii="Times New Roman" w:hAnsi="Times New Roman" w:eastAsia="宋体"/>
          <w:sz w:val="24"/>
        </w:rPr>
        <w:t xml:space="preserve"> Burry </w:t>
      </w:r>
      <w:r>
        <w:rPr>
          <w:rFonts w:hint="eastAsia" w:ascii="Times New Roman" w:hAnsi="Times New Roman" w:eastAsia="宋体"/>
          <w:sz w:val="24"/>
        </w:rPr>
        <w:t>估算的行业级</w:t>
      </w:r>
      <w:r>
        <w:rPr>
          <w:rFonts w:ascii="Times New Roman" w:hAnsi="Times New Roman" w:eastAsia="宋体"/>
          <w:sz w:val="24"/>
        </w:rPr>
        <w:t xml:space="preserve"> 1760 </w:t>
      </w:r>
      <w:r>
        <w:rPr>
          <w:rFonts w:hint="eastAsia" w:ascii="Times New Roman" w:hAnsi="Times New Roman" w:eastAsia="宋体"/>
          <w:sz w:val="24"/>
        </w:rPr>
        <w:t>亿美元低估在逻辑上互洽。</w:t>
      </w:r>
    </w:p>
    <w:p w14:paraId="74B0A221">
      <w:pPr>
        <w:pStyle w:val="3"/>
        <w:spacing w:before="80" w:after="120" w:line="312" w:lineRule="auto"/>
        <w:ind w:firstLine="0"/>
        <w:jc w:val="center"/>
      </w:pPr>
      <w:r>
        <w:drawing>
          <wp:inline distT="0" distB="0" distL="114300" distR="114300">
            <wp:extent cx="5029200" cy="432498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29200" cy="4325112"/>
                    </a:xfrm>
                    <a:prstGeom prst="rect">
                      <a:avLst/>
                    </a:prstGeom>
                  </pic:spPr>
                </pic:pic>
              </a:graphicData>
            </a:graphic>
          </wp:inline>
        </w:drawing>
      </w:r>
    </w:p>
    <w:p w14:paraId="16E56E27">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4-5 </w:t>
      </w:r>
      <w:r>
        <w:rPr>
          <w:rFonts w:hint="eastAsia" w:ascii="Times New Roman" w:hAnsi="Times New Roman" w:eastAsia="宋体"/>
          <w:i w:val="0"/>
          <w:sz w:val="21"/>
        </w:rPr>
        <w:t>云厂商组服务器折旧年限变化轨迹与面板热力图（2022-2025）</w:t>
      </w:r>
    </w:p>
    <w:bookmarkEnd w:id="101"/>
    <w:p w14:paraId="25B9A5D3">
      <w:pPr>
        <w:pStyle w:val="5"/>
        <w:spacing w:before="240" w:after="120" w:line="360" w:lineRule="auto"/>
      </w:pPr>
      <w:bookmarkStart w:id="102" w:name="发现③折旧指纹资产在涨折旧在降"/>
      <w:r>
        <w:rPr>
          <w:rFonts w:hint="eastAsia" w:ascii="Times New Roman" w:hAnsi="Times New Roman" w:eastAsia="黑体"/>
          <w:b/>
          <w:color w:val="003366"/>
          <w:sz w:val="24"/>
        </w:rPr>
        <w:t>发现③：折旧指纹——资产在涨、折旧在降</w:t>
      </w:r>
    </w:p>
    <w:p w14:paraId="1CC6AD14">
      <w:pPr>
        <w:pStyle w:val="25"/>
        <w:spacing w:before="40" w:after="40" w:line="360" w:lineRule="auto"/>
        <w:ind w:firstLine="480"/>
      </w:pPr>
      <w:r>
        <w:rPr>
          <w:rFonts w:hint="eastAsia" w:ascii="Times New Roman" w:hAnsi="Times New Roman" w:eastAsia="宋体"/>
          <w:sz w:val="24"/>
        </w:rPr>
        <w:t>年限变更在财务数据上留下可检测的“指纹”：GOOGL</w:t>
      </w:r>
      <w:r>
        <w:rPr>
          <w:rFonts w:ascii="Times New Roman" w:hAnsi="Times New Roman" w:eastAsia="宋体"/>
          <w:sz w:val="24"/>
        </w:rPr>
        <w:t xml:space="preserve"> </w:t>
      </w:r>
      <w:r>
        <w:rPr>
          <w:rFonts w:hint="eastAsia" w:ascii="Times New Roman" w:hAnsi="Times New Roman" w:eastAsia="宋体"/>
          <w:sz w:val="24"/>
        </w:rPr>
        <w:t>净</w:t>
      </w:r>
      <w:r>
        <w:rPr>
          <w:rFonts w:ascii="Times New Roman" w:hAnsi="Times New Roman" w:eastAsia="宋体"/>
          <w:sz w:val="24"/>
        </w:rPr>
        <w:t xml:space="preserve"> PP&amp;E +19% </w:t>
      </w:r>
      <w:r>
        <w:rPr>
          <w:rFonts w:hint="eastAsia" w:ascii="Times New Roman" w:hAnsi="Times New Roman" w:eastAsia="宋体"/>
          <w:sz w:val="24"/>
        </w:rPr>
        <w:t>而折旧费用</w:t>
      </w:r>
      <w:r>
        <w:rPr>
          <w:rFonts w:ascii="Times New Roman" w:hAnsi="Times New Roman" w:eastAsia="宋体"/>
          <w:sz w:val="24"/>
        </w:rPr>
        <w:t xml:space="preserve"> </w:t>
      </w:r>
      <w:r>
        <w:rPr>
          <w:rFonts w:hint="eastAsia" w:ascii="Times New Roman" w:hAnsi="Times New Roman" w:eastAsia="宋体"/>
          <w:sz w:val="24"/>
        </w:rPr>
        <w:t>-11%（$13,475M</w:t>
      </w:r>
      <w:r>
        <w:rPr>
          <w:rFonts w:ascii="Times New Roman" w:hAnsi="Times New Roman" w:eastAsia="宋体"/>
          <w:sz w:val="24"/>
        </w:rPr>
        <w:t xml:space="preserve"> → </w:t>
      </w:r>
      <w:r>
        <w:rPr>
          <w:rFonts w:hint="eastAsia" w:ascii="Times New Roman" w:hAnsi="Times New Roman" w:eastAsia="宋体"/>
          <w:sz w:val="24"/>
        </w:rPr>
        <w:t>$11,946M，-11.35%）；MSFT</w:t>
      </w:r>
      <w:r>
        <w:rPr>
          <w:rFonts w:ascii="Times New Roman" w:hAnsi="Times New Roman" w:eastAsia="宋体"/>
          <w:sz w:val="24"/>
        </w:rPr>
        <w:t xml:space="preserve"> PP&amp;E </w:t>
      </w:r>
      <w:r>
        <w:rPr>
          <w:rFonts w:hint="eastAsia" w:ascii="Times New Roman" w:hAnsi="Times New Roman" w:eastAsia="宋体"/>
          <w:sz w:val="24"/>
        </w:rPr>
        <w:t>原值</w:t>
      </w:r>
      <w:r>
        <w:rPr>
          <w:rFonts w:ascii="Times New Roman" w:hAnsi="Times New Roman" w:eastAsia="宋体"/>
          <w:sz w:val="24"/>
        </w:rPr>
        <w:t xml:space="preserve"> +29% </w:t>
      </w:r>
      <w:r>
        <w:rPr>
          <w:rFonts w:hint="eastAsia" w:ascii="Times New Roman" w:hAnsi="Times New Roman" w:eastAsia="宋体"/>
          <w:sz w:val="24"/>
        </w:rPr>
        <w:t>而</w:t>
      </w:r>
      <w:r>
        <w:rPr>
          <w:rFonts w:ascii="Times New Roman" w:hAnsi="Times New Roman" w:eastAsia="宋体"/>
          <w:sz w:val="24"/>
        </w:rPr>
        <w:t xml:space="preserve"> FY2023 </w:t>
      </w:r>
      <w:r>
        <w:rPr>
          <w:rFonts w:hint="eastAsia" w:ascii="Times New Roman" w:hAnsi="Times New Roman" w:eastAsia="宋体"/>
          <w:sz w:val="24"/>
        </w:rPr>
        <w:t>折旧低于</w:t>
      </w:r>
      <w:r>
        <w:rPr>
          <w:rFonts w:ascii="Times New Roman" w:hAnsi="Times New Roman" w:eastAsia="宋体"/>
          <w:sz w:val="24"/>
        </w:rPr>
        <w:t xml:space="preserve"> </w:t>
      </w:r>
      <w:r>
        <w:rPr>
          <w:rFonts w:hint="eastAsia" w:ascii="Times New Roman" w:hAnsi="Times New Roman" w:eastAsia="宋体"/>
          <w:sz w:val="24"/>
        </w:rPr>
        <w:t>FY2022。“资产基数扩张</w:t>
      </w:r>
      <w:r>
        <w:rPr>
          <w:rFonts w:ascii="Times New Roman" w:hAnsi="Times New Roman" w:eastAsia="宋体"/>
          <w:sz w:val="24"/>
        </w:rPr>
        <w:t xml:space="preserve"> × </w:t>
      </w:r>
      <w:r>
        <w:rPr>
          <w:rFonts w:hint="eastAsia" w:ascii="Times New Roman" w:hAnsi="Times New Roman" w:eastAsia="宋体"/>
          <w:sz w:val="24"/>
        </w:rPr>
        <w:t>折旧费用停滞/下降”的背离组合，可作为不依赖附注文本的量化筛查信号，为第五章的自动化预警系统提供了规则基础。</w:t>
      </w:r>
    </w:p>
    <w:bookmarkEnd w:id="102"/>
    <w:p w14:paraId="49CC39FF">
      <w:pPr>
        <w:pStyle w:val="5"/>
        <w:spacing w:before="240" w:after="120" w:line="360" w:lineRule="auto"/>
      </w:pPr>
      <w:bookmarkStart w:id="103" w:name="发现④风险的通道分化与表外迁移"/>
      <w:r>
        <w:rPr>
          <w:rFonts w:hint="eastAsia" w:ascii="Times New Roman" w:hAnsi="Times New Roman" w:eastAsia="黑体"/>
          <w:b/>
          <w:color w:val="003366"/>
          <w:sz w:val="24"/>
        </w:rPr>
        <w:t>发现④：风险的通道分化与表外迁移</w:t>
      </w:r>
    </w:p>
    <w:p w14:paraId="75F234AA">
      <w:pPr>
        <w:pStyle w:val="25"/>
        <w:spacing w:before="40" w:after="40" w:line="360" w:lineRule="auto"/>
        <w:ind w:firstLine="480"/>
      </w:pPr>
      <w:r>
        <w:rPr>
          <w:rFonts w:hint="eastAsia" w:ascii="Times New Roman" w:hAnsi="Times New Roman" w:eastAsia="宋体"/>
          <w:sz w:val="24"/>
        </w:rPr>
        <w:t>技术过时风险在不同商业模式下沿不同通道传导：运营型公司藏在折旧表里（年限延长）；设计型公司砸在存货里（NVDA</w:t>
      </w:r>
      <w:r>
        <w:rPr>
          <w:rFonts w:ascii="Times New Roman" w:hAnsi="Times New Roman" w:eastAsia="宋体"/>
          <w:sz w:val="24"/>
        </w:rPr>
        <w:t xml:space="preserve"> </w:t>
      </w:r>
      <w:r>
        <w:rPr>
          <w:rFonts w:hint="eastAsia" w:ascii="Times New Roman" w:hAnsi="Times New Roman" w:eastAsia="宋体"/>
          <w:sz w:val="24"/>
        </w:rPr>
        <w:t>两年存货拨备</w:t>
      </w:r>
      <w:r>
        <w:rPr>
          <w:rFonts w:ascii="Times New Roman" w:hAnsi="Times New Roman" w:eastAsia="宋体"/>
          <w:sz w:val="24"/>
        </w:rPr>
        <w:t xml:space="preserve"> </w:t>
      </w:r>
      <w:r>
        <w:rPr>
          <w:rFonts w:hint="eastAsia" w:ascii="Times New Roman" w:hAnsi="Times New Roman" w:eastAsia="宋体"/>
          <w:sz w:val="24"/>
        </w:rPr>
        <w:t>$774M/$1.0B）；制造型公司已在存货与商誉兑现（MU</w:t>
      </w:r>
      <w:r>
        <w:rPr>
          <w:rFonts w:ascii="Times New Roman" w:hAnsi="Times New Roman" w:eastAsia="宋体"/>
          <w:sz w:val="24"/>
        </w:rPr>
        <w:t xml:space="preserve"> $1.83B + </w:t>
      </w:r>
      <w:r>
        <w:rPr>
          <w:rFonts w:hint="eastAsia" w:ascii="Times New Roman" w:hAnsi="Times New Roman" w:eastAsia="宋体"/>
          <w:sz w:val="24"/>
        </w:rPr>
        <w:t>$101M）；软件型公司转嫁给供应商（CRM</w:t>
      </w:r>
      <w:r>
        <w:rPr>
          <w:rFonts w:ascii="Times New Roman" w:hAnsi="Times New Roman" w:eastAsia="宋体"/>
          <w:sz w:val="24"/>
        </w:rPr>
        <w:t xml:space="preserve"> </w:t>
      </w:r>
      <w:r>
        <w:rPr>
          <w:rFonts w:hint="eastAsia" w:ascii="Times New Roman" w:hAnsi="Times New Roman" w:eastAsia="宋体"/>
          <w:sz w:val="24"/>
        </w:rPr>
        <w:t>租用算力）；而</w:t>
      </w:r>
      <w:r>
        <w:rPr>
          <w:rFonts w:ascii="Times New Roman" w:hAnsi="Times New Roman" w:eastAsia="宋体"/>
          <w:sz w:val="24"/>
        </w:rPr>
        <w:t xml:space="preserve"> Oracle </w:t>
      </w:r>
      <w:r>
        <w:rPr>
          <w:rFonts w:hint="eastAsia" w:ascii="Times New Roman" w:hAnsi="Times New Roman" w:eastAsia="宋体"/>
          <w:sz w:val="24"/>
        </w:rPr>
        <w:t>展示了最新形态——通过</w:t>
      </w:r>
      <w:r>
        <w:rPr>
          <w:rFonts w:ascii="Times New Roman" w:hAnsi="Times New Roman" w:eastAsia="宋体"/>
          <w:sz w:val="24"/>
        </w:rPr>
        <w:t xml:space="preserve"> 9-16 </w:t>
      </w:r>
      <w:r>
        <w:rPr>
          <w:rFonts w:hint="eastAsia" w:ascii="Times New Roman" w:hAnsi="Times New Roman" w:eastAsia="宋体"/>
          <w:sz w:val="24"/>
        </w:rPr>
        <w:t>年经营租赁将容量承诺移出表外（FY2024</w:t>
      </w:r>
      <w:r>
        <w:rPr>
          <w:rFonts w:ascii="Times New Roman" w:hAnsi="Times New Roman" w:eastAsia="宋体"/>
          <w:sz w:val="24"/>
        </w:rPr>
        <w:t xml:space="preserve"> </w:t>
      </w:r>
      <w:r>
        <w:rPr>
          <w:rFonts w:hint="eastAsia" w:ascii="Times New Roman" w:hAnsi="Times New Roman" w:eastAsia="宋体"/>
          <w:sz w:val="24"/>
        </w:rPr>
        <w:t>已有未上表租赁承诺</w:t>
      </w:r>
      <w:r>
        <w:rPr>
          <w:rFonts w:ascii="Times New Roman" w:hAnsi="Times New Roman" w:eastAsia="宋体"/>
          <w:sz w:val="24"/>
        </w:rPr>
        <w:t xml:space="preserve"> </w:t>
      </w:r>
      <w:r>
        <w:rPr>
          <w:rFonts w:hint="eastAsia" w:ascii="Times New Roman" w:hAnsi="Times New Roman" w:eastAsia="宋体"/>
          <w:sz w:val="24"/>
        </w:rPr>
        <w:t>$32.2B，FY2025</w:t>
      </w:r>
      <w:r>
        <w:rPr>
          <w:rFonts w:ascii="Times New Roman" w:hAnsi="Times New Roman" w:eastAsia="宋体"/>
          <w:sz w:val="24"/>
        </w:rPr>
        <w:t xml:space="preserve"> </w:t>
      </w:r>
      <w:r>
        <w:rPr>
          <w:rFonts w:hint="eastAsia" w:ascii="Times New Roman" w:hAnsi="Times New Roman" w:eastAsia="宋体"/>
          <w:sz w:val="24"/>
        </w:rPr>
        <w:t>再新增</w:t>
      </w:r>
      <w:r>
        <w:rPr>
          <w:rFonts w:ascii="Times New Roman" w:hAnsi="Times New Roman" w:eastAsia="宋体"/>
          <w:sz w:val="24"/>
        </w:rPr>
        <w:t xml:space="preserve"> </w:t>
      </w:r>
      <w:r>
        <w:rPr>
          <w:rFonts w:hint="eastAsia" w:ascii="Times New Roman" w:hAnsi="Times New Roman" w:eastAsia="宋体"/>
          <w:sz w:val="24"/>
        </w:rPr>
        <w:t>$43.4B），风险的确认被推迟到租赁期。识别折旧风险不能只看折旧一行，必须沿着“折旧—存货—商誉—租赁”四条通道全面扫描。</w:t>
      </w:r>
    </w:p>
    <w:bookmarkEnd w:id="99"/>
    <w:bookmarkEnd w:id="103"/>
    <w:p w14:paraId="301642FF">
      <w:pPr>
        <w:pStyle w:val="4"/>
        <w:spacing w:before="320" w:after="160" w:line="360" w:lineRule="auto"/>
      </w:pPr>
      <w:bookmarkStart w:id="104" w:name="_Toc17530"/>
      <w:bookmarkStart w:id="105" w:name="本章小结"/>
      <w:r>
        <w:rPr>
          <w:rFonts w:ascii="Times New Roman" w:hAnsi="Times New Roman" w:eastAsia="黑体"/>
          <w:b/>
          <w:color w:val="003366"/>
          <w:sz w:val="28"/>
        </w:rPr>
        <w:t xml:space="preserve">4.7 </w:t>
      </w:r>
      <w:r>
        <w:rPr>
          <w:rFonts w:hint="eastAsia" w:ascii="Times New Roman" w:hAnsi="Times New Roman" w:eastAsia="黑体"/>
          <w:b/>
          <w:color w:val="003366"/>
          <w:sz w:val="28"/>
        </w:rPr>
        <w:t>本章小结</w:t>
      </w:r>
      <w:bookmarkEnd w:id="104"/>
    </w:p>
    <w:p w14:paraId="49BEF109">
      <w:pPr>
        <w:pStyle w:val="25"/>
        <w:spacing w:before="40" w:after="40" w:line="360" w:lineRule="auto"/>
        <w:ind w:firstLine="480"/>
      </w:pPr>
      <w:r>
        <w:rPr>
          <w:rFonts w:ascii="Times New Roman" w:hAnsi="Times New Roman" w:eastAsia="宋体"/>
          <w:sz w:val="24"/>
        </w:rPr>
        <w:t xml:space="preserve">30 </w:t>
      </w:r>
      <w:r>
        <w:rPr>
          <w:rFonts w:hint="eastAsia" w:ascii="Times New Roman" w:hAnsi="Times New Roman" w:eastAsia="宋体"/>
          <w:sz w:val="24"/>
        </w:rPr>
        <w:t>份面板样本的证据表明：折旧错配不是个别公司的会计瑕疵，而是</w:t>
      </w:r>
      <w:r>
        <w:rPr>
          <w:rFonts w:ascii="Times New Roman" w:hAnsi="Times New Roman" w:eastAsia="宋体"/>
          <w:sz w:val="24"/>
        </w:rPr>
        <w:t xml:space="preserve"> AI </w:t>
      </w:r>
      <w:r>
        <w:rPr>
          <w:rFonts w:hint="eastAsia" w:ascii="Times New Roman" w:hAnsi="Times New Roman" w:eastAsia="宋体"/>
          <w:sz w:val="24"/>
        </w:rPr>
        <w:t>资本开支狂潮期的行业级计量现象——六家公司在约</w:t>
      </w:r>
      <w:r>
        <w:rPr>
          <w:rFonts w:ascii="Times New Roman" w:hAnsi="Times New Roman" w:eastAsia="宋体"/>
          <w:sz w:val="24"/>
        </w:rPr>
        <w:t xml:space="preserve"> 12 </w:t>
      </w:r>
      <w:r>
        <w:rPr>
          <w:rFonts w:hint="eastAsia" w:ascii="Times New Roman" w:hAnsi="Times New Roman" w:eastAsia="宋体"/>
          <w:sz w:val="24"/>
        </w:rPr>
        <w:t>个月内同步延长年限（META、ORCL、MSFT、GOOGL、INTC、NVDA；其中</w:t>
      </w:r>
      <w:r>
        <w:rPr>
          <w:rFonts w:ascii="Times New Roman" w:hAnsi="Times New Roman" w:eastAsia="宋体"/>
          <w:sz w:val="24"/>
        </w:rPr>
        <w:t xml:space="preserve"> META </w:t>
      </w:r>
      <w:r>
        <w:rPr>
          <w:rFonts w:hint="eastAsia" w:ascii="Times New Roman" w:hAnsi="Times New Roman" w:eastAsia="宋体"/>
          <w:sz w:val="24"/>
        </w:rPr>
        <w:t>为两次分步延长计为一家主体），且</w:t>
      </w:r>
      <w:r>
        <w:rPr>
          <w:rFonts w:ascii="Times New Roman" w:hAnsi="Times New Roman" w:eastAsia="宋体"/>
          <w:sz w:val="24"/>
        </w:rPr>
        <w:t xml:space="preserve"> Oracle、Meta </w:t>
      </w:r>
      <w:r>
        <w:rPr>
          <w:rFonts w:hint="eastAsia" w:ascii="Times New Roman" w:hAnsi="Times New Roman" w:eastAsia="宋体"/>
          <w:sz w:val="24"/>
        </w:rPr>
        <w:t>两家在窗口后再次延长；8</w:t>
      </w:r>
      <w:r>
        <w:rPr>
          <w:rFonts w:ascii="Times New Roman" w:hAnsi="Times New Roman" w:eastAsia="宋体"/>
          <w:sz w:val="24"/>
        </w:rPr>
        <w:t xml:space="preserve"> </w:t>
      </w:r>
      <w:r>
        <w:rPr>
          <w:rFonts w:hint="eastAsia" w:ascii="Times New Roman" w:hAnsi="Times New Roman" w:eastAsia="宋体"/>
          <w:sz w:val="24"/>
        </w:rPr>
        <w:t>个变更年观测的评分均值（4.25）高于非变更年（3.43，差值</w:t>
      </w:r>
      <w:r>
        <w:rPr>
          <w:rFonts w:ascii="Times New Roman" w:hAnsi="Times New Roman" w:eastAsia="宋体"/>
          <w:sz w:val="24"/>
        </w:rPr>
        <w:t xml:space="preserve"> 0.82 </w:t>
      </w:r>
      <w:r>
        <w:rPr>
          <w:rFonts w:hint="eastAsia" w:ascii="Times New Roman" w:hAnsi="Times New Roman" w:eastAsia="宋体"/>
          <w:sz w:val="24"/>
        </w:rPr>
        <w:t>分），呈现共现模式；高风险组评分全部</w:t>
      </w:r>
      <w:r>
        <w:rPr>
          <w:rFonts w:ascii="Times New Roman" w:hAnsi="Times New Roman" w:eastAsia="宋体"/>
          <w:sz w:val="24"/>
        </w:rPr>
        <w:t xml:space="preserve"> </w:t>
      </w:r>
      <w:r>
        <w:rPr>
          <w:rFonts w:hint="eastAsia" w:ascii="Times New Roman" w:hAnsi="Times New Roman" w:eastAsia="宋体"/>
          <w:sz w:val="24"/>
        </w:rPr>
        <w:t>≥4.0，风险高低与资产敞口系统性相关。错配的兑现具有时间差：存储厂商已经爆雷（Micron），云厂商仍在累积（折旧指纹</w:t>
      </w:r>
      <w:r>
        <w:rPr>
          <w:rFonts w:ascii="Times New Roman" w:hAnsi="Times New Roman" w:eastAsia="宋体"/>
          <w:sz w:val="24"/>
        </w:rPr>
        <w:t xml:space="preserve"> + </w:t>
      </w:r>
      <w:r>
        <w:rPr>
          <w:rFonts w:hint="eastAsia" w:ascii="Times New Roman" w:hAnsi="Times New Roman" w:eastAsia="宋体"/>
          <w:sz w:val="24"/>
        </w:rPr>
        <w:t>表外承诺），这为“提前识别、过程管控”的风控方案（第五章）提供了明确的干预窗口期。面板数据同时支撑模型化路径的可行性验证（XGBoost</w:t>
      </w:r>
      <w:r>
        <w:rPr>
          <w:rFonts w:ascii="Times New Roman" w:hAnsi="Times New Roman" w:eastAsia="宋体"/>
          <w:sz w:val="24"/>
        </w:rPr>
        <w:t xml:space="preserve"> </w:t>
      </w:r>
      <w:r>
        <w:rPr>
          <w:rFonts w:hint="eastAsia" w:ascii="Times New Roman" w:hAnsi="Times New Roman" w:eastAsia="宋体"/>
          <w:sz w:val="24"/>
        </w:rPr>
        <w:t>PoC，见附录</w:t>
      </w:r>
      <w:r>
        <w:rPr>
          <w:rFonts w:ascii="Times New Roman" w:hAnsi="Times New Roman" w:eastAsia="宋体"/>
          <w:sz w:val="24"/>
        </w:rPr>
        <w:t xml:space="preserve"> </w:t>
      </w:r>
      <w:r>
        <w:rPr>
          <w:rFonts w:hint="eastAsia" w:ascii="Times New Roman" w:hAnsi="Times New Roman" w:eastAsia="宋体"/>
          <w:sz w:val="24"/>
        </w:rPr>
        <w:t>F）：在</w:t>
      </w:r>
      <w:r>
        <w:rPr>
          <w:rFonts w:ascii="Times New Roman" w:hAnsi="Times New Roman" w:eastAsia="宋体"/>
          <w:sz w:val="24"/>
        </w:rPr>
        <w:t xml:space="preserve"> 55 </w:t>
      </w:r>
      <w:r>
        <w:rPr>
          <w:rFonts w:hint="eastAsia" w:ascii="Times New Roman" w:hAnsi="Times New Roman" w:eastAsia="宋体"/>
          <w:sz w:val="24"/>
        </w:rPr>
        <w:t>个全量特征上，标注指标与人工五维评分标签之间存在可学习的结构，且政策/比率类指标整体取代规模变量成为最重要的特征群。</w:t>
      </w:r>
    </w:p>
    <w:bookmarkEnd w:id="78"/>
    <w:bookmarkEnd w:id="105"/>
    <w:p w14:paraId="23D7A6B6">
      <w:pPr>
        <w:pStyle w:val="2"/>
        <w:pageBreakBefore/>
        <w:spacing w:before="360" w:after="240" w:line="360" w:lineRule="auto"/>
        <w:jc w:val="center"/>
      </w:pPr>
      <w:bookmarkStart w:id="106" w:name="_Toc30628"/>
      <w:bookmarkStart w:id="107" w:name="第五章风险管理体系设计从识别到落地的全链条方案"/>
      <w:r>
        <w:rPr>
          <w:rFonts w:hint="eastAsia" w:ascii="Times New Roman" w:hAnsi="Times New Roman" w:eastAsia="黑体"/>
          <w:b/>
          <w:color w:val="000000"/>
          <w:sz w:val="32"/>
        </w:rPr>
        <w:t>第五章风险管理体系设计：从识别到落地的全链条方案</w:t>
      </w:r>
      <w:bookmarkEnd w:id="106"/>
    </w:p>
    <w:p w14:paraId="38DAE103">
      <w:pPr>
        <w:pStyle w:val="25"/>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本章核心结论：形成“看得见—管得住—降得下”三层闭环：可运行的折旧风险智能识别系统（Streamlit，代码开源）+ 由第四章实证发现逐一反推的四条量化预警规则（R1-R4） + 面向科创企业（合规折旧优化）、保险机构（科技保险定价因子）、监管审计（RegTech 批量筛查）的三类落地方案；三级演进路线通向语义识别与风险数据资产化。</w:t>
      </w:r>
    </w:p>
    <w:p w14:paraId="495C2FD4">
      <w:pPr>
        <w:pStyle w:val="25"/>
        <w:spacing w:before="40" w:after="40" w:line="360" w:lineRule="auto"/>
        <w:ind w:firstLine="480"/>
      </w:pPr>
      <w:bookmarkStart w:id="108" w:name="设计理念对准识别与管理的双动词"/>
      <w:r>
        <w:rPr>
          <w:rFonts w:ascii="Times New Roman" w:hAnsi="Times New Roman" w:eastAsia="黑体"/>
          <w:b/>
          <w:color w:val="003366"/>
          <w:sz w:val="28"/>
        </w:rPr>
        <w:t xml:space="preserve">5.1 </w:t>
      </w:r>
      <w:r>
        <w:rPr>
          <w:rFonts w:hint="eastAsia" w:ascii="Times New Roman" w:hAnsi="Times New Roman" w:eastAsia="黑体"/>
          <w:b/>
          <w:color w:val="003366"/>
          <w:sz w:val="28"/>
        </w:rPr>
        <w:t>设计理念：对准“识别与管理”的双动词</w:t>
      </w:r>
    </w:p>
    <w:p w14:paraId="2CEFAFEE">
      <w:pPr>
        <w:pStyle w:val="25"/>
        <w:spacing w:before="40" w:after="40" w:line="360" w:lineRule="auto"/>
        <w:ind w:firstLine="480"/>
      </w:pPr>
      <w:r>
        <w:rPr>
          <w:rFonts w:hint="eastAsia" w:ascii="Times New Roman" w:hAnsi="Times New Roman" w:eastAsia="宋体"/>
          <w:sz w:val="24"/>
        </w:rPr>
        <w:t>本赛题的全链条风控目标是“看得见风险、管得住过程、降得下损失”。第三、四章解决了“看得见”（证据链标注</w:t>
      </w:r>
      <w:r>
        <w:rPr>
          <w:rFonts w:ascii="Times New Roman" w:hAnsi="Times New Roman" w:eastAsia="宋体"/>
          <w:sz w:val="24"/>
        </w:rPr>
        <w:t xml:space="preserve"> + </w:t>
      </w:r>
      <w:r>
        <w:rPr>
          <w:rFonts w:hint="eastAsia" w:ascii="Times New Roman" w:hAnsi="Times New Roman" w:eastAsia="宋体"/>
          <w:sz w:val="24"/>
        </w:rPr>
        <w:t>五维评分），本章解决“管得住”与“降得下”，形成三层闭环：看得见风险（第三章方法论</w:t>
      </w:r>
      <w:r>
        <w:rPr>
          <w:rFonts w:ascii="Times New Roman" w:hAnsi="Times New Roman" w:eastAsia="宋体"/>
          <w:sz w:val="24"/>
        </w:rPr>
        <w:t xml:space="preserve"> + 5.2 </w:t>
      </w:r>
      <w:r>
        <w:rPr>
          <w:rFonts w:hint="eastAsia" w:ascii="Times New Roman" w:hAnsi="Times New Roman" w:eastAsia="宋体"/>
          <w:sz w:val="24"/>
        </w:rPr>
        <w:t>识别系统）→</w:t>
      </w:r>
      <w:r>
        <w:rPr>
          <w:rFonts w:ascii="Times New Roman" w:hAnsi="Times New Roman" w:eastAsia="宋体"/>
          <w:sz w:val="24"/>
        </w:rPr>
        <w:t xml:space="preserve"> </w:t>
      </w:r>
      <w:r>
        <w:rPr>
          <w:rFonts w:hint="eastAsia" w:ascii="Times New Roman" w:hAnsi="Times New Roman" w:eastAsia="宋体"/>
          <w:sz w:val="24"/>
        </w:rPr>
        <w:t>管得住过程（5.3</w:t>
      </w:r>
      <w:r>
        <w:rPr>
          <w:rFonts w:ascii="Times New Roman" w:hAnsi="Times New Roman" w:eastAsia="宋体"/>
          <w:sz w:val="24"/>
        </w:rPr>
        <w:t xml:space="preserve"> </w:t>
      </w:r>
      <w:r>
        <w:rPr>
          <w:rFonts w:hint="eastAsia" w:ascii="Times New Roman" w:hAnsi="Times New Roman" w:eastAsia="宋体"/>
          <w:sz w:val="24"/>
        </w:rPr>
        <w:t>预警规则体系：滚动监测</w:t>
      </w:r>
      <w:r>
        <w:rPr>
          <w:rFonts w:ascii="Times New Roman" w:hAnsi="Times New Roman" w:eastAsia="宋体"/>
          <w:sz w:val="24"/>
        </w:rPr>
        <w:t xml:space="preserve"> + </w:t>
      </w:r>
      <w:r>
        <w:rPr>
          <w:rFonts w:hint="eastAsia" w:ascii="Times New Roman" w:hAnsi="Times New Roman" w:eastAsia="宋体"/>
          <w:sz w:val="24"/>
        </w:rPr>
        <w:t>阈值触发）→</w:t>
      </w:r>
      <w:r>
        <w:rPr>
          <w:rFonts w:ascii="Times New Roman" w:hAnsi="Times New Roman" w:eastAsia="宋体"/>
          <w:sz w:val="24"/>
        </w:rPr>
        <w:t xml:space="preserve"> </w:t>
      </w:r>
      <w:r>
        <w:rPr>
          <w:rFonts w:hint="eastAsia" w:ascii="Times New Roman" w:hAnsi="Times New Roman" w:eastAsia="宋体"/>
          <w:sz w:val="24"/>
        </w:rPr>
        <w:t>降得下损失（5.4</w:t>
      </w:r>
      <w:r>
        <w:rPr>
          <w:rFonts w:ascii="Times New Roman" w:hAnsi="Times New Roman" w:eastAsia="宋体"/>
          <w:sz w:val="24"/>
        </w:rPr>
        <w:t xml:space="preserve"> </w:t>
      </w:r>
      <w:r>
        <w:rPr>
          <w:rFonts w:hint="eastAsia" w:ascii="Times New Roman" w:hAnsi="Times New Roman" w:eastAsia="宋体"/>
          <w:sz w:val="24"/>
        </w:rPr>
        <w:t>三类主体方案：企业</w:t>
      </w:r>
      <w:r>
        <w:rPr>
          <w:rFonts w:ascii="Times New Roman" w:hAnsi="Times New Roman" w:eastAsia="宋体"/>
          <w:sz w:val="24"/>
        </w:rPr>
        <w:t xml:space="preserve"> / </w:t>
      </w:r>
      <w:r>
        <w:rPr>
          <w:rFonts w:hint="eastAsia" w:ascii="Times New Roman" w:hAnsi="Times New Roman" w:eastAsia="宋体"/>
          <w:sz w:val="24"/>
        </w:rPr>
        <w:t>保险</w:t>
      </w:r>
      <w:r>
        <w:rPr>
          <w:rFonts w:ascii="Times New Roman" w:hAnsi="Times New Roman" w:eastAsia="宋体"/>
          <w:sz w:val="24"/>
        </w:rPr>
        <w:t xml:space="preserve"> / </w:t>
      </w:r>
      <w:r>
        <w:rPr>
          <w:rFonts w:hint="eastAsia" w:ascii="Times New Roman" w:hAnsi="Times New Roman" w:eastAsia="宋体"/>
          <w:sz w:val="24"/>
        </w:rPr>
        <w:t>监管）。</w:t>
      </w:r>
    </w:p>
    <w:p w14:paraId="2AF88B0D">
      <w:pPr>
        <w:pStyle w:val="25"/>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设计遵循两条原则：其一，所有预警规则必须由实证发现反推——不用拍脑袋的指标，第四章的每个结构性发现都转化为一条可执行的监测规则；其二，方案必须对应真实需求——以主要科技保险承保主体为例（如平安产险）：2025 年承保科技保险保单 326 万件、提供 9.29 万亿元风险保障，并设有科技保险实验室，其核心痛点是科创风险“看不清、算不准、担不住”。本章方案直接对着这个痛点开方（平安需求数据的详细论证见 5.4.2 节）。</w:t>
      </w:r>
    </w:p>
    <w:bookmarkEnd w:id="108"/>
    <w:p w14:paraId="4207EE50">
      <w:pPr>
        <w:pStyle w:val="25"/>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这一三层闭环并非凭空设计，而是与发榜方已验证的风险减量范式同构：平安产险鹰眼系统在物理风险领域跑通了“灾前精准预判—灾中隐患整改—灾后快赔复产”的全流程（平安产险，2026）；本章所做的，是把同一套全链条方法论迁移到财务风险领域——“灾前”对应评分定价，“灾中”对应预警干预，“灾后”对应保险缓释。</w:t>
      </w:r>
    </w:p>
    <w:p w14:paraId="45E88918">
      <w:pPr>
        <w:pStyle w:val="4"/>
        <w:spacing w:before="320" w:after="160" w:line="360" w:lineRule="auto"/>
      </w:pPr>
      <w:bookmarkStart w:id="109" w:name="_Toc12409"/>
      <w:bookmarkStart w:id="110" w:name="看得见风险折旧风险智能识别系统"/>
      <w:r>
        <w:rPr>
          <w:rFonts w:ascii="Times New Roman" w:hAnsi="Times New Roman" w:eastAsia="黑体"/>
          <w:b/>
          <w:color w:val="003366"/>
          <w:sz w:val="28"/>
        </w:rPr>
        <w:t xml:space="preserve">5.2 </w:t>
      </w:r>
      <w:r>
        <w:rPr>
          <w:rFonts w:hint="eastAsia" w:ascii="Times New Roman" w:hAnsi="Times New Roman" w:eastAsia="黑体"/>
          <w:b/>
          <w:color w:val="003366"/>
          <w:sz w:val="28"/>
        </w:rPr>
        <w:t>看得见风险：折旧风险智能识别系统</w:t>
      </w:r>
      <w:bookmarkEnd w:id="109"/>
    </w:p>
    <w:p w14:paraId="5D5E3976">
      <w:pPr>
        <w:pStyle w:val="25"/>
        <w:spacing w:before="40" w:after="40" w:line="360" w:lineRule="auto"/>
        <w:ind w:firstLine="480"/>
      </w:pPr>
      <w:r>
        <w:rPr>
          <w:rFonts w:hint="eastAsia" w:ascii="Times New Roman" w:hAnsi="Times New Roman" w:eastAsia="宋体"/>
          <w:sz w:val="24"/>
        </w:rPr>
        <w:t>本研究已将方法论工程化为可运行的“科创企业资产折旧风险识别系统”（Streamlit</w:t>
      </w:r>
      <w:r>
        <w:rPr>
          <w:rFonts w:ascii="Times New Roman" w:hAnsi="Times New Roman" w:eastAsia="宋体"/>
          <w:sz w:val="24"/>
        </w:rPr>
        <w:t xml:space="preserve"> </w:t>
      </w:r>
      <w:r>
        <w:rPr>
          <w:rFonts w:hint="eastAsia" w:ascii="Times New Roman" w:hAnsi="Times New Roman" w:eastAsia="宋体"/>
          <w:sz w:val="24"/>
        </w:rPr>
        <w:t>架构，代码开源见附录</w:t>
      </w:r>
      <w:r>
        <w:rPr>
          <w:rFonts w:ascii="Times New Roman" w:hAnsi="Times New Roman" w:eastAsia="宋体"/>
          <w:sz w:val="24"/>
        </w:rPr>
        <w:t xml:space="preserve"> </w:t>
      </w:r>
      <w:r>
        <w:rPr>
          <w:rFonts w:hint="eastAsia" w:ascii="Times New Roman" w:hAnsi="Times New Roman" w:eastAsia="宋体"/>
          <w:sz w:val="24"/>
        </w:rPr>
        <w:t>D）：</w:t>
      </w:r>
    </w:p>
    <w:p w14:paraId="7B66EB06">
      <w:pPr>
        <w:pStyle w:val="3"/>
        <w:spacing w:before="40" w:after="40" w:line="360" w:lineRule="auto"/>
        <w:ind w:firstLine="480"/>
      </w:pPr>
      <w:r>
        <w:rPr>
          <w:rFonts w:hint="eastAsia" w:ascii="Times New Roman" w:hAnsi="Times New Roman" w:eastAsia="宋体"/>
          <w:sz w:val="24"/>
        </w:rPr>
        <w:t>系统当前能力（七大页面：P1-P5</w:t>
      </w:r>
      <w:r>
        <w:rPr>
          <w:rFonts w:ascii="Times New Roman" w:hAnsi="Times New Roman" w:eastAsia="宋体"/>
          <w:sz w:val="24"/>
        </w:rPr>
        <w:t xml:space="preserve"> </w:t>
      </w:r>
      <w:r>
        <w:rPr>
          <w:rFonts w:hint="eastAsia" w:ascii="Times New Roman" w:hAnsi="Times New Roman" w:eastAsia="宋体"/>
          <w:sz w:val="24"/>
        </w:rPr>
        <w:t>交互展示</w:t>
      </w:r>
      <w:r>
        <w:rPr>
          <w:rFonts w:ascii="Times New Roman" w:hAnsi="Times New Roman" w:eastAsia="宋体"/>
          <w:sz w:val="24"/>
        </w:rPr>
        <w:t xml:space="preserve"> 30 </w:t>
      </w:r>
      <w:r>
        <w:rPr>
          <w:rFonts w:hint="eastAsia" w:ascii="Times New Roman" w:hAnsi="Times New Roman" w:eastAsia="宋体"/>
          <w:sz w:val="24"/>
        </w:rPr>
        <w:t>份</w:t>
      </w:r>
      <w:r>
        <w:rPr>
          <w:rFonts w:ascii="Times New Roman" w:hAnsi="Times New Roman" w:eastAsia="宋体"/>
          <w:sz w:val="24"/>
        </w:rPr>
        <w:t xml:space="preserve"> confirmed </w:t>
      </w:r>
      <w:r>
        <w:rPr>
          <w:rFonts w:hint="eastAsia" w:ascii="Times New Roman" w:hAnsi="Times New Roman" w:eastAsia="宋体"/>
          <w:sz w:val="24"/>
        </w:rPr>
        <w:t>标注库，P6</w:t>
      </w:r>
      <w:r>
        <w:rPr>
          <w:rFonts w:ascii="Times New Roman" w:hAnsi="Times New Roman" w:eastAsia="宋体"/>
          <w:sz w:val="24"/>
        </w:rPr>
        <w:t xml:space="preserve"> </w:t>
      </w:r>
      <w:r>
        <w:rPr>
          <w:rFonts w:hint="eastAsia" w:ascii="Times New Roman" w:hAnsi="Times New Roman" w:eastAsia="宋体"/>
          <w:sz w:val="24"/>
        </w:rPr>
        <w:t>为模型实时评分演示，P7</w:t>
      </w:r>
      <w:r>
        <w:rPr>
          <w:rFonts w:ascii="Times New Roman" w:hAnsi="Times New Roman" w:eastAsia="宋体"/>
          <w:sz w:val="24"/>
        </w:rPr>
        <w:t xml:space="preserve"> </w:t>
      </w:r>
      <w:r>
        <w:rPr>
          <w:rFonts w:hint="eastAsia" w:ascii="Times New Roman" w:hAnsi="Times New Roman" w:eastAsia="宋体"/>
          <w:sz w:val="24"/>
        </w:rPr>
        <w:t>为接入</w:t>
      </w:r>
      <w:r>
        <w:rPr>
          <w:rFonts w:ascii="Times New Roman" w:hAnsi="Times New Roman" w:eastAsia="宋体"/>
          <w:sz w:val="24"/>
        </w:rPr>
        <w:t xml:space="preserve"> DeepSeek </w:t>
      </w:r>
      <w:r>
        <w:rPr>
          <w:rFonts w:hint="eastAsia" w:ascii="Times New Roman" w:hAnsi="Times New Roman" w:eastAsia="宋体"/>
          <w:sz w:val="24"/>
        </w:rPr>
        <w:t>大模型的智能标注流水线演示——美股</w:t>
      </w:r>
      <w:r>
        <w:rPr>
          <w:rFonts w:ascii="Times New Roman" w:hAnsi="Times New Roman" w:eastAsia="宋体"/>
          <w:sz w:val="24"/>
        </w:rPr>
        <w:t xml:space="preserve"> 10-K </w:t>
      </w:r>
      <w:r>
        <w:rPr>
          <w:rFonts w:hint="eastAsia" w:ascii="Times New Roman" w:hAnsi="Times New Roman" w:eastAsia="宋体"/>
          <w:sz w:val="24"/>
        </w:rPr>
        <w:t>全自动下载</w:t>
      </w:r>
      <w:r>
        <w:rPr>
          <w:rFonts w:ascii="Times New Roman" w:hAnsi="Times New Roman" w:eastAsia="宋体"/>
          <w:sz w:val="24"/>
        </w:rPr>
        <w:t xml:space="preserve"> → </w:t>
      </w:r>
      <w:r>
        <w:rPr>
          <w:rFonts w:hint="eastAsia" w:ascii="Times New Roman" w:hAnsi="Times New Roman" w:eastAsia="宋体"/>
          <w:sz w:val="24"/>
        </w:rPr>
        <w:t>风险信号识别</w:t>
      </w:r>
      <w:r>
        <w:rPr>
          <w:rFonts w:ascii="Times New Roman" w:hAnsi="Times New Roman" w:eastAsia="宋体"/>
          <w:sz w:val="24"/>
        </w:rPr>
        <w:t xml:space="preserve"> → </w:t>
      </w:r>
      <w:r>
        <w:rPr>
          <w:rFonts w:hint="eastAsia" w:ascii="Times New Roman" w:hAnsi="Times New Roman" w:eastAsia="宋体"/>
          <w:sz w:val="24"/>
        </w:rPr>
        <w:t>证据链标注</w:t>
      </w:r>
      <w:r>
        <w:rPr>
          <w:rFonts w:ascii="Times New Roman" w:hAnsi="Times New Roman" w:eastAsia="宋体"/>
          <w:sz w:val="24"/>
        </w:rPr>
        <w:t xml:space="preserve"> → </w:t>
      </w:r>
      <w:r>
        <w:rPr>
          <w:rFonts w:hint="eastAsia" w:ascii="Times New Roman" w:hAnsi="Times New Roman" w:eastAsia="宋体"/>
          <w:sz w:val="24"/>
        </w:rPr>
        <w:t>五维评分一键完成）：</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00C17178">
        <w:tblPrEx>
          <w:tblCellMar>
            <w:top w:w="0" w:type="dxa"/>
            <w:left w:w="108" w:type="dxa"/>
            <w:bottom w:w="0" w:type="dxa"/>
            <w:right w:w="108" w:type="dxa"/>
          </w:tblCellMar>
        </w:tblPrEx>
        <w:trPr>
          <w:cantSplit/>
          <w:tblHeader/>
        </w:trPr>
        <w:tc>
          <w:p w14:paraId="6462618F">
            <w:pPr>
              <w:pStyle w:val="26"/>
              <w:spacing w:before="20" w:after="20" w:line="276" w:lineRule="auto"/>
            </w:pPr>
            <w:r>
              <w:rPr>
                <w:rFonts w:hint="eastAsia" w:ascii="Times New Roman" w:hAnsi="Times New Roman" w:eastAsia="宋体"/>
                <w:b/>
                <w:bCs/>
                <w:sz w:val="20"/>
              </w:rPr>
              <w:t>模块</w:t>
            </w:r>
          </w:p>
        </w:tc>
        <w:tc>
          <w:p w14:paraId="4A483C2D">
            <w:pPr>
              <w:pStyle w:val="26"/>
              <w:spacing w:before="20" w:after="20" w:line="276" w:lineRule="auto"/>
            </w:pPr>
            <w:r>
              <w:rPr>
                <w:rFonts w:hint="eastAsia" w:ascii="Times New Roman" w:hAnsi="Times New Roman" w:eastAsia="宋体"/>
                <w:b/>
                <w:bCs/>
                <w:sz w:val="20"/>
              </w:rPr>
              <w:t>功能</w:t>
            </w:r>
          </w:p>
        </w:tc>
        <w:tc>
          <w:p w14:paraId="3FFBC276">
            <w:pPr>
              <w:pStyle w:val="26"/>
              <w:spacing w:before="20" w:after="20" w:line="276" w:lineRule="auto"/>
            </w:pPr>
            <w:r>
              <w:rPr>
                <w:rFonts w:hint="eastAsia" w:ascii="Times New Roman" w:hAnsi="Times New Roman" w:eastAsia="宋体"/>
                <w:b/>
                <w:bCs/>
                <w:sz w:val="20"/>
              </w:rPr>
              <w:t>对应方法论</w:t>
            </w:r>
          </w:p>
        </w:tc>
      </w:tr>
      <w:tr w14:paraId="2D303C2F">
        <w:tblPrEx>
          <w:tblCellMar>
            <w:top w:w="0" w:type="dxa"/>
            <w:left w:w="108" w:type="dxa"/>
            <w:bottom w:w="0" w:type="dxa"/>
            <w:right w:w="108" w:type="dxa"/>
          </w:tblCellMar>
        </w:tblPrEx>
        <w:trPr>
          <w:cantSplit/>
        </w:trPr>
        <w:tc>
          <w:p w14:paraId="10AACE5D">
            <w:pPr>
              <w:pStyle w:val="26"/>
              <w:spacing w:before="20" w:after="20" w:line="276" w:lineRule="auto"/>
            </w:pPr>
            <w:r>
              <w:rPr>
                <w:rFonts w:hint="eastAsia" w:ascii="Times New Roman" w:hAnsi="Times New Roman" w:eastAsia="宋体"/>
                <w:sz w:val="20"/>
              </w:rPr>
              <w:t>案例库</w:t>
            </w:r>
          </w:p>
        </w:tc>
        <w:tc>
          <w:p w14:paraId="452378E8">
            <w:pPr>
              <w:pStyle w:val="26"/>
              <w:spacing w:before="20" w:after="20" w:line="276" w:lineRule="auto"/>
            </w:pPr>
            <w:r>
              <w:rPr>
                <w:rFonts w:hint="eastAsia" w:ascii="Times New Roman" w:hAnsi="Times New Roman" w:eastAsia="宋体"/>
                <w:sz w:val="20"/>
              </w:rPr>
              <w:t>内置已标注公司的完整案例：综合评分、五维雷达图、风险信号列表（含证据链）</w:t>
            </w:r>
          </w:p>
        </w:tc>
        <w:tc>
          <w:p w14:paraId="2F221A52">
            <w:pPr>
              <w:pStyle w:val="26"/>
              <w:spacing w:before="20" w:after="20" w:line="276" w:lineRule="auto"/>
            </w:pPr>
            <w:r>
              <w:rPr>
                <w:rFonts w:hint="eastAsia" w:ascii="Times New Roman" w:hAnsi="Times New Roman" w:eastAsia="宋体"/>
                <w:sz w:val="20"/>
              </w:rPr>
              <w:t>证据链标注体系的可视化呈现</w:t>
            </w:r>
          </w:p>
        </w:tc>
      </w:tr>
      <w:tr w14:paraId="2569B295">
        <w:tblPrEx>
          <w:tblCellMar>
            <w:top w:w="0" w:type="dxa"/>
            <w:left w:w="108" w:type="dxa"/>
            <w:bottom w:w="0" w:type="dxa"/>
            <w:right w:w="108" w:type="dxa"/>
          </w:tblCellMar>
        </w:tblPrEx>
        <w:trPr>
          <w:cantSplit/>
        </w:trPr>
        <w:tc>
          <w:p w14:paraId="1F4DD313">
            <w:pPr>
              <w:pStyle w:val="26"/>
              <w:spacing w:before="20" w:after="20" w:line="276" w:lineRule="auto"/>
            </w:pPr>
            <w:r>
              <w:rPr>
                <w:rFonts w:hint="eastAsia" w:ascii="Times New Roman" w:hAnsi="Times New Roman" w:eastAsia="宋体"/>
                <w:sz w:val="20"/>
              </w:rPr>
              <w:t>评分展示</w:t>
            </w:r>
          </w:p>
        </w:tc>
        <w:tc>
          <w:p w14:paraId="33B29170">
            <w:pPr>
              <w:pStyle w:val="26"/>
              <w:spacing w:before="20" w:after="20" w:line="276" w:lineRule="auto"/>
            </w:pPr>
            <w:r>
              <w:rPr>
                <w:rFonts w:hint="eastAsia" w:ascii="Times New Roman" w:hAnsi="Times New Roman" w:eastAsia="宋体"/>
                <w:sz w:val="20"/>
              </w:rPr>
              <w:t>直接展示标注库中各公司的综合评分与风险等级（数据源自</w:t>
            </w:r>
            <w:r>
              <w:rPr>
                <w:rFonts w:ascii="Times New Roman" w:hAnsi="Times New Roman" w:eastAsia="宋体"/>
                <w:sz w:val="20"/>
              </w:rPr>
              <w:t xml:space="preserve"> 30 </w:t>
            </w:r>
            <w:r>
              <w:rPr>
                <w:rFonts w:hint="eastAsia" w:ascii="Times New Roman" w:hAnsi="Times New Roman" w:eastAsia="宋体"/>
                <w:sz w:val="20"/>
              </w:rPr>
              <w:t>份</w:t>
            </w:r>
            <w:r>
              <w:rPr>
                <w:rFonts w:ascii="Times New Roman" w:hAnsi="Times New Roman" w:eastAsia="宋体"/>
                <w:sz w:val="20"/>
              </w:rPr>
              <w:t xml:space="preserve"> confirmed </w:t>
            </w:r>
            <w:r>
              <w:rPr>
                <w:rFonts w:hint="eastAsia" w:ascii="Times New Roman" w:hAnsi="Times New Roman" w:eastAsia="宋体"/>
                <w:sz w:val="20"/>
              </w:rPr>
              <w:t>JSON）</w:t>
            </w:r>
          </w:p>
        </w:tc>
        <w:tc>
          <w:p w14:paraId="10EDC8A4">
            <w:pPr>
              <w:pStyle w:val="26"/>
              <w:spacing w:before="20" w:after="20" w:line="276" w:lineRule="auto"/>
            </w:pPr>
            <w:r>
              <w:rPr>
                <w:rFonts w:ascii="Times New Roman" w:hAnsi="Times New Roman" w:eastAsia="宋体"/>
                <w:sz w:val="20"/>
              </w:rPr>
              <w:t xml:space="preserve">5D-DRS </w:t>
            </w:r>
            <w:r>
              <w:rPr>
                <w:rFonts w:hint="eastAsia" w:ascii="Times New Roman" w:hAnsi="Times New Roman" w:eastAsia="宋体"/>
                <w:sz w:val="20"/>
              </w:rPr>
              <w:t>评分结果可视化</w:t>
            </w:r>
          </w:p>
        </w:tc>
      </w:tr>
      <w:tr w14:paraId="26623A44">
        <w:tblPrEx>
          <w:tblCellMar>
            <w:top w:w="0" w:type="dxa"/>
            <w:left w:w="108" w:type="dxa"/>
            <w:bottom w:w="0" w:type="dxa"/>
            <w:right w:w="108" w:type="dxa"/>
          </w:tblCellMar>
        </w:tblPrEx>
        <w:trPr>
          <w:cantSplit/>
        </w:trPr>
        <w:tc>
          <w:p w14:paraId="58013FBE">
            <w:pPr>
              <w:pStyle w:val="26"/>
              <w:spacing w:before="20" w:after="20" w:line="276" w:lineRule="auto"/>
            </w:pPr>
            <w:r>
              <w:rPr>
                <w:rFonts w:hint="eastAsia" w:ascii="Times New Roman" w:hAnsi="Times New Roman" w:eastAsia="宋体"/>
                <w:sz w:val="20"/>
              </w:rPr>
              <w:t>风险信号展示</w:t>
            </w:r>
          </w:p>
        </w:tc>
        <w:tc>
          <w:p w14:paraId="2A9BDAF0">
            <w:pPr>
              <w:pStyle w:val="26"/>
              <w:spacing w:before="20" w:after="20" w:line="276" w:lineRule="auto"/>
            </w:pPr>
            <w:r>
              <w:rPr>
                <w:rFonts w:hint="eastAsia" w:ascii="Times New Roman" w:hAnsi="Times New Roman" w:eastAsia="宋体"/>
                <w:sz w:val="20"/>
              </w:rPr>
              <w:t>逐条展示信号的严重度分级与原文证据</w:t>
            </w:r>
          </w:p>
        </w:tc>
        <w:tc>
          <w:p w14:paraId="1BC933BF">
            <w:pPr>
              <w:pStyle w:val="26"/>
              <w:spacing w:before="20" w:after="20" w:line="276" w:lineRule="auto"/>
            </w:pPr>
            <w:r>
              <w:rPr>
                <w:rFonts w:hint="eastAsia" w:ascii="Times New Roman" w:hAnsi="Times New Roman" w:eastAsia="宋体"/>
                <w:sz w:val="20"/>
              </w:rPr>
              <w:t>四列证据链</w:t>
            </w:r>
          </w:p>
        </w:tc>
      </w:tr>
      <w:tr w14:paraId="11F30A34">
        <w:tblPrEx>
          <w:tblCellMar>
            <w:top w:w="0" w:type="dxa"/>
            <w:left w:w="108" w:type="dxa"/>
            <w:bottom w:w="0" w:type="dxa"/>
            <w:right w:w="108" w:type="dxa"/>
          </w:tblCellMar>
        </w:tblPrEx>
        <w:trPr>
          <w:cantSplit/>
        </w:trPr>
        <w:tc>
          <w:p w14:paraId="5D561C8D">
            <w:pPr>
              <w:pStyle w:val="26"/>
              <w:spacing w:before="20" w:after="20" w:line="276" w:lineRule="auto"/>
            </w:pPr>
            <w:r>
              <w:rPr>
                <w:rFonts w:hint="eastAsia" w:ascii="Times New Roman" w:hAnsi="Times New Roman" w:eastAsia="宋体"/>
                <w:b/>
                <w:bCs/>
                <w:sz w:val="20"/>
              </w:rPr>
              <w:t>实时评分（P6）</w:t>
            </w:r>
          </w:p>
        </w:tc>
        <w:tc>
          <w:p w14:paraId="312C430B">
            <w:pPr>
              <w:pStyle w:val="26"/>
              <w:spacing w:before="20" w:after="20" w:line="276" w:lineRule="auto"/>
            </w:pPr>
            <w:r>
              <w:rPr>
                <w:rFonts w:hint="eastAsia" w:ascii="Times New Roman" w:hAnsi="Times New Roman" w:eastAsia="宋体"/>
                <w:sz w:val="20"/>
              </w:rPr>
              <w:t>输入财务指标</w:t>
            </w:r>
            <w:r>
              <w:rPr>
                <w:rFonts w:ascii="Times New Roman" w:hAnsi="Times New Roman" w:eastAsia="宋体"/>
                <w:sz w:val="20"/>
              </w:rPr>
              <w:t xml:space="preserve"> → XGBoost </w:t>
            </w:r>
            <w:r>
              <w:rPr>
                <w:rFonts w:hint="eastAsia" w:ascii="Times New Roman" w:hAnsi="Times New Roman" w:eastAsia="宋体"/>
                <w:sz w:val="20"/>
              </w:rPr>
              <w:t>模型</w:t>
            </w:r>
            <w:r>
              <w:rPr>
                <w:rFonts w:hint="eastAsia" w:ascii="Times New Roman" w:hAnsi="Times New Roman" w:eastAsia="宋体"/>
                <w:b/>
                <w:bCs/>
                <w:sz w:val="20"/>
              </w:rPr>
              <w:t>实时输出</w:t>
            </w:r>
            <w:r>
              <w:rPr>
                <w:rFonts w:hint="eastAsia" w:ascii="Times New Roman" w:hAnsi="Times New Roman" w:eastAsia="宋体"/>
                <w:sz w:val="20"/>
              </w:rPr>
              <w:t>综合评分、风险等级与</w:t>
            </w:r>
            <w:r>
              <w:rPr>
                <w:rFonts w:ascii="Times New Roman" w:hAnsi="Times New Roman" w:eastAsia="宋体"/>
                <w:sz w:val="20"/>
              </w:rPr>
              <w:t xml:space="preserve"> SHAP </w:t>
            </w:r>
            <w:r>
              <w:rPr>
                <w:rFonts w:hint="eastAsia" w:ascii="Times New Roman" w:hAnsi="Times New Roman" w:eastAsia="宋体"/>
                <w:sz w:val="20"/>
              </w:rPr>
              <w:t>驱动因素解释；支持样本公司预填与自定义指标两种模式，缺失指标自动处理；同源</w:t>
            </w:r>
            <w:r>
              <w:rPr>
                <w:rFonts w:ascii="Times New Roman" w:hAnsi="Times New Roman" w:eastAsia="宋体"/>
                <w:sz w:val="20"/>
              </w:rPr>
              <w:t xml:space="preserve"> FastAPI </w:t>
            </w:r>
            <w:r>
              <w:rPr>
                <w:rFonts w:hint="eastAsia" w:ascii="Times New Roman" w:hAnsi="Times New Roman" w:eastAsia="宋体"/>
                <w:sz w:val="20"/>
              </w:rPr>
              <w:t>接口</w:t>
            </w:r>
            <w:r>
              <w:rPr>
                <w:rFonts w:ascii="Times New Roman" w:hAnsi="Times New Roman" w:eastAsia="宋体"/>
                <w:sz w:val="20"/>
              </w:rPr>
              <w:t xml:space="preserve"> POST /predict</w:t>
            </w:r>
          </w:p>
        </w:tc>
        <w:tc>
          <w:p w14:paraId="6127ADA8">
            <w:pPr>
              <w:pStyle w:val="26"/>
              <w:spacing w:before="20" w:after="20" w:line="276" w:lineRule="auto"/>
            </w:pPr>
            <w:r>
              <w:rPr>
                <w:rFonts w:hint="eastAsia" w:ascii="Times New Roman" w:hAnsi="Times New Roman" w:eastAsia="宋体"/>
                <w:sz w:val="20"/>
              </w:rPr>
              <w:t>机器学习验证层（附录</w:t>
            </w:r>
            <w:r>
              <w:rPr>
                <w:rFonts w:ascii="Times New Roman" w:hAnsi="Times New Roman" w:eastAsia="宋体"/>
                <w:sz w:val="20"/>
              </w:rPr>
              <w:t xml:space="preserve"> </w:t>
            </w:r>
            <w:r>
              <w:rPr>
                <w:rFonts w:hint="eastAsia" w:ascii="Times New Roman" w:hAnsi="Times New Roman" w:eastAsia="宋体"/>
                <w:sz w:val="20"/>
              </w:rPr>
              <w:t>F）的工程化落地</w:t>
            </w:r>
          </w:p>
        </w:tc>
      </w:tr>
    </w:tbl>
    <w:p w14:paraId="6974B372">
      <w:pPr>
        <w:pStyle w:val="3"/>
        <w:spacing w:before="40" w:after="40" w:line="360" w:lineRule="auto"/>
        <w:ind w:firstLine="480"/>
      </w:pPr>
      <w:r>
        <w:rPr>
          <w:rFonts w:hint="eastAsia" w:ascii="Times New Roman" w:hAnsi="Times New Roman" w:eastAsia="宋体"/>
          <w:sz w:val="24"/>
        </w:rPr>
        <w:t>系统的工程化迭代围绕“让 AI 看到与人工相同的信息”展开：检索层由六词矩阵升级为五级检索体系（见 3.3.1），候选段落从 9-17 个提升至 35-72 个，提示词 token 消耗下降约 40%；缓存持久化使单次测试迭代从 3-5 分钟缩短至 10-30 秒；评分锚点细化后，AI 评分与人工评分的差距来源已被逐项定位（见附录 A.5）。系统同时完成中美双市场适配：A 股 pipeline 与美股完全同构（巨潮资讯网年报 PDF 上传 → pdfplumber 文本提取 → 中文三级关键词矩阵 → DeepSeek 标注 → 三层噪声验真 → 规则引擎修正 → 五维评分），6 家 A 股公司 2022-2024 年共 18 份年报已入库备验；并建立财报文件防误删备份机制，保障答辩演示的可靠性。</w:t>
      </w:r>
    </w:p>
    <w:p w14:paraId="4592C67B">
      <w:pPr>
        <w:pStyle w:val="3"/>
        <w:spacing w:before="40" w:after="40" w:line="360" w:lineRule="auto"/>
        <w:ind w:firstLine="480"/>
      </w:pPr>
      <w:r>
        <w:rPr>
          <w:rFonts w:hint="eastAsia" w:ascii="Times New Roman" w:hAnsi="Times New Roman" w:eastAsia="宋体"/>
          <w:sz w:val="24"/>
        </w:rPr>
        <w:t>系统的竞赛价值：它支持评审现场亲手操作验证——选择一家公司，看评分、看雷达图、点开信号核对英文原文与行号；在</w:t>
      </w:r>
      <w:r>
        <w:rPr>
          <w:rFonts w:ascii="Times New Roman" w:hAnsi="Times New Roman" w:eastAsia="宋体"/>
          <w:sz w:val="24"/>
        </w:rPr>
        <w:t xml:space="preserve"> P6 </w:t>
      </w:r>
      <w:r>
        <w:rPr>
          <w:rFonts w:hint="eastAsia" w:ascii="Times New Roman" w:hAnsi="Times New Roman" w:eastAsia="宋体"/>
          <w:sz w:val="24"/>
        </w:rPr>
        <w:t>页面录入指标，现场看模型推理与贡献解释。方法论因此从“报告里的描述”变成“可验证的工具”，直接回应赛题“代码、程序等需要自行验证，确保真实可靠、可验证”的要求。实时评分引擎为附录</w:t>
      </w:r>
      <w:r>
        <w:rPr>
          <w:rFonts w:ascii="Times New Roman" w:hAnsi="Times New Roman" w:eastAsia="宋体"/>
          <w:sz w:val="24"/>
        </w:rPr>
        <w:t xml:space="preserve"> F </w:t>
      </w:r>
      <w:r>
        <w:rPr>
          <w:rFonts w:hint="eastAsia" w:ascii="Times New Roman" w:hAnsi="Times New Roman" w:eastAsia="宋体"/>
          <w:sz w:val="24"/>
        </w:rPr>
        <w:t>同款</w:t>
      </w:r>
      <w:r>
        <w:rPr>
          <w:rFonts w:ascii="Times New Roman" w:hAnsi="Times New Roman" w:eastAsia="宋体"/>
          <w:sz w:val="24"/>
        </w:rPr>
        <w:t xml:space="preserve"> PoC </w:t>
      </w:r>
      <w:r>
        <w:rPr>
          <w:rFonts w:hint="eastAsia" w:ascii="Times New Roman" w:hAnsi="Times New Roman" w:eastAsia="宋体"/>
          <w:sz w:val="24"/>
        </w:rPr>
        <w:t>模型（30</w:t>
      </w:r>
      <w:r>
        <w:rPr>
          <w:rFonts w:ascii="Times New Roman" w:hAnsi="Times New Roman" w:eastAsia="宋体"/>
          <w:sz w:val="24"/>
        </w:rPr>
        <w:t xml:space="preserve"> </w:t>
      </w:r>
      <w:r>
        <w:rPr>
          <w:rFonts w:hint="eastAsia" w:ascii="Times New Roman" w:hAnsi="Times New Roman" w:eastAsia="宋体"/>
          <w:sz w:val="24"/>
        </w:rPr>
        <w:t>样本、55</w:t>
      </w:r>
      <w:r>
        <w:rPr>
          <w:rFonts w:ascii="Times New Roman" w:hAnsi="Times New Roman" w:eastAsia="宋体"/>
          <w:sz w:val="24"/>
        </w:rPr>
        <w:t xml:space="preserve"> </w:t>
      </w:r>
      <w:r>
        <w:rPr>
          <w:rFonts w:hint="eastAsia" w:ascii="Times New Roman" w:hAnsi="Times New Roman" w:eastAsia="宋体"/>
          <w:sz w:val="24"/>
        </w:rPr>
        <w:t>特征），全部输出均附“不构成预测能力声明”的免责标注。</w:t>
      </w:r>
    </w:p>
    <w:bookmarkEnd w:id="110"/>
    <w:p w14:paraId="6EF5E58A">
      <w:pPr>
        <w:pStyle w:val="4"/>
        <w:spacing w:before="320" w:after="160" w:line="360" w:lineRule="auto"/>
      </w:pPr>
      <w:bookmarkStart w:id="111" w:name="_Toc6898"/>
      <w:bookmarkStart w:id="112" w:name="管得住过程预警规则体系与滚动复核机制"/>
      <w:r>
        <w:rPr>
          <w:rFonts w:ascii="Times New Roman" w:hAnsi="Times New Roman" w:eastAsia="黑体"/>
          <w:b/>
          <w:color w:val="003366"/>
          <w:sz w:val="28"/>
        </w:rPr>
        <w:t xml:space="preserve">5.3 </w:t>
      </w:r>
      <w:r>
        <w:rPr>
          <w:rFonts w:hint="eastAsia" w:ascii="Times New Roman" w:hAnsi="Times New Roman" w:eastAsia="黑体"/>
          <w:b/>
          <w:color w:val="003366"/>
          <w:sz w:val="28"/>
        </w:rPr>
        <w:t>管得住过程：预警规则体系与滚动复核机制</w:t>
      </w:r>
      <w:bookmarkEnd w:id="111"/>
    </w:p>
    <w:p w14:paraId="44207180">
      <w:pPr>
        <w:pStyle w:val="5"/>
        <w:spacing w:before="240" w:after="120" w:line="360" w:lineRule="auto"/>
      </w:pPr>
      <w:bookmarkStart w:id="113" w:name="四条量化预警规则由第四章实证发现反推"/>
      <w:r>
        <w:rPr>
          <w:rFonts w:ascii="Times New Roman" w:hAnsi="Times New Roman" w:eastAsia="黑体"/>
          <w:b/>
          <w:color w:val="003366"/>
          <w:sz w:val="24"/>
        </w:rPr>
        <w:t xml:space="preserve">5.3.1 </w:t>
      </w:r>
      <w:r>
        <w:rPr>
          <w:rFonts w:hint="eastAsia" w:ascii="Times New Roman" w:hAnsi="Times New Roman" w:eastAsia="黑体"/>
          <w:b/>
          <w:color w:val="003366"/>
          <w:sz w:val="24"/>
        </w:rPr>
        <w:t>四条量化预警规则（由第四章实证发现反推）</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6F173188">
        <w:tblPrEx>
          <w:tblCellMar>
            <w:top w:w="0" w:type="dxa"/>
            <w:left w:w="108" w:type="dxa"/>
            <w:bottom w:w="0" w:type="dxa"/>
            <w:right w:w="108" w:type="dxa"/>
          </w:tblCellMar>
        </w:tblPrEx>
        <w:trPr>
          <w:cantSplit/>
          <w:tblHeader/>
        </w:trPr>
        <w:tc>
          <w:p w14:paraId="74D3EEAC">
            <w:pPr>
              <w:pStyle w:val="26"/>
              <w:spacing w:before="20" w:after="20" w:line="276" w:lineRule="auto"/>
            </w:pPr>
            <w:r>
              <w:rPr>
                <w:rFonts w:hint="eastAsia" w:ascii="Times New Roman" w:hAnsi="Times New Roman" w:eastAsia="宋体"/>
                <w:b/>
                <w:bCs/>
                <w:sz w:val="20"/>
              </w:rPr>
              <w:t>规则</w:t>
            </w:r>
          </w:p>
        </w:tc>
        <w:tc>
          <w:p w14:paraId="4479BBAD">
            <w:pPr>
              <w:pStyle w:val="26"/>
              <w:spacing w:before="20" w:after="20" w:line="276" w:lineRule="auto"/>
            </w:pPr>
            <w:r>
              <w:rPr>
                <w:rFonts w:hint="eastAsia" w:ascii="Times New Roman" w:hAnsi="Times New Roman" w:eastAsia="宋体"/>
                <w:b/>
                <w:bCs/>
                <w:sz w:val="20"/>
              </w:rPr>
              <w:t>监测指标</w:t>
            </w:r>
          </w:p>
        </w:tc>
        <w:tc>
          <w:p w14:paraId="67E9720F">
            <w:pPr>
              <w:pStyle w:val="26"/>
              <w:spacing w:before="20" w:after="20" w:line="276" w:lineRule="auto"/>
            </w:pPr>
            <w:r>
              <w:rPr>
                <w:rFonts w:hint="eastAsia" w:ascii="Times New Roman" w:hAnsi="Times New Roman" w:eastAsia="宋体"/>
                <w:b/>
                <w:bCs/>
                <w:sz w:val="20"/>
              </w:rPr>
              <w:t>预警阈值</w:t>
            </w:r>
          </w:p>
        </w:tc>
        <w:tc>
          <w:p w14:paraId="05A30C27">
            <w:pPr>
              <w:pStyle w:val="26"/>
              <w:spacing w:before="20" w:after="20" w:line="276" w:lineRule="auto"/>
            </w:pPr>
            <w:r>
              <w:rPr>
                <w:rFonts w:hint="eastAsia" w:ascii="Times New Roman" w:hAnsi="Times New Roman" w:eastAsia="宋体"/>
                <w:b/>
                <w:bCs/>
                <w:sz w:val="20"/>
              </w:rPr>
              <w:t>实证依据</w:t>
            </w:r>
          </w:p>
        </w:tc>
      </w:tr>
      <w:tr w14:paraId="4B5C4F8D">
        <w:tblPrEx>
          <w:tblCellMar>
            <w:top w:w="0" w:type="dxa"/>
            <w:left w:w="108" w:type="dxa"/>
            <w:bottom w:w="0" w:type="dxa"/>
            <w:right w:w="108" w:type="dxa"/>
          </w:tblCellMar>
        </w:tblPrEx>
        <w:trPr>
          <w:cantSplit/>
        </w:trPr>
        <w:tc>
          <w:p w14:paraId="04B3A7B5">
            <w:pPr>
              <w:pStyle w:val="26"/>
              <w:spacing w:before="20" w:after="20" w:line="276" w:lineRule="auto"/>
            </w:pPr>
            <w:r>
              <w:rPr>
                <w:rFonts w:ascii="Times New Roman" w:hAnsi="Times New Roman" w:eastAsia="宋体"/>
                <w:b/>
                <w:bCs/>
                <w:sz w:val="20"/>
              </w:rPr>
              <w:t xml:space="preserve">R1 </w:t>
            </w:r>
            <w:r>
              <w:rPr>
                <w:rFonts w:hint="eastAsia" w:ascii="Times New Roman" w:hAnsi="Times New Roman" w:eastAsia="宋体"/>
                <w:b/>
                <w:bCs/>
                <w:sz w:val="20"/>
              </w:rPr>
              <w:t>折旧指纹规则</w:t>
            </w:r>
          </w:p>
        </w:tc>
        <w:tc>
          <w:p w14:paraId="5A011E2D">
            <w:pPr>
              <w:pStyle w:val="26"/>
              <w:spacing w:before="20" w:after="20" w:line="276" w:lineRule="auto"/>
            </w:pPr>
            <w:r>
              <w:rPr>
                <w:rFonts w:hint="eastAsia" w:ascii="Times New Roman" w:hAnsi="Times New Roman" w:eastAsia="宋体"/>
                <w:sz w:val="20"/>
              </w:rPr>
              <w:t>净</w:t>
            </w:r>
            <w:r>
              <w:rPr>
                <w:rFonts w:ascii="Times New Roman" w:hAnsi="Times New Roman" w:eastAsia="宋体"/>
                <w:sz w:val="20"/>
              </w:rPr>
              <w:t xml:space="preserve"> PP&amp;E </w:t>
            </w:r>
            <w:r>
              <w:rPr>
                <w:rFonts w:hint="eastAsia" w:ascii="Times New Roman" w:hAnsi="Times New Roman" w:eastAsia="宋体"/>
                <w:sz w:val="20"/>
              </w:rPr>
              <w:t>增速</w:t>
            </w:r>
            <w:r>
              <w:rPr>
                <w:rFonts w:ascii="Times New Roman" w:hAnsi="Times New Roman" w:eastAsia="宋体"/>
                <w:sz w:val="20"/>
              </w:rPr>
              <w:t xml:space="preserve"> vs </w:t>
            </w:r>
            <w:r>
              <w:rPr>
                <w:rFonts w:hint="eastAsia" w:ascii="Times New Roman" w:hAnsi="Times New Roman" w:eastAsia="宋体"/>
                <w:sz w:val="20"/>
              </w:rPr>
              <w:t>折旧费用增速</w:t>
            </w:r>
          </w:p>
        </w:tc>
        <w:tc>
          <w:p w14:paraId="20725404">
            <w:pPr>
              <w:pStyle w:val="26"/>
              <w:spacing w:before="20" w:after="20" w:line="276" w:lineRule="auto"/>
            </w:pPr>
            <w:r>
              <w:rPr>
                <w:rFonts w:hint="eastAsia" w:ascii="Times New Roman" w:hAnsi="Times New Roman" w:eastAsia="宋体"/>
                <w:sz w:val="20"/>
              </w:rPr>
              <w:t>需同时满足：（1）PP&amp;E</w:t>
            </w:r>
            <w:r>
              <w:rPr>
                <w:rFonts w:ascii="Times New Roman" w:hAnsi="Times New Roman" w:eastAsia="宋体"/>
                <w:sz w:val="20"/>
              </w:rPr>
              <w:t xml:space="preserve"> </w:t>
            </w:r>
            <w:r>
              <w:rPr>
                <w:rFonts w:hint="eastAsia" w:ascii="Times New Roman" w:hAnsi="Times New Roman" w:eastAsia="宋体"/>
                <w:sz w:val="20"/>
              </w:rPr>
              <w:t>同比增长</w:t>
            </w:r>
            <w:r>
              <w:rPr>
                <w:rFonts w:ascii="Times New Roman" w:hAnsi="Times New Roman" w:eastAsia="宋体"/>
                <w:sz w:val="20"/>
              </w:rPr>
              <w:t xml:space="preserve"> </w:t>
            </w:r>
            <w:r>
              <w:rPr>
                <w:rFonts w:hint="eastAsia" w:ascii="Times New Roman" w:hAnsi="Times New Roman" w:eastAsia="宋体"/>
                <w:sz w:val="20"/>
              </w:rPr>
              <w:t>≥15%；（2）折旧费用同比下降或增速低于</w:t>
            </w:r>
            <w:r>
              <w:rPr>
                <w:rFonts w:ascii="Times New Roman" w:hAnsi="Times New Roman" w:eastAsia="宋体"/>
                <w:sz w:val="20"/>
              </w:rPr>
              <w:t xml:space="preserve"> PP&amp;E </w:t>
            </w:r>
            <w:r>
              <w:rPr>
                <w:rFonts w:hint="eastAsia" w:ascii="Times New Roman" w:hAnsi="Times New Roman" w:eastAsia="宋体"/>
                <w:sz w:val="20"/>
              </w:rPr>
              <w:t>增速</w:t>
            </w:r>
            <w:r>
              <w:rPr>
                <w:rFonts w:ascii="Times New Roman" w:hAnsi="Times New Roman" w:eastAsia="宋体"/>
                <w:sz w:val="20"/>
              </w:rPr>
              <w:t xml:space="preserve"> 10 </w:t>
            </w:r>
            <w:r>
              <w:rPr>
                <w:rFonts w:hint="eastAsia" w:ascii="Times New Roman" w:hAnsi="Times New Roman" w:eastAsia="宋体"/>
                <w:sz w:val="20"/>
              </w:rPr>
              <w:t>个百分点以上；（3）当年下半年</w:t>
            </w:r>
            <w:r>
              <w:rPr>
                <w:rFonts w:ascii="Times New Roman" w:hAnsi="Times New Roman" w:eastAsia="宋体"/>
                <w:sz w:val="20"/>
              </w:rPr>
              <w:t xml:space="preserve"> CAPEX </w:t>
            </w:r>
            <w:r>
              <w:rPr>
                <w:rFonts w:hint="eastAsia" w:ascii="Times New Roman" w:hAnsi="Times New Roman" w:eastAsia="宋体"/>
                <w:sz w:val="20"/>
              </w:rPr>
              <w:t>占比</w:t>
            </w:r>
            <w:r>
              <w:rPr>
                <w:rFonts w:ascii="Times New Roman" w:hAnsi="Times New Roman" w:eastAsia="宋体"/>
                <w:sz w:val="20"/>
              </w:rPr>
              <w:t xml:space="preserve"> </w:t>
            </w:r>
            <w:r>
              <w:rPr>
                <w:rFonts w:hint="eastAsia" w:ascii="Times New Roman" w:hAnsi="Times New Roman" w:eastAsia="宋体"/>
                <w:sz w:val="20"/>
              </w:rPr>
              <w:t>&lt;60%（排除年末集中采购的时间效应）；（4）年报中未披露大规模资产处置或减值</w:t>
            </w:r>
          </w:p>
        </w:tc>
        <w:tc>
          <w:p w14:paraId="35950C2A">
            <w:pPr>
              <w:pStyle w:val="26"/>
              <w:spacing w:before="20" w:after="20" w:line="276" w:lineRule="auto"/>
            </w:pPr>
            <w:r>
              <w:rPr>
                <w:rFonts w:hint="eastAsia" w:ascii="Times New Roman" w:hAnsi="Times New Roman" w:eastAsia="宋体"/>
                <w:sz w:val="20"/>
              </w:rPr>
              <w:t>发现③：GOOGL</w:t>
            </w:r>
            <w:r>
              <w:rPr>
                <w:rFonts w:ascii="Times New Roman" w:hAnsi="Times New Roman" w:eastAsia="宋体"/>
                <w:sz w:val="20"/>
              </w:rPr>
              <w:t xml:space="preserve"> PP&amp;E </w:t>
            </w:r>
            <w:r>
              <w:rPr>
                <w:rFonts w:hint="eastAsia" w:ascii="Times New Roman" w:hAnsi="Times New Roman" w:eastAsia="宋体"/>
                <w:sz w:val="20"/>
              </w:rPr>
              <w:t>+19%/折旧</w:t>
            </w:r>
            <w:r>
              <w:rPr>
                <w:rFonts w:ascii="Times New Roman" w:hAnsi="Times New Roman" w:eastAsia="宋体"/>
                <w:sz w:val="20"/>
              </w:rPr>
              <w:t xml:space="preserve"> </w:t>
            </w:r>
            <w:r>
              <w:rPr>
                <w:rFonts w:hint="eastAsia" w:ascii="Times New Roman" w:hAnsi="Times New Roman" w:eastAsia="宋体"/>
                <w:sz w:val="20"/>
              </w:rPr>
              <w:t>-11.35%（$13,475M→$11,946M），且同期明确披露</w:t>
            </w:r>
            <w:r>
              <w:rPr>
                <w:rFonts w:ascii="Times New Roman" w:hAnsi="Times New Roman" w:eastAsia="宋体"/>
                <w:sz w:val="20"/>
              </w:rPr>
              <w:t xml:space="preserve"> 4→6 </w:t>
            </w:r>
            <w:r>
              <w:rPr>
                <w:rFonts w:hint="eastAsia" w:ascii="Times New Roman" w:hAnsi="Times New Roman" w:eastAsia="宋体"/>
                <w:sz w:val="20"/>
              </w:rPr>
              <w:t>年年限变更</w:t>
            </w:r>
          </w:p>
        </w:tc>
      </w:tr>
      <w:tr w14:paraId="3A5E2AA6">
        <w:tblPrEx>
          <w:tblCellMar>
            <w:top w:w="0" w:type="dxa"/>
            <w:left w:w="108" w:type="dxa"/>
            <w:bottom w:w="0" w:type="dxa"/>
            <w:right w:w="108" w:type="dxa"/>
          </w:tblCellMar>
        </w:tblPrEx>
        <w:trPr>
          <w:cantSplit/>
        </w:trPr>
        <w:tc>
          <w:p w14:paraId="54DF3885">
            <w:pPr>
              <w:pStyle w:val="26"/>
              <w:spacing w:before="20" w:after="20" w:line="276" w:lineRule="auto"/>
            </w:pPr>
            <w:r>
              <w:rPr>
                <w:rFonts w:ascii="Times New Roman" w:hAnsi="Times New Roman" w:eastAsia="宋体"/>
                <w:b/>
                <w:bCs/>
                <w:sz w:val="20"/>
              </w:rPr>
              <w:t xml:space="preserve">R2 </w:t>
            </w:r>
            <w:r>
              <w:rPr>
                <w:rFonts w:hint="eastAsia" w:ascii="Times New Roman" w:hAnsi="Times New Roman" w:eastAsia="宋体"/>
                <w:b/>
                <w:bCs/>
                <w:sz w:val="20"/>
              </w:rPr>
              <w:t>年限错配规则</w:t>
            </w:r>
          </w:p>
        </w:tc>
        <w:tc>
          <w:p w14:paraId="41186AED">
            <w:pPr>
              <w:pStyle w:val="26"/>
              <w:spacing w:before="20" w:after="20" w:line="276" w:lineRule="auto"/>
            </w:pPr>
            <w:r>
              <w:rPr>
                <w:rFonts w:hint="eastAsia" w:ascii="Times New Roman" w:hAnsi="Times New Roman" w:eastAsia="宋体"/>
                <w:sz w:val="20"/>
              </w:rPr>
              <w:t>披露折旧年限</w:t>
            </w:r>
            <w:r>
              <w:rPr>
                <w:rFonts w:ascii="Times New Roman" w:hAnsi="Times New Roman" w:eastAsia="宋体"/>
                <w:sz w:val="20"/>
              </w:rPr>
              <w:t xml:space="preserve"> vs </w:t>
            </w:r>
            <w:r>
              <w:rPr>
                <w:rFonts w:hint="eastAsia" w:ascii="Times New Roman" w:hAnsi="Times New Roman" w:eastAsia="宋体"/>
                <w:sz w:val="20"/>
              </w:rPr>
              <w:t>技术迭代周期</w:t>
            </w:r>
          </w:p>
        </w:tc>
        <w:tc>
          <w:p w14:paraId="3EB1B534">
            <w:pPr>
              <w:pStyle w:val="26"/>
              <w:spacing w:before="20" w:after="20" w:line="276" w:lineRule="auto"/>
            </w:pPr>
            <w:r>
              <w:rPr>
                <w:rFonts w:hint="eastAsia" w:ascii="Times New Roman" w:hAnsi="Times New Roman" w:eastAsia="宋体"/>
                <w:sz w:val="20"/>
              </w:rPr>
              <w:t>错配比</w:t>
            </w:r>
            <w:r>
              <w:rPr>
                <w:rFonts w:ascii="Times New Roman" w:hAnsi="Times New Roman" w:eastAsia="宋体"/>
                <w:sz w:val="20"/>
              </w:rPr>
              <w:t xml:space="preserve"> ≥2.5 </w:t>
            </w:r>
            <w:r>
              <w:rPr>
                <w:rFonts w:hint="eastAsia" w:ascii="Times New Roman" w:hAnsi="Times New Roman" w:eastAsia="宋体"/>
                <w:sz w:val="20"/>
              </w:rPr>
              <w:t>倍（如服务器年限</w:t>
            </w:r>
            <w:r>
              <w:rPr>
                <w:rFonts w:ascii="Times New Roman" w:hAnsi="Times New Roman" w:eastAsia="宋体"/>
                <w:sz w:val="20"/>
              </w:rPr>
              <w:t xml:space="preserve"> ≥4 </w:t>
            </w:r>
            <w:r>
              <w:rPr>
                <w:rFonts w:hint="eastAsia" w:ascii="Times New Roman" w:hAnsi="Times New Roman" w:eastAsia="宋体"/>
                <w:sz w:val="20"/>
              </w:rPr>
              <w:t>年</w:t>
            </w:r>
            <w:r>
              <w:rPr>
                <w:rFonts w:ascii="Times New Roman" w:hAnsi="Times New Roman" w:eastAsia="宋体"/>
                <w:sz w:val="20"/>
              </w:rPr>
              <w:t xml:space="preserve"> vs </w:t>
            </w:r>
            <w:r>
              <w:rPr>
                <w:rFonts w:hint="eastAsia" w:ascii="Times New Roman" w:hAnsi="Times New Roman" w:eastAsia="宋体"/>
                <w:sz w:val="20"/>
              </w:rPr>
              <w:t>迭代</w:t>
            </w:r>
            <w:r>
              <w:rPr>
                <w:rFonts w:ascii="Times New Roman" w:hAnsi="Times New Roman" w:eastAsia="宋体"/>
                <w:sz w:val="20"/>
              </w:rPr>
              <w:t xml:space="preserve"> 1-2 </w:t>
            </w:r>
            <w:r>
              <w:rPr>
                <w:rFonts w:hint="eastAsia" w:ascii="Times New Roman" w:hAnsi="Times New Roman" w:eastAsia="宋体"/>
                <w:sz w:val="20"/>
              </w:rPr>
              <w:t>年）</w:t>
            </w:r>
          </w:p>
        </w:tc>
        <w:tc>
          <w:p w14:paraId="41236500">
            <w:pPr>
              <w:pStyle w:val="26"/>
              <w:spacing w:before="20" w:after="20" w:line="276" w:lineRule="auto"/>
            </w:pPr>
            <w:r>
              <w:rPr>
                <w:rFonts w:hint="eastAsia" w:ascii="Times New Roman" w:hAnsi="Times New Roman" w:eastAsia="宋体"/>
                <w:sz w:val="20"/>
              </w:rPr>
              <w:t>发现②：变更后年限</w:t>
            </w:r>
            <w:r>
              <w:rPr>
                <w:rFonts w:ascii="Times New Roman" w:hAnsi="Times New Roman" w:eastAsia="宋体"/>
                <w:sz w:val="20"/>
              </w:rPr>
              <w:t xml:space="preserve"> 4-8 </w:t>
            </w:r>
            <w:r>
              <w:rPr>
                <w:rFonts w:hint="eastAsia" w:ascii="Times New Roman" w:hAnsi="Times New Roman" w:eastAsia="宋体"/>
                <w:sz w:val="20"/>
              </w:rPr>
              <w:t>年</w:t>
            </w:r>
          </w:p>
        </w:tc>
      </w:tr>
      <w:tr w14:paraId="67D65500">
        <w:tblPrEx>
          <w:tblCellMar>
            <w:top w:w="0" w:type="dxa"/>
            <w:left w:w="108" w:type="dxa"/>
            <w:bottom w:w="0" w:type="dxa"/>
            <w:right w:w="108" w:type="dxa"/>
          </w:tblCellMar>
        </w:tblPrEx>
        <w:trPr>
          <w:cantSplit/>
        </w:trPr>
        <w:tc>
          <w:p w14:paraId="51FB7F36">
            <w:pPr>
              <w:pStyle w:val="26"/>
              <w:spacing w:before="20" w:after="20" w:line="276" w:lineRule="auto"/>
            </w:pPr>
            <w:r>
              <w:rPr>
                <w:rFonts w:ascii="Times New Roman" w:hAnsi="Times New Roman" w:eastAsia="宋体"/>
                <w:b/>
                <w:bCs/>
                <w:sz w:val="20"/>
              </w:rPr>
              <w:t xml:space="preserve">R3 CAPEX </w:t>
            </w:r>
            <w:r>
              <w:rPr>
                <w:rFonts w:hint="eastAsia" w:ascii="Times New Roman" w:hAnsi="Times New Roman" w:eastAsia="宋体"/>
                <w:b/>
                <w:bCs/>
                <w:sz w:val="20"/>
              </w:rPr>
              <w:t>强度规则</w:t>
            </w:r>
          </w:p>
        </w:tc>
        <w:tc>
          <w:p w14:paraId="29BE2468">
            <w:pPr>
              <w:pStyle w:val="26"/>
              <w:spacing w:before="20" w:after="20" w:line="276" w:lineRule="auto"/>
            </w:pPr>
            <w:r>
              <w:rPr>
                <w:rFonts w:hint="eastAsia" w:ascii="Times New Roman" w:hAnsi="Times New Roman" w:eastAsia="宋体"/>
                <w:sz w:val="20"/>
              </w:rPr>
              <w:t>CAPEX/收入比</w:t>
            </w:r>
          </w:p>
        </w:tc>
        <w:tc>
          <w:p w14:paraId="34CEC34F">
            <w:pPr>
              <w:pStyle w:val="26"/>
              <w:spacing w:before="20" w:after="20" w:line="276" w:lineRule="auto"/>
            </w:pPr>
            <w:r>
              <w:rPr>
                <w:rFonts w:ascii="Times New Roman" w:hAnsi="Times New Roman" w:eastAsia="宋体"/>
                <w:sz w:val="20"/>
              </w:rPr>
              <w:t xml:space="preserve">≥15% </w:t>
            </w:r>
            <w:r>
              <w:rPr>
                <w:rFonts w:hint="eastAsia" w:ascii="Times New Roman" w:hAnsi="Times New Roman" w:eastAsia="宋体"/>
                <w:sz w:val="20"/>
              </w:rPr>
              <w:t>进入观察名单，≥25%</w:t>
            </w:r>
            <w:r>
              <w:rPr>
                <w:rFonts w:ascii="Times New Roman" w:hAnsi="Times New Roman" w:eastAsia="宋体"/>
                <w:sz w:val="20"/>
              </w:rPr>
              <w:t xml:space="preserve"> </w:t>
            </w:r>
            <w:r>
              <w:rPr>
                <w:rFonts w:hint="eastAsia" w:ascii="Times New Roman" w:hAnsi="Times New Roman" w:eastAsia="宋体"/>
                <w:sz w:val="20"/>
              </w:rPr>
              <w:t>列为高风险</w:t>
            </w:r>
          </w:p>
        </w:tc>
        <w:tc>
          <w:p w14:paraId="36CE8E0C">
            <w:pPr>
              <w:pStyle w:val="26"/>
              <w:spacing w:before="20" w:after="20" w:line="276" w:lineRule="auto"/>
            </w:pPr>
            <w:r>
              <w:rPr>
                <w:rFonts w:ascii="Times New Roman" w:hAnsi="Times New Roman" w:eastAsia="宋体"/>
                <w:sz w:val="20"/>
              </w:rPr>
              <w:t xml:space="preserve">D4 </w:t>
            </w:r>
            <w:r>
              <w:rPr>
                <w:rFonts w:hint="eastAsia" w:ascii="Times New Roman" w:hAnsi="Times New Roman" w:eastAsia="宋体"/>
                <w:sz w:val="20"/>
              </w:rPr>
              <w:t>锚点表；INTC</w:t>
            </w:r>
            <w:r>
              <w:rPr>
                <w:rFonts w:ascii="Times New Roman" w:hAnsi="Times New Roman" w:eastAsia="宋体"/>
                <w:sz w:val="20"/>
              </w:rPr>
              <w:t xml:space="preserve"> 47.5%、MU 49.4% </w:t>
            </w:r>
            <w:r>
              <w:rPr>
                <w:rFonts w:hint="eastAsia" w:ascii="Times New Roman" w:hAnsi="Times New Roman" w:eastAsia="宋体"/>
                <w:sz w:val="20"/>
              </w:rPr>
              <w:t>为极值样本</w:t>
            </w:r>
          </w:p>
        </w:tc>
      </w:tr>
      <w:tr w14:paraId="58581FC0">
        <w:tblPrEx>
          <w:tblCellMar>
            <w:top w:w="0" w:type="dxa"/>
            <w:left w:w="108" w:type="dxa"/>
            <w:bottom w:w="0" w:type="dxa"/>
            <w:right w:w="108" w:type="dxa"/>
          </w:tblCellMar>
        </w:tblPrEx>
        <w:trPr>
          <w:cantSplit/>
        </w:trPr>
        <w:tc>
          <w:p w14:paraId="4AA962CD">
            <w:pPr>
              <w:pStyle w:val="26"/>
              <w:spacing w:before="20" w:after="20" w:line="276" w:lineRule="auto"/>
            </w:pPr>
            <w:r>
              <w:rPr>
                <w:rFonts w:ascii="Times New Roman" w:hAnsi="Times New Roman" w:eastAsia="宋体"/>
                <w:b/>
                <w:bCs/>
                <w:sz w:val="20"/>
              </w:rPr>
              <w:t xml:space="preserve">R4 </w:t>
            </w:r>
            <w:r>
              <w:rPr>
                <w:rFonts w:hint="eastAsia" w:ascii="Times New Roman" w:hAnsi="Times New Roman" w:eastAsia="宋体"/>
                <w:b/>
                <w:bCs/>
                <w:sz w:val="20"/>
              </w:rPr>
              <w:t>估计变更规则</w:t>
            </w:r>
          </w:p>
        </w:tc>
        <w:tc>
          <w:p w14:paraId="4FF98EC4">
            <w:pPr>
              <w:pStyle w:val="26"/>
              <w:spacing w:before="20" w:after="20" w:line="276" w:lineRule="auto"/>
            </w:pPr>
            <w:r>
              <w:rPr>
                <w:rFonts w:hint="eastAsia" w:ascii="Times New Roman" w:hAnsi="Times New Roman" w:eastAsia="宋体"/>
                <w:sz w:val="20"/>
              </w:rPr>
              <w:t>年报中</w:t>
            </w:r>
            <w:r>
              <w:rPr>
                <w:rFonts w:ascii="Times New Roman" w:hAnsi="Times New Roman" w:eastAsia="宋体"/>
                <w:sz w:val="20"/>
              </w:rPr>
              <w:t xml:space="preserve"> useful life + prospectively </w:t>
            </w:r>
            <w:r>
              <w:rPr>
                <w:rFonts w:hint="eastAsia" w:ascii="Times New Roman" w:hAnsi="Times New Roman" w:eastAsia="宋体"/>
                <w:sz w:val="20"/>
              </w:rPr>
              <w:t>共现</w:t>
            </w:r>
            <w:r>
              <w:rPr>
                <w:rFonts w:ascii="Times New Roman" w:hAnsi="Times New Roman" w:eastAsia="宋体"/>
                <w:sz w:val="20"/>
              </w:rPr>
              <w:t xml:space="preserve"> + </w:t>
            </w:r>
            <w:r>
              <w:rPr>
                <w:rFonts w:hint="eastAsia" w:ascii="Times New Roman" w:hAnsi="Times New Roman" w:eastAsia="宋体"/>
                <w:sz w:val="20"/>
              </w:rPr>
              <w:t>变更方向</w:t>
            </w:r>
          </w:p>
        </w:tc>
        <w:tc>
          <w:p w14:paraId="05881F6D">
            <w:pPr>
              <w:pStyle w:val="26"/>
              <w:spacing w:before="20" w:after="20" w:line="276" w:lineRule="auto"/>
            </w:pPr>
            <w:r>
              <w:rPr>
                <w:rFonts w:hint="eastAsia" w:ascii="Times New Roman" w:hAnsi="Times New Roman" w:eastAsia="宋体"/>
                <w:sz w:val="20"/>
              </w:rPr>
              <w:t>任何“延长年限</w:t>
            </w:r>
            <w:r>
              <w:rPr>
                <w:rFonts w:ascii="Times New Roman" w:hAnsi="Times New Roman" w:eastAsia="宋体"/>
                <w:sz w:val="20"/>
              </w:rPr>
              <w:t xml:space="preserve"> + </w:t>
            </w:r>
            <w:r>
              <w:rPr>
                <w:rFonts w:hint="eastAsia" w:ascii="Times New Roman" w:hAnsi="Times New Roman" w:eastAsia="宋体"/>
                <w:sz w:val="20"/>
              </w:rPr>
              <w:t>未来适用”变更立即触发深度核查</w:t>
            </w:r>
          </w:p>
        </w:tc>
        <w:tc>
          <w:p w14:paraId="50626859">
            <w:pPr>
              <w:pStyle w:val="26"/>
              <w:spacing w:before="20" w:after="20" w:line="276" w:lineRule="auto"/>
            </w:pPr>
            <w:r>
              <w:rPr>
                <w:rFonts w:hint="eastAsia" w:ascii="Times New Roman" w:hAnsi="Times New Roman" w:eastAsia="宋体"/>
                <w:sz w:val="20"/>
              </w:rPr>
              <w:t>发现②：约</w:t>
            </w:r>
            <w:r>
              <w:rPr>
                <w:rFonts w:ascii="Times New Roman" w:hAnsi="Times New Roman" w:eastAsia="宋体"/>
                <w:sz w:val="20"/>
              </w:rPr>
              <w:t xml:space="preserve"> 12 </w:t>
            </w:r>
            <w:r>
              <w:rPr>
                <w:rFonts w:hint="eastAsia" w:ascii="Times New Roman" w:hAnsi="Times New Roman" w:eastAsia="宋体"/>
                <w:sz w:val="20"/>
              </w:rPr>
              <w:t>个月内</w:t>
            </w:r>
            <w:r>
              <w:rPr>
                <w:rFonts w:ascii="Times New Roman" w:hAnsi="Times New Roman" w:eastAsia="宋体"/>
                <w:sz w:val="20"/>
              </w:rPr>
              <w:t xml:space="preserve"> 6 </w:t>
            </w:r>
            <w:r>
              <w:rPr>
                <w:rFonts w:hint="eastAsia" w:ascii="Times New Roman" w:hAnsi="Times New Roman" w:eastAsia="宋体"/>
                <w:sz w:val="20"/>
              </w:rPr>
              <w:t>起同步变更</w:t>
            </w:r>
            <w:r>
              <w:rPr>
                <w:rFonts w:ascii="Times New Roman" w:hAnsi="Times New Roman" w:eastAsia="宋体"/>
                <w:sz w:val="20"/>
              </w:rPr>
              <w:t xml:space="preserve"> + </w:t>
            </w:r>
            <w:r>
              <w:rPr>
                <w:rFonts w:hint="eastAsia" w:ascii="Times New Roman" w:hAnsi="Times New Roman" w:eastAsia="宋体"/>
                <w:sz w:val="20"/>
              </w:rPr>
              <w:t>窗口后</w:t>
            </w:r>
            <w:r>
              <w:rPr>
                <w:rFonts w:ascii="Times New Roman" w:hAnsi="Times New Roman" w:eastAsia="宋体"/>
                <w:sz w:val="20"/>
              </w:rPr>
              <w:t xml:space="preserve"> 2 </w:t>
            </w:r>
            <w:r>
              <w:rPr>
                <w:rFonts w:hint="eastAsia" w:ascii="Times New Roman" w:hAnsi="Times New Roman" w:eastAsia="宋体"/>
                <w:sz w:val="20"/>
              </w:rPr>
              <w:t>起再次延长</w:t>
            </w:r>
          </w:p>
        </w:tc>
      </w:tr>
    </w:tbl>
    <w:p w14:paraId="01D779C9">
      <w:pPr>
        <w:pStyle w:val="3"/>
        <w:spacing w:before="40" w:after="40" w:line="360" w:lineRule="auto"/>
        <w:ind w:firstLine="480"/>
      </w:pPr>
      <w:r>
        <w:rPr>
          <w:rFonts w:hint="eastAsia" w:ascii="Times New Roman" w:hAnsi="Times New Roman" w:eastAsia="宋体"/>
          <w:sz w:val="24"/>
        </w:rPr>
        <w:t>四条规则构成“文本信号（R4）+</w:t>
      </w:r>
      <w:r>
        <w:rPr>
          <w:rFonts w:ascii="Times New Roman" w:hAnsi="Times New Roman" w:eastAsia="宋体"/>
          <w:sz w:val="24"/>
        </w:rPr>
        <w:t xml:space="preserve"> </w:t>
      </w:r>
      <w:r>
        <w:rPr>
          <w:rFonts w:hint="eastAsia" w:ascii="Times New Roman" w:hAnsi="Times New Roman" w:eastAsia="宋体"/>
          <w:sz w:val="24"/>
        </w:rPr>
        <w:t>财务指纹（R1/R2/R3）”的双通道监测：R4</w:t>
      </w:r>
      <w:r>
        <w:rPr>
          <w:rFonts w:ascii="Times New Roman" w:hAnsi="Times New Roman" w:eastAsia="宋体"/>
          <w:sz w:val="24"/>
        </w:rPr>
        <w:t xml:space="preserve"> </w:t>
      </w:r>
      <w:r>
        <w:rPr>
          <w:rFonts w:hint="eastAsia" w:ascii="Times New Roman" w:hAnsi="Times New Roman" w:eastAsia="宋体"/>
          <w:sz w:val="24"/>
        </w:rPr>
        <w:t>依赖</w:t>
      </w:r>
      <w:r>
        <w:rPr>
          <w:rFonts w:ascii="Times New Roman" w:hAnsi="Times New Roman" w:eastAsia="宋体"/>
          <w:sz w:val="24"/>
        </w:rPr>
        <w:t xml:space="preserve"> 10-K </w:t>
      </w:r>
      <w:r>
        <w:rPr>
          <w:rFonts w:hint="eastAsia" w:ascii="Times New Roman" w:hAnsi="Times New Roman" w:eastAsia="宋体"/>
          <w:sz w:val="24"/>
        </w:rPr>
        <w:t>文本挖掘，R1-R3</w:t>
      </w:r>
      <w:r>
        <w:rPr>
          <w:rFonts w:ascii="Times New Roman" w:hAnsi="Times New Roman" w:eastAsia="宋体"/>
          <w:sz w:val="24"/>
        </w:rPr>
        <w:t xml:space="preserve"> </w:t>
      </w:r>
      <w:r>
        <w:rPr>
          <w:rFonts w:hint="eastAsia" w:ascii="Times New Roman" w:hAnsi="Times New Roman" w:eastAsia="宋体"/>
          <w:sz w:val="24"/>
        </w:rPr>
        <w:t>可仅凭财务报表数据批量跑——这意味着即使不看附注，也能从财报主表数据初筛出需要深入核查的公司名单。</w:t>
      </w:r>
    </w:p>
    <w:p w14:paraId="4F51E04D">
      <w:pPr>
        <w:pStyle w:val="3"/>
        <w:spacing w:before="40" w:after="40" w:line="360" w:lineRule="auto"/>
        <w:ind w:firstLine="480"/>
      </w:pPr>
      <w:r>
        <w:rPr>
          <w:rFonts w:hint="eastAsia" w:ascii="Times New Roman" w:hAnsi="Times New Roman" w:eastAsia="宋体"/>
          <w:sz w:val="24"/>
        </w:rPr>
        <w:t>面板佐证：30</w:t>
      </w:r>
      <w:r>
        <w:rPr>
          <w:rFonts w:ascii="Times New Roman" w:hAnsi="Times New Roman" w:eastAsia="宋体"/>
          <w:sz w:val="24"/>
        </w:rPr>
        <w:t xml:space="preserve"> </w:t>
      </w:r>
      <w:r>
        <w:rPr>
          <w:rFonts w:hint="eastAsia" w:ascii="Times New Roman" w:hAnsi="Times New Roman" w:eastAsia="宋体"/>
          <w:sz w:val="24"/>
        </w:rPr>
        <w:t>个公司-年份观测中，8</w:t>
      </w:r>
      <w:r>
        <w:rPr>
          <w:rFonts w:ascii="Times New Roman" w:hAnsi="Times New Roman" w:eastAsia="宋体"/>
          <w:sz w:val="24"/>
        </w:rPr>
        <w:t xml:space="preserve"> </w:t>
      </w:r>
      <w:r>
        <w:rPr>
          <w:rFonts w:hint="eastAsia" w:ascii="Times New Roman" w:hAnsi="Times New Roman" w:eastAsia="宋体"/>
          <w:sz w:val="24"/>
        </w:rPr>
        <w:t>个折旧年限变更观测（life_extended_current_period=1）全部触发</w:t>
      </w:r>
      <w:r>
        <w:rPr>
          <w:rFonts w:ascii="Times New Roman" w:hAnsi="Times New Roman" w:eastAsia="宋体"/>
          <w:sz w:val="24"/>
        </w:rPr>
        <w:t xml:space="preserve"> </w:t>
      </w:r>
      <w:r>
        <w:rPr>
          <w:rFonts w:hint="eastAsia" w:ascii="Times New Roman" w:hAnsi="Times New Roman" w:eastAsia="宋体"/>
          <w:sz w:val="24"/>
        </w:rPr>
        <w:t>R4，且变更年评分均值</w:t>
      </w:r>
      <w:r>
        <w:rPr>
          <w:rFonts w:ascii="Times New Roman" w:hAnsi="Times New Roman" w:eastAsia="宋体"/>
          <w:sz w:val="24"/>
        </w:rPr>
        <w:t xml:space="preserve"> 4.25 </w:t>
      </w:r>
      <w:r>
        <w:rPr>
          <w:rFonts w:hint="eastAsia" w:ascii="Times New Roman" w:hAnsi="Times New Roman" w:eastAsia="宋体"/>
          <w:sz w:val="24"/>
        </w:rPr>
        <w:t>高于</w:t>
      </w:r>
      <w:r>
        <w:rPr>
          <w:rFonts w:ascii="Times New Roman" w:hAnsi="Times New Roman" w:eastAsia="宋体"/>
          <w:sz w:val="24"/>
        </w:rPr>
        <w:t xml:space="preserve"> 22 </w:t>
      </w:r>
      <w:r>
        <w:rPr>
          <w:rFonts w:hint="eastAsia" w:ascii="Times New Roman" w:hAnsi="Times New Roman" w:eastAsia="宋体"/>
          <w:sz w:val="24"/>
        </w:rPr>
        <w:t>个非变更年的</w:t>
      </w:r>
      <w:r>
        <w:rPr>
          <w:rFonts w:ascii="Times New Roman" w:hAnsi="Times New Roman" w:eastAsia="宋体"/>
          <w:sz w:val="24"/>
        </w:rPr>
        <w:t xml:space="preserve"> </w:t>
      </w:r>
      <w:r>
        <w:rPr>
          <w:rFonts w:hint="eastAsia" w:ascii="Times New Roman" w:hAnsi="Times New Roman" w:eastAsia="宋体"/>
          <w:sz w:val="24"/>
        </w:rPr>
        <w:t>3.43（差</w:t>
      </w:r>
      <w:r>
        <w:rPr>
          <w:rFonts w:ascii="Times New Roman" w:hAnsi="Times New Roman" w:eastAsia="宋体"/>
          <w:sz w:val="24"/>
        </w:rPr>
        <w:t xml:space="preserve"> 0.82 </w:t>
      </w:r>
      <w:r>
        <w:rPr>
          <w:rFonts w:hint="eastAsia" w:ascii="Times New Roman" w:hAnsi="Times New Roman" w:eastAsia="宋体"/>
          <w:sz w:val="24"/>
        </w:rPr>
        <w:t>分），呈现共现模式——R4</w:t>
      </w:r>
      <w:r>
        <w:rPr>
          <w:rFonts w:ascii="Times New Roman" w:hAnsi="Times New Roman" w:eastAsia="宋体"/>
          <w:sz w:val="24"/>
        </w:rPr>
        <w:t xml:space="preserve"> </w:t>
      </w:r>
      <w:r>
        <w:rPr>
          <w:rFonts w:hint="eastAsia" w:ascii="Times New Roman" w:hAnsi="Times New Roman" w:eastAsia="宋体"/>
          <w:sz w:val="24"/>
        </w:rPr>
        <w:t>在面板层面无漏报，且命中事件与高风险评分高度共现。</w:t>
      </w:r>
    </w:p>
    <w:bookmarkEnd w:id="113"/>
    <w:p w14:paraId="1B632AF6">
      <w:pPr>
        <w:pStyle w:val="5"/>
        <w:spacing w:before="240" w:after="120" w:line="360" w:lineRule="auto"/>
      </w:pPr>
      <w:bookmarkStart w:id="114" w:name="滚动复核机制"/>
      <w:r>
        <w:rPr>
          <w:rFonts w:ascii="Times New Roman" w:hAnsi="Times New Roman" w:eastAsia="黑体"/>
          <w:b/>
          <w:color w:val="003366"/>
          <w:sz w:val="24"/>
        </w:rPr>
        <w:t xml:space="preserve">5.3.2 </w:t>
      </w:r>
      <w:r>
        <w:rPr>
          <w:rFonts w:hint="eastAsia" w:ascii="Times New Roman" w:hAnsi="Times New Roman" w:eastAsia="黑体"/>
          <w:b/>
          <w:color w:val="003366"/>
          <w:sz w:val="24"/>
        </w:rPr>
        <w:t>滚动复核机制</w:t>
      </w:r>
    </w:p>
    <w:p w14:paraId="008DE8CF">
      <w:pPr>
        <w:pStyle w:val="25"/>
        <w:spacing w:before="40" w:after="40" w:line="360" w:lineRule="auto"/>
        <w:ind w:firstLine="480"/>
      </w:pPr>
      <w:r>
        <w:rPr>
          <w:rFonts w:hint="eastAsia" w:ascii="Times New Roman" w:hAnsi="Times New Roman" w:eastAsia="宋体"/>
          <w:sz w:val="24"/>
        </w:rPr>
        <w:t>年度滚动监测：每年</w:t>
      </w:r>
      <w:r>
        <w:rPr>
          <w:rFonts w:ascii="Times New Roman" w:hAnsi="Times New Roman" w:eastAsia="宋体"/>
          <w:sz w:val="24"/>
        </w:rPr>
        <w:t xml:space="preserve"> 10-K </w:t>
      </w:r>
      <w:r>
        <w:rPr>
          <w:rFonts w:hint="eastAsia" w:ascii="Times New Roman" w:hAnsi="Times New Roman" w:eastAsia="宋体"/>
          <w:sz w:val="24"/>
        </w:rPr>
        <w:t>披露季，对监测名单内公司批量执行</w:t>
      </w:r>
      <w:r>
        <w:rPr>
          <w:rFonts w:ascii="Times New Roman" w:hAnsi="Times New Roman" w:eastAsia="宋体"/>
          <w:sz w:val="24"/>
        </w:rPr>
        <w:t xml:space="preserve"> R1-R4 </w:t>
      </w:r>
      <w:r>
        <w:rPr>
          <w:rFonts w:hint="eastAsia" w:ascii="Times New Roman" w:hAnsi="Times New Roman" w:eastAsia="宋体"/>
          <w:sz w:val="24"/>
        </w:rPr>
        <w:t>初筛，命中者进入证据链标注流程；</w:t>
      </w:r>
    </w:p>
    <w:p w14:paraId="496ECE82">
      <w:pPr>
        <w:pStyle w:val="3"/>
        <w:spacing w:before="40" w:after="40" w:line="360" w:lineRule="auto"/>
        <w:ind w:firstLine="480"/>
      </w:pPr>
      <w:r>
        <w:rPr>
          <w:rFonts w:hint="eastAsia" w:ascii="Times New Roman" w:hAnsi="Times New Roman" w:eastAsia="宋体"/>
          <w:sz w:val="24"/>
        </w:rPr>
        <w:t>重点跟踪项（基于第四章结论）：ORCL</w:t>
      </w:r>
      <w:r>
        <w:rPr>
          <w:rFonts w:ascii="Times New Roman" w:hAnsi="Times New Roman" w:eastAsia="宋体"/>
          <w:sz w:val="24"/>
        </w:rPr>
        <w:t xml:space="preserve"> </w:t>
      </w:r>
      <w:r>
        <w:rPr>
          <w:rFonts w:hint="eastAsia" w:ascii="Times New Roman" w:hAnsi="Times New Roman" w:eastAsia="宋体"/>
          <w:sz w:val="24"/>
        </w:rPr>
        <w:t>的表外租赁承诺兑现节奏（FY2024</w:t>
      </w:r>
      <w:r>
        <w:rPr>
          <w:rFonts w:ascii="Times New Roman" w:hAnsi="Times New Roman" w:eastAsia="宋体"/>
          <w:sz w:val="24"/>
        </w:rPr>
        <w:t xml:space="preserve"> $32.2B → FY2025 </w:t>
      </w:r>
      <w:r>
        <w:rPr>
          <w:rFonts w:hint="eastAsia" w:ascii="Times New Roman" w:hAnsi="Times New Roman" w:eastAsia="宋体"/>
          <w:sz w:val="24"/>
        </w:rPr>
        <w:t>新增</w:t>
      </w:r>
      <w:r>
        <w:rPr>
          <w:rFonts w:ascii="Times New Roman" w:hAnsi="Times New Roman" w:eastAsia="宋体"/>
          <w:sz w:val="24"/>
        </w:rPr>
        <w:t xml:space="preserve"> </w:t>
      </w:r>
      <w:r>
        <w:rPr>
          <w:rFonts w:hint="eastAsia" w:ascii="Times New Roman" w:hAnsi="Times New Roman" w:eastAsia="宋体"/>
          <w:sz w:val="24"/>
        </w:rPr>
        <w:t>$43.4B）与服务器年限是否第三次延长；META</w:t>
      </w:r>
      <w:r>
        <w:rPr>
          <w:rFonts w:ascii="Times New Roman" w:hAnsi="Times New Roman" w:eastAsia="宋体"/>
          <w:sz w:val="24"/>
        </w:rPr>
        <w:t xml:space="preserve"> 5.5 </w:t>
      </w:r>
      <w:r>
        <w:rPr>
          <w:rFonts w:hint="eastAsia" w:ascii="Times New Roman" w:hAnsi="Times New Roman" w:eastAsia="宋体"/>
          <w:sz w:val="24"/>
        </w:rPr>
        <w:t>年年限在</w:t>
      </w:r>
      <w:r>
        <w:rPr>
          <w:rFonts w:ascii="Times New Roman" w:hAnsi="Times New Roman" w:eastAsia="宋体"/>
          <w:sz w:val="24"/>
        </w:rPr>
        <w:t xml:space="preserve"> 2025 </w:t>
      </w:r>
      <w:r>
        <w:rPr>
          <w:rFonts w:hint="eastAsia" w:ascii="Times New Roman" w:hAnsi="Times New Roman" w:eastAsia="宋体"/>
          <w:sz w:val="24"/>
        </w:rPr>
        <w:t>年报中的量化影响（公司自曝预计</w:t>
      </w:r>
      <w:r>
        <w:rPr>
          <w:rFonts w:ascii="Times New Roman" w:hAnsi="Times New Roman" w:eastAsia="宋体"/>
          <w:sz w:val="24"/>
        </w:rPr>
        <w:t xml:space="preserve"> </w:t>
      </w:r>
      <w:r>
        <w:rPr>
          <w:rFonts w:hint="eastAsia" w:ascii="Times New Roman" w:hAnsi="Times New Roman" w:eastAsia="宋体"/>
          <w:sz w:val="24"/>
        </w:rPr>
        <w:t>-$2.9B）；MSFT</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CAPEX </w:t>
      </w:r>
      <w:r>
        <w:rPr>
          <w:rFonts w:hint="eastAsia" w:ascii="Times New Roman" w:hAnsi="Times New Roman" w:eastAsia="宋体"/>
          <w:sz w:val="24"/>
        </w:rPr>
        <w:t>强度走势（FY2024</w:t>
      </w:r>
      <w:r>
        <w:rPr>
          <w:rFonts w:ascii="Times New Roman" w:hAnsi="Times New Roman" w:eastAsia="宋体"/>
          <w:sz w:val="24"/>
        </w:rPr>
        <w:t xml:space="preserve"> </w:t>
      </w:r>
      <w:r>
        <w:rPr>
          <w:rFonts w:hint="eastAsia" w:ascii="Times New Roman" w:hAnsi="Times New Roman" w:eastAsia="宋体"/>
          <w:sz w:val="24"/>
        </w:rPr>
        <w:t>已达</w:t>
      </w:r>
      <w:r>
        <w:rPr>
          <w:rFonts w:ascii="Times New Roman" w:hAnsi="Times New Roman" w:eastAsia="宋体"/>
          <w:sz w:val="24"/>
        </w:rPr>
        <w:t xml:space="preserve"> 18.1% </w:t>
      </w:r>
      <w:r>
        <w:rPr>
          <w:rFonts w:hint="eastAsia" w:ascii="Times New Roman" w:hAnsi="Times New Roman" w:eastAsia="宋体"/>
          <w:sz w:val="24"/>
        </w:rPr>
        <w:t>且同比</w:t>
      </w:r>
      <w:r>
        <w:rPr>
          <w:rFonts w:ascii="Times New Roman" w:hAnsi="Times New Roman" w:eastAsia="宋体"/>
          <w:sz w:val="24"/>
        </w:rPr>
        <w:t xml:space="preserve"> </w:t>
      </w:r>
      <w:r>
        <w:rPr>
          <w:rFonts w:hint="eastAsia" w:ascii="Times New Roman" w:hAnsi="Times New Roman" w:eastAsia="宋体"/>
          <w:sz w:val="24"/>
        </w:rPr>
        <w:t>+58%）；INTC</w:t>
      </w:r>
      <w:r>
        <w:rPr>
          <w:rFonts w:ascii="Times New Roman" w:hAnsi="Times New Roman" w:eastAsia="宋体"/>
          <w:sz w:val="24"/>
        </w:rPr>
        <w:t xml:space="preserve"> </w:t>
      </w:r>
      <w:r>
        <w:rPr>
          <w:rFonts w:hint="eastAsia" w:ascii="Times New Roman" w:hAnsi="Times New Roman" w:eastAsia="宋体"/>
          <w:sz w:val="24"/>
        </w:rPr>
        <w:t>在建工程</w:t>
      </w:r>
      <w:r>
        <w:rPr>
          <w:rFonts w:ascii="Times New Roman" w:hAnsi="Times New Roman" w:eastAsia="宋体"/>
          <w:sz w:val="24"/>
        </w:rPr>
        <w:t xml:space="preserve"> $43.4B </w:t>
      </w:r>
      <w:r>
        <w:rPr>
          <w:rFonts w:hint="eastAsia" w:ascii="Times New Roman" w:hAnsi="Times New Roman" w:eastAsia="宋体"/>
          <w:sz w:val="24"/>
        </w:rPr>
        <w:t>转固后的折旧阶梯；</w:t>
      </w:r>
    </w:p>
    <w:p w14:paraId="05DEA1FB">
      <w:pPr>
        <w:pStyle w:val="3"/>
        <w:spacing w:before="40" w:after="40" w:line="360" w:lineRule="auto"/>
        <w:ind w:firstLine="480"/>
      </w:pPr>
      <w:r>
        <w:rPr>
          <w:rFonts w:hint="eastAsia" w:ascii="Times New Roman" w:hAnsi="Times New Roman" w:eastAsia="宋体"/>
          <w:sz w:val="24"/>
        </w:rPr>
        <w:t>复核触发条件：技术迭代加速事件（如新一代</w:t>
      </w:r>
      <w:r>
        <w:rPr>
          <w:rFonts w:ascii="Times New Roman" w:hAnsi="Times New Roman" w:eastAsia="宋体"/>
          <w:sz w:val="24"/>
        </w:rPr>
        <w:t xml:space="preserve"> GPU </w:t>
      </w:r>
      <w:r>
        <w:rPr>
          <w:rFonts w:hint="eastAsia" w:ascii="Times New Roman" w:hAnsi="Times New Roman" w:eastAsia="宋体"/>
          <w:sz w:val="24"/>
        </w:rPr>
        <w:t>发布周期缩短至</w:t>
      </w:r>
      <w:r>
        <w:rPr>
          <w:rFonts w:ascii="Times New Roman" w:hAnsi="Times New Roman" w:eastAsia="宋体"/>
          <w:sz w:val="24"/>
        </w:rPr>
        <w:t xml:space="preserve"> 12 </w:t>
      </w:r>
      <w:r>
        <w:rPr>
          <w:rFonts w:hint="eastAsia" w:ascii="Times New Roman" w:hAnsi="Times New Roman" w:eastAsia="宋体"/>
          <w:sz w:val="24"/>
        </w:rPr>
        <w:t>个月以内）发生时，全体样本的</w:t>
      </w:r>
      <w:r>
        <w:rPr>
          <w:rFonts w:ascii="Times New Roman" w:hAnsi="Times New Roman" w:eastAsia="宋体"/>
          <w:sz w:val="24"/>
        </w:rPr>
        <w:t xml:space="preserve"> D1 </w:t>
      </w:r>
      <w:r>
        <w:rPr>
          <w:rFonts w:hint="eastAsia" w:ascii="Times New Roman" w:hAnsi="Times New Roman" w:eastAsia="宋体"/>
          <w:sz w:val="24"/>
        </w:rPr>
        <w:t>锚点参照系须重新校准——锚点表不是刻舟求剑，而是随技术周期动态调整的活标准。</w:t>
      </w:r>
    </w:p>
    <w:bookmarkEnd w:id="112"/>
    <w:bookmarkEnd w:id="114"/>
    <w:p w14:paraId="5B486909">
      <w:pPr>
        <w:pStyle w:val="4"/>
        <w:spacing w:before="320" w:after="160" w:line="360" w:lineRule="auto"/>
      </w:pPr>
      <w:bookmarkStart w:id="115" w:name="_Toc14539"/>
      <w:bookmarkStart w:id="116" w:name="降得下损失三类主体的应用方案"/>
      <w:r>
        <w:rPr>
          <w:rFonts w:ascii="Times New Roman" w:hAnsi="Times New Roman" w:eastAsia="黑体"/>
          <w:b/>
          <w:color w:val="003366"/>
          <w:sz w:val="28"/>
        </w:rPr>
        <w:t xml:space="preserve">5.4 </w:t>
      </w:r>
      <w:r>
        <w:rPr>
          <w:rFonts w:hint="eastAsia" w:ascii="Times New Roman" w:hAnsi="Times New Roman" w:eastAsia="黑体"/>
          <w:b/>
          <w:color w:val="003366"/>
          <w:sz w:val="28"/>
        </w:rPr>
        <w:t>降得下损失：三类主体的应用方案</w:t>
      </w:r>
      <w:bookmarkEnd w:id="115"/>
    </w:p>
    <w:p w14:paraId="4CF9CEB9">
      <w:pPr>
        <w:pStyle w:val="5"/>
        <w:spacing w:before="240" w:after="120" w:line="360" w:lineRule="auto"/>
      </w:pPr>
      <w:bookmarkStart w:id="117" w:name="对科创企业合规折旧优化与减值前瞻管理"/>
      <w:r>
        <w:rPr>
          <w:rFonts w:ascii="Times New Roman" w:hAnsi="Times New Roman" w:eastAsia="黑体"/>
          <w:b/>
          <w:color w:val="003366"/>
          <w:sz w:val="24"/>
        </w:rPr>
        <w:t xml:space="preserve">5.4.1 </w:t>
      </w:r>
      <w:r>
        <w:rPr>
          <w:rFonts w:hint="eastAsia" w:ascii="Times New Roman" w:hAnsi="Times New Roman" w:eastAsia="黑体"/>
          <w:b/>
          <w:color w:val="003366"/>
          <w:sz w:val="24"/>
        </w:rPr>
        <w:t>对科创企业：合规折旧优化与减值前瞻管理</w:t>
      </w:r>
    </w:p>
    <w:p w14:paraId="527B30F8">
      <w:pPr>
        <w:pStyle w:val="25"/>
        <w:spacing w:before="40" w:after="40" w:line="360" w:lineRule="auto"/>
        <w:ind w:firstLine="480"/>
      </w:pPr>
      <w:r>
        <w:rPr>
          <w:rFonts w:hint="eastAsia" w:ascii="Times New Roman" w:hAnsi="Times New Roman" w:eastAsia="宋体"/>
          <w:sz w:val="24"/>
        </w:rPr>
        <w:t>管理动作一：用足合法政策工具，不做“鸵鸟”。</w:t>
      </w:r>
      <w:r>
        <w:rPr>
          <w:rFonts w:ascii="Times New Roman" w:hAnsi="Times New Roman" w:eastAsia="宋体"/>
          <w:sz w:val="24"/>
        </w:rPr>
        <w:t xml:space="preserve"> </w:t>
      </w:r>
      <w:r>
        <w:rPr>
          <w:rFonts w:hint="eastAsia" w:ascii="Times New Roman" w:hAnsi="Times New Roman" w:eastAsia="宋体"/>
          <w:sz w:val="24"/>
        </w:rPr>
        <w:t>与美国巨头在</w:t>
      </w:r>
      <w:r>
        <w:rPr>
          <w:rFonts w:ascii="Times New Roman" w:hAnsi="Times New Roman" w:eastAsia="宋体"/>
          <w:sz w:val="24"/>
        </w:rPr>
        <w:t xml:space="preserve"> GAAP </w:t>
      </w:r>
      <w:r>
        <w:rPr>
          <w:rFonts w:hint="eastAsia" w:ascii="Times New Roman" w:hAnsi="Times New Roman" w:eastAsia="宋体"/>
          <w:sz w:val="24"/>
        </w:rPr>
        <w:t>估计裁量里“做文章”不同，中国科创企业拥有合法的加速折旧工具箱：≤500</w:t>
      </w:r>
      <w:r>
        <w:rPr>
          <w:rFonts w:ascii="Times New Roman" w:hAnsi="Times New Roman" w:eastAsia="宋体"/>
          <w:sz w:val="24"/>
        </w:rPr>
        <w:t xml:space="preserve"> </w:t>
      </w:r>
      <w:r>
        <w:rPr>
          <w:rFonts w:hint="eastAsia" w:ascii="Times New Roman" w:hAnsi="Times New Roman" w:eastAsia="宋体"/>
          <w:sz w:val="24"/>
        </w:rPr>
        <w:t>万元设备器具一次性税前扣除（政策已延期至</w:t>
      </w:r>
      <w:r>
        <w:rPr>
          <w:rFonts w:ascii="Times New Roman" w:hAnsi="Times New Roman" w:eastAsia="宋体"/>
          <w:sz w:val="24"/>
        </w:rPr>
        <w:t xml:space="preserve"> 2027 </w:t>
      </w:r>
      <w:r>
        <w:rPr>
          <w:rFonts w:hint="eastAsia" w:ascii="Times New Roman" w:hAnsi="Times New Roman" w:eastAsia="宋体"/>
          <w:sz w:val="24"/>
        </w:rPr>
        <w:t>年底）、技术进步快的固定资产可缩短折旧年限（不低于法定</w:t>
      </w:r>
      <w:r>
        <w:rPr>
          <w:rFonts w:ascii="Times New Roman" w:hAnsi="Times New Roman" w:eastAsia="宋体"/>
          <w:sz w:val="24"/>
        </w:rPr>
        <w:t xml:space="preserve"> </w:t>
      </w:r>
      <w:r>
        <w:rPr>
          <w:rFonts w:hint="eastAsia" w:ascii="Times New Roman" w:hAnsi="Times New Roman" w:eastAsia="宋体"/>
          <w:sz w:val="24"/>
        </w:rPr>
        <w:t>60%）或采用双倍余额递减/年数总和法、研发设备折旧费可纳入</w:t>
      </w:r>
      <w:r>
        <w:rPr>
          <w:rFonts w:ascii="Times New Roman" w:hAnsi="Times New Roman" w:eastAsia="宋体"/>
          <w:sz w:val="24"/>
        </w:rPr>
        <w:t xml:space="preserve"> 100% </w:t>
      </w:r>
      <w:r>
        <w:rPr>
          <w:rFonts w:hint="eastAsia" w:ascii="Times New Roman" w:hAnsi="Times New Roman" w:eastAsia="宋体"/>
          <w:sz w:val="24"/>
        </w:rPr>
        <w:t>加计扣除。以一台</w:t>
      </w:r>
      <w:r>
        <w:rPr>
          <w:rFonts w:ascii="Times New Roman" w:hAnsi="Times New Roman" w:eastAsia="宋体"/>
          <w:sz w:val="24"/>
        </w:rPr>
        <w:t xml:space="preserve"> 480 </w:t>
      </w:r>
      <w:r>
        <w:rPr>
          <w:rFonts w:hint="eastAsia" w:ascii="Times New Roman" w:hAnsi="Times New Roman" w:eastAsia="宋体"/>
          <w:sz w:val="24"/>
        </w:rPr>
        <w:t>万元的</w:t>
      </w:r>
      <w:r>
        <w:rPr>
          <w:rFonts w:ascii="Times New Roman" w:hAnsi="Times New Roman" w:eastAsia="宋体"/>
          <w:sz w:val="24"/>
        </w:rPr>
        <w:t xml:space="preserve"> GPU </w:t>
      </w:r>
      <w:r>
        <w:rPr>
          <w:rFonts w:hint="eastAsia" w:ascii="Times New Roman" w:hAnsi="Times New Roman" w:eastAsia="宋体"/>
          <w:sz w:val="24"/>
        </w:rPr>
        <w:t>服务器集群为例（高新技术企业、税率</w:t>
      </w:r>
      <w:r>
        <w:rPr>
          <w:rFonts w:ascii="Times New Roman" w:hAnsi="Times New Roman" w:eastAsia="宋体"/>
          <w:sz w:val="24"/>
        </w:rPr>
        <w:t xml:space="preserve"> </w:t>
      </w:r>
      <w:r>
        <w:rPr>
          <w:rFonts w:hint="eastAsia" w:ascii="Times New Roman" w:hAnsi="Times New Roman" w:eastAsia="宋体"/>
          <w:sz w:val="24"/>
        </w:rPr>
        <w:t>15%）：会计上双倍余额递减（真实反映技术贬值）+</w:t>
      </w:r>
      <w:r>
        <w:rPr>
          <w:rFonts w:ascii="Times New Roman" w:hAnsi="Times New Roman" w:eastAsia="宋体"/>
          <w:sz w:val="24"/>
        </w:rPr>
        <w:t xml:space="preserve"> </w:t>
      </w:r>
      <w:r>
        <w:rPr>
          <w:rFonts w:hint="eastAsia" w:ascii="Times New Roman" w:hAnsi="Times New Roman" w:eastAsia="宋体"/>
          <w:sz w:val="24"/>
        </w:rPr>
        <w:t>税务上一次性扣除</w:t>
      </w:r>
      <w:r>
        <w:rPr>
          <w:rFonts w:ascii="Times New Roman" w:hAnsi="Times New Roman" w:eastAsia="宋体"/>
          <w:sz w:val="24"/>
        </w:rPr>
        <w:t xml:space="preserve"> + </w:t>
      </w:r>
      <w:r>
        <w:rPr>
          <w:rFonts w:hint="eastAsia" w:ascii="Times New Roman" w:hAnsi="Times New Roman" w:eastAsia="宋体"/>
          <w:sz w:val="24"/>
        </w:rPr>
        <w:t>研发加计扣除，综合节税效果可达资产原值的</w:t>
      </w:r>
      <w:r>
        <w:rPr>
          <w:rFonts w:ascii="Times New Roman" w:hAnsi="Times New Roman" w:eastAsia="宋体"/>
          <w:sz w:val="24"/>
        </w:rPr>
        <w:t xml:space="preserve"> 30% </w:t>
      </w:r>
      <w:r>
        <w:rPr>
          <w:rFonts w:hint="eastAsia" w:ascii="Times New Roman" w:hAnsi="Times New Roman" w:eastAsia="宋体"/>
          <w:sz w:val="24"/>
        </w:rPr>
        <w:t>以上。主动加速折旧既真实反映经济实质，又优化现金流——这是与美国“延长年限虚增利润”方向相反、且完全合规的路径。</w:t>
      </w:r>
    </w:p>
    <w:p w14:paraId="1D9E43A4">
      <w:pPr>
        <w:pStyle w:val="3"/>
        <w:spacing w:before="40" w:after="40" w:line="360" w:lineRule="auto"/>
        <w:ind w:firstLine="480"/>
      </w:pPr>
      <w:r>
        <w:rPr>
          <w:rFonts w:hint="eastAsia" w:ascii="Times New Roman" w:hAnsi="Times New Roman" w:eastAsia="宋体"/>
          <w:sz w:val="24"/>
        </w:rPr>
        <w:t>管理动作二：建立折旧假设年度复核与减值前瞻测试。</w:t>
      </w:r>
      <w:r>
        <w:rPr>
          <w:rFonts w:ascii="Times New Roman" w:hAnsi="Times New Roman" w:eastAsia="宋体"/>
          <w:sz w:val="24"/>
        </w:rPr>
        <w:t xml:space="preserve"> </w:t>
      </w:r>
      <w:r>
        <w:rPr>
          <w:rFonts w:hint="eastAsia" w:ascii="Times New Roman" w:hAnsi="Times New Roman" w:eastAsia="宋体"/>
          <w:sz w:val="24"/>
        </w:rPr>
        <w:t>依据本研究方法论，企业财务部门应每年对照技术迭代周期复核资产年限假设（R2</w:t>
      </w:r>
      <w:r>
        <w:rPr>
          <w:rFonts w:ascii="Times New Roman" w:hAnsi="Times New Roman" w:eastAsia="宋体"/>
          <w:sz w:val="24"/>
        </w:rPr>
        <w:t xml:space="preserve"> </w:t>
      </w:r>
      <w:r>
        <w:rPr>
          <w:rFonts w:hint="eastAsia" w:ascii="Times New Roman" w:hAnsi="Times New Roman" w:eastAsia="宋体"/>
          <w:sz w:val="24"/>
        </w:rPr>
        <w:t>规则的内化），对</w:t>
      </w:r>
      <w:r>
        <w:rPr>
          <w:rFonts w:ascii="Times New Roman" w:hAnsi="Times New Roman" w:eastAsia="宋体"/>
          <w:sz w:val="24"/>
        </w:rPr>
        <w:t xml:space="preserve"> CAPEX </w:t>
      </w:r>
      <w:r>
        <w:rPr>
          <w:rFonts w:hint="eastAsia" w:ascii="Times New Roman" w:hAnsi="Times New Roman" w:eastAsia="宋体"/>
          <w:sz w:val="24"/>
        </w:rPr>
        <w:t>强度</w:t>
      </w:r>
      <w:r>
        <w:rPr>
          <w:rFonts w:ascii="Times New Roman" w:hAnsi="Times New Roman" w:eastAsia="宋体"/>
          <w:sz w:val="24"/>
        </w:rPr>
        <w:t xml:space="preserve"> ≥15% </w:t>
      </w:r>
      <w:r>
        <w:rPr>
          <w:rFonts w:hint="eastAsia" w:ascii="Times New Roman" w:hAnsi="Times New Roman" w:eastAsia="宋体"/>
          <w:sz w:val="24"/>
        </w:rPr>
        <w:t>的业务单元做减值前瞻情景测试（如“若</w:t>
      </w:r>
      <w:r>
        <w:rPr>
          <w:rFonts w:ascii="Times New Roman" w:hAnsi="Times New Roman" w:eastAsia="宋体"/>
          <w:sz w:val="24"/>
        </w:rPr>
        <w:t xml:space="preserve"> GPU </w:t>
      </w:r>
      <w:r>
        <w:rPr>
          <w:rFonts w:hint="eastAsia" w:ascii="Times New Roman" w:hAnsi="Times New Roman" w:eastAsia="宋体"/>
          <w:sz w:val="24"/>
        </w:rPr>
        <w:t>实际经济寿命</w:t>
      </w:r>
      <w:r>
        <w:rPr>
          <w:rFonts w:ascii="Times New Roman" w:hAnsi="Times New Roman" w:eastAsia="宋体"/>
          <w:sz w:val="24"/>
        </w:rPr>
        <w:t xml:space="preserve"> 2.5 </w:t>
      </w:r>
      <w:r>
        <w:rPr>
          <w:rFonts w:hint="eastAsia" w:ascii="Times New Roman" w:hAnsi="Times New Roman" w:eastAsia="宋体"/>
          <w:sz w:val="24"/>
        </w:rPr>
        <w:t>年，对利润与净资产的影响”），避免</w:t>
      </w:r>
      <w:r>
        <w:rPr>
          <w:rFonts w:ascii="Times New Roman" w:hAnsi="Times New Roman" w:eastAsia="宋体"/>
          <w:sz w:val="24"/>
        </w:rPr>
        <w:t xml:space="preserve"> Pre-IPO </w:t>
      </w:r>
      <w:r>
        <w:rPr>
          <w:rFonts w:hint="eastAsia" w:ascii="Times New Roman" w:hAnsi="Times New Roman" w:eastAsia="宋体"/>
          <w:sz w:val="24"/>
        </w:rPr>
        <w:t>或上市后利润“变脸”。</w:t>
      </w:r>
    </w:p>
    <w:p w14:paraId="61FDE032">
      <w:pPr>
        <w:pStyle w:val="3"/>
        <w:spacing w:before="40" w:after="40" w:line="360" w:lineRule="auto"/>
        <w:ind w:firstLine="480"/>
      </w:pPr>
      <w:r>
        <w:rPr>
          <w:rFonts w:hint="eastAsia" w:ascii="Times New Roman" w:hAnsi="Times New Roman" w:eastAsia="宋体"/>
          <w:sz w:val="24"/>
        </w:rPr>
        <w:t>管理动作三：税会差异台账管理。</w:t>
      </w:r>
      <w:r>
        <w:rPr>
          <w:rFonts w:ascii="Times New Roman" w:hAnsi="Times New Roman" w:eastAsia="宋体"/>
          <w:sz w:val="24"/>
        </w:rPr>
        <w:t xml:space="preserve"> </w:t>
      </w:r>
      <w:r>
        <w:rPr>
          <w:rFonts w:hint="eastAsia" w:ascii="Times New Roman" w:hAnsi="Times New Roman" w:eastAsia="宋体"/>
          <w:sz w:val="24"/>
        </w:rPr>
        <w:t>会计与税务处理不一致是筹划空间也是合规风险点，须建立逐资产台账跟踪。</w:t>
      </w:r>
    </w:p>
    <w:bookmarkEnd w:id="117"/>
    <w:p w14:paraId="2582CAF3">
      <w:pPr>
        <w:pStyle w:val="5"/>
        <w:spacing w:before="240" w:after="120" w:line="360" w:lineRule="auto"/>
        <w:rPr>
          <w:rFonts w:ascii="Times New Roman" w:hAnsi="Times New Roman" w:eastAsia="黑体"/>
          <w:b/>
          <w:color w:val="003366"/>
          <w:sz w:val="24"/>
        </w:rPr>
      </w:pPr>
      <w:bookmarkStart w:id="118" w:name="对保险与金融机构平安场景把折旧风险变成可定价的风险"/>
      <w:r>
        <w:rPr>
          <w:rFonts w:ascii="Times New Roman" w:hAnsi="Times New Roman" w:eastAsia="黑体"/>
          <w:b/>
          <w:color w:val="003366"/>
          <w:sz w:val="24"/>
        </w:rPr>
        <w:t>5.4.2 对保险与金融机构：把折旧风险变成可定价的风险</w:t>
      </w:r>
    </w:p>
    <w:p w14:paraId="097B6C1A">
      <w:pPr>
        <w:pStyle w:val="25"/>
        <w:spacing w:before="40" w:after="40" w:line="360" w:lineRule="auto"/>
        <w:ind w:firstLine="480"/>
      </w:pPr>
      <w:r>
        <w:rPr>
          <w:rFonts w:hint="eastAsia" w:ascii="Times New Roman" w:hAnsi="Times New Roman" w:eastAsia="宋体"/>
          <w:sz w:val="24"/>
        </w:rPr>
        <w:t>以平安为例可以看清这块短板：平安是科技保险的主要承保主体（2025</w:t>
      </w:r>
      <w:r>
        <w:rPr>
          <w:rFonts w:ascii="Times New Roman" w:hAnsi="Times New Roman" w:eastAsia="宋体"/>
          <w:sz w:val="24"/>
        </w:rPr>
        <w:t xml:space="preserve"> </w:t>
      </w:r>
      <w:r>
        <w:rPr>
          <w:rFonts w:hint="eastAsia" w:ascii="Times New Roman" w:hAnsi="Times New Roman" w:eastAsia="宋体"/>
          <w:sz w:val="24"/>
        </w:rPr>
        <w:t>年承保科技保险保单</w:t>
      </w:r>
      <w:r>
        <w:rPr>
          <w:rFonts w:ascii="Times New Roman" w:hAnsi="Times New Roman" w:eastAsia="宋体"/>
          <w:sz w:val="24"/>
        </w:rPr>
        <w:t xml:space="preserve"> 326 </w:t>
      </w:r>
      <w:r>
        <w:rPr>
          <w:rFonts w:hint="eastAsia" w:ascii="Times New Roman" w:hAnsi="Times New Roman" w:eastAsia="宋体"/>
          <w:sz w:val="24"/>
        </w:rPr>
        <w:t>万件、提供</w:t>
      </w:r>
      <w:r>
        <w:rPr>
          <w:rFonts w:ascii="Times New Roman" w:hAnsi="Times New Roman" w:eastAsia="宋体"/>
          <w:sz w:val="24"/>
        </w:rPr>
        <w:t xml:space="preserve"> 9.29 </w:t>
      </w:r>
      <w:r>
        <w:rPr>
          <w:rFonts w:hint="eastAsia" w:ascii="Times New Roman" w:hAnsi="Times New Roman" w:eastAsia="宋体"/>
          <w:sz w:val="24"/>
        </w:rPr>
        <w:t>万亿元风险保障，并设有科技保险实验室，详见</w:t>
      </w:r>
      <w:r>
        <w:rPr>
          <w:rFonts w:ascii="Times New Roman" w:hAnsi="Times New Roman" w:eastAsia="宋体"/>
          <w:sz w:val="24"/>
        </w:rPr>
        <w:t xml:space="preserve"> 5.1 </w:t>
      </w:r>
      <w:r>
        <w:rPr>
          <w:rFonts w:hint="eastAsia" w:ascii="Times New Roman" w:hAnsi="Times New Roman" w:eastAsia="宋体"/>
          <w:sz w:val="24"/>
        </w:rPr>
        <w:t>节），平安产险已开发研发费用损失保险、集成电路流片费用损失保险等</w:t>
      </w:r>
      <w:r>
        <w:rPr>
          <w:rFonts w:ascii="Times New Roman" w:hAnsi="Times New Roman" w:eastAsia="宋体"/>
          <w:sz w:val="24"/>
        </w:rPr>
        <w:t xml:space="preserve"> 30+ </w:t>
      </w:r>
      <w:r>
        <w:rPr>
          <w:rFonts w:hint="eastAsia" w:ascii="Times New Roman" w:hAnsi="Times New Roman" w:eastAsia="宋体"/>
          <w:sz w:val="24"/>
        </w:rPr>
        <w:t>款科技保险产品，但算力/技术资产“值多少钱、怎么贬值”缺乏公认模型——这正是科技保险“看不清、算不准、担不住”痛点的根源之一。本研究的成果恰好补这块短板：</w:t>
      </w:r>
    </w:p>
    <w:p w14:paraId="2468367C">
      <w:pPr>
        <w:pStyle w:val="3"/>
        <w:spacing w:before="40" w:after="40" w:line="360" w:lineRule="auto"/>
        <w:ind w:firstLine="480"/>
      </w:pPr>
      <w:r>
        <w:rPr>
          <w:rFonts w:hint="eastAsia" w:ascii="Times New Roman" w:hAnsi="Times New Roman" w:eastAsia="宋体"/>
          <w:sz w:val="24"/>
        </w:rPr>
        <w:t>应用场景一：承保定价因子。</w:t>
      </w:r>
      <w:r>
        <w:rPr>
          <w:rFonts w:ascii="Times New Roman" w:hAnsi="Times New Roman" w:eastAsia="宋体"/>
          <w:sz w:val="24"/>
        </w:rPr>
        <w:t xml:space="preserve"> 5D-DRS </w:t>
      </w:r>
      <w:r>
        <w:rPr>
          <w:rFonts w:hint="eastAsia" w:ascii="Times New Roman" w:hAnsi="Times New Roman" w:eastAsia="宋体"/>
          <w:sz w:val="24"/>
        </w:rPr>
        <w:t>综合评分可作为科技保险核保阶段的风险筛查标签（risk</w:t>
      </w:r>
      <w:r>
        <w:rPr>
          <w:rFonts w:ascii="Times New Roman" w:hAnsi="Times New Roman" w:eastAsia="宋体"/>
          <w:sz w:val="24"/>
        </w:rPr>
        <w:t xml:space="preserve"> </w:t>
      </w:r>
      <w:r>
        <w:rPr>
          <w:rFonts w:hint="eastAsia" w:ascii="Times New Roman" w:hAnsi="Times New Roman" w:eastAsia="宋体"/>
          <w:sz w:val="24"/>
        </w:rPr>
        <w:t>flag），为识别高风险标的提供参考信息；但当前模型尚未经理赔数据校准，不能直接作为精算定价因子（详见下文两阶段落地路径）。为算力密集型企业承保财产险/营业中断险时，D1（年限错配）与</w:t>
      </w:r>
      <w:r>
        <w:rPr>
          <w:rFonts w:ascii="Times New Roman" w:hAnsi="Times New Roman" w:eastAsia="宋体"/>
          <w:sz w:val="24"/>
        </w:rPr>
        <w:t xml:space="preserve"> </w:t>
      </w:r>
      <w:r>
        <w:rPr>
          <w:rFonts w:hint="eastAsia" w:ascii="Times New Roman" w:hAnsi="Times New Roman" w:eastAsia="宋体"/>
          <w:sz w:val="24"/>
        </w:rPr>
        <w:t>D4（CAPEX</w:t>
      </w:r>
      <w:r>
        <w:rPr>
          <w:rFonts w:ascii="Times New Roman" w:hAnsi="Times New Roman" w:eastAsia="宋体"/>
          <w:sz w:val="24"/>
        </w:rPr>
        <w:t xml:space="preserve"> </w:t>
      </w:r>
      <w:r>
        <w:rPr>
          <w:rFonts w:hint="eastAsia" w:ascii="Times New Roman" w:hAnsi="Times New Roman" w:eastAsia="宋体"/>
          <w:sz w:val="24"/>
        </w:rPr>
        <w:t>强度）可提供标的资产折旧政策激进程度的参考信息。评分</w:t>
      </w:r>
      <w:r>
        <w:rPr>
          <w:rFonts w:ascii="Times New Roman" w:hAnsi="Times New Roman" w:eastAsia="宋体"/>
          <w:sz w:val="24"/>
        </w:rPr>
        <w:t xml:space="preserve"> ≥4.0 </w:t>
      </w:r>
      <w:r>
        <w:rPr>
          <w:rFonts w:hint="eastAsia" w:ascii="Times New Roman" w:hAnsi="Times New Roman" w:eastAsia="宋体"/>
          <w:sz w:val="24"/>
        </w:rPr>
        <w:t>的企业，其折旧政策相对激进，建议核保人员重点关注其资产减值风险敞口。需要明确的是：当前评分模型基于</w:t>
      </w:r>
      <w:r>
        <w:rPr>
          <w:rFonts w:ascii="Times New Roman" w:hAnsi="Times New Roman" w:eastAsia="宋体"/>
          <w:sz w:val="24"/>
        </w:rPr>
        <w:t xml:space="preserve"> 10 </w:t>
      </w:r>
      <w:r>
        <w:rPr>
          <w:rFonts w:hint="eastAsia" w:ascii="Times New Roman" w:hAnsi="Times New Roman" w:eastAsia="宋体"/>
          <w:sz w:val="24"/>
        </w:rPr>
        <w:t>家美国公司的</w:t>
      </w:r>
      <w:r>
        <w:rPr>
          <w:rFonts w:ascii="Times New Roman" w:hAnsi="Times New Roman" w:eastAsia="宋体"/>
          <w:sz w:val="24"/>
        </w:rPr>
        <w:t xml:space="preserve"> 30 </w:t>
      </w:r>
      <w:r>
        <w:rPr>
          <w:rFonts w:hint="eastAsia" w:ascii="Times New Roman" w:hAnsi="Times New Roman" w:eastAsia="宋体"/>
          <w:sz w:val="24"/>
        </w:rPr>
        <w:t>份面板样本，尚未经过理赔数据的校准验证，不能直接作为精算定价因子。其落地路径应为：第一阶段作为核保筛查工具（识别高风险标的），第二阶段在积累</w:t>
      </w:r>
      <w:r>
        <w:rPr>
          <w:rFonts w:ascii="Times New Roman" w:hAnsi="Times New Roman" w:eastAsia="宋体"/>
          <w:sz w:val="24"/>
        </w:rPr>
        <w:t xml:space="preserve"> 3-5 </w:t>
      </w:r>
      <w:r>
        <w:rPr>
          <w:rFonts w:hint="eastAsia" w:ascii="Times New Roman" w:hAnsi="Times New Roman" w:eastAsia="宋体"/>
          <w:sz w:val="24"/>
        </w:rPr>
        <w:t>年理赔数据后，与精算模型结合，逐步纳入定价参数。</w:t>
      </w:r>
    </w:p>
    <w:p w14:paraId="3996C69E">
      <w:pPr>
        <w:pStyle w:val="3"/>
        <w:spacing w:before="40" w:after="40" w:line="360" w:lineRule="auto"/>
        <w:ind w:firstLine="480"/>
      </w:pPr>
      <w:r>
        <w:rPr>
          <w:rFonts w:hint="eastAsia" w:ascii="Times New Roman" w:hAnsi="Times New Roman" w:eastAsia="宋体"/>
          <w:sz w:val="24"/>
        </w:rPr>
        <w:t>应用场景二：投资与授信的风险筛查。</w:t>
      </w:r>
      <w:r>
        <w:rPr>
          <w:rFonts w:ascii="Times New Roman" w:hAnsi="Times New Roman" w:eastAsia="宋体"/>
          <w:sz w:val="24"/>
        </w:rPr>
        <w:t xml:space="preserve"> </w:t>
      </w:r>
      <w:r>
        <w:rPr>
          <w:rFonts w:hint="eastAsia" w:ascii="Times New Roman" w:hAnsi="Times New Roman" w:eastAsia="宋体"/>
          <w:sz w:val="24"/>
        </w:rPr>
        <w:t>对保险资金运用（平安倡导“耐心资本”投向科创）与银行科技信贷场景，R1-R4</w:t>
      </w:r>
      <w:r>
        <w:rPr>
          <w:rFonts w:ascii="Times New Roman" w:hAnsi="Times New Roman" w:eastAsia="宋体"/>
          <w:sz w:val="24"/>
        </w:rPr>
        <w:t xml:space="preserve"> </w:t>
      </w:r>
      <w:r>
        <w:rPr>
          <w:rFonts w:hint="eastAsia" w:ascii="Times New Roman" w:hAnsi="Times New Roman" w:eastAsia="宋体"/>
          <w:sz w:val="24"/>
        </w:rPr>
        <w:t>规则可嵌入投前/贷前尽调流程：命中“折旧指纹”或“估计变更”规则的企业，其报告利润的含金量需要下调——Burry</w:t>
      </w:r>
      <w:r>
        <w:rPr>
          <w:rFonts w:ascii="Times New Roman" w:hAnsi="Times New Roman" w:eastAsia="宋体"/>
          <w:sz w:val="24"/>
        </w:rPr>
        <w:t xml:space="preserve"> </w:t>
      </w:r>
      <w:r>
        <w:rPr>
          <w:rFonts w:hint="eastAsia" w:ascii="Times New Roman" w:hAnsi="Times New Roman" w:eastAsia="宋体"/>
          <w:sz w:val="24"/>
        </w:rPr>
        <w:t>事件的教训是，市场对这类会计异常的识别与定价速度已快至小时级，金融机构的风控系统没有理由更慢。</w:t>
      </w:r>
    </w:p>
    <w:p w14:paraId="546E655A">
      <w:pPr>
        <w:pStyle w:val="3"/>
        <w:spacing w:before="40" w:after="40" w:line="360" w:lineRule="auto"/>
        <w:ind w:firstLine="480"/>
      </w:pPr>
      <w:r>
        <w:rPr>
          <w:rFonts w:hint="eastAsia" w:ascii="Times New Roman" w:hAnsi="Times New Roman" w:eastAsia="宋体"/>
          <w:sz w:val="24"/>
        </w:rPr>
        <w:t>应用场景三：风险减量服务（事前预防、事中干预）。</w:t>
      </w:r>
      <w:r>
        <w:rPr>
          <w:rFonts w:ascii="Times New Roman" w:hAnsi="Times New Roman" w:eastAsia="宋体"/>
          <w:sz w:val="24"/>
        </w:rPr>
        <w:t xml:space="preserve"> </w:t>
      </w:r>
      <w:r>
        <w:rPr>
          <w:rFonts w:hint="eastAsia" w:ascii="Times New Roman" w:hAnsi="Times New Roman" w:eastAsia="宋体"/>
          <w:sz w:val="24"/>
        </w:rPr>
        <w:t>平安的风控叙事已从“事后赔付”转向“风险减量”（鹰眼系统</w:t>
      </w:r>
      <w:r>
        <w:rPr>
          <w:rFonts w:ascii="Times New Roman" w:hAnsi="Times New Roman" w:eastAsia="宋体"/>
          <w:sz w:val="24"/>
        </w:rPr>
        <w:t xml:space="preserve"> DRS3.0 </w:t>
      </w:r>
      <w:r>
        <w:rPr>
          <w:rFonts w:hint="eastAsia" w:ascii="Times New Roman" w:hAnsi="Times New Roman" w:eastAsia="宋体"/>
          <w:sz w:val="24"/>
        </w:rPr>
        <w:t>为标杆）。本研究的滚动监测机制（5.3.2）可作为面向科创企业客户的增值服务：为承保客户提供折旧政策健康度年度体检，提示“你的折旧年限已显著落后于技术迭代周期，建议主动调整或计提减值”——帮助客户在风险暴露前自我管理，降低双方损失。这恰好呼应四部门《关于加快推动科技保险高质量发展的意见》中“事前预防、事中干预”的政策导向。</w:t>
      </w:r>
    </w:p>
    <w:bookmarkEnd w:id="118"/>
    <w:p w14:paraId="5556DC60">
      <w:pPr>
        <w:pStyle w:val="5"/>
        <w:spacing w:before="240" w:after="120" w:line="360" w:lineRule="auto"/>
      </w:pPr>
      <w:bookmarkStart w:id="119" w:name="对监管与审计文本信号自动筛查的-regtech-路径"/>
      <w:r>
        <w:rPr>
          <w:rFonts w:ascii="Times New Roman" w:hAnsi="Times New Roman" w:eastAsia="黑体"/>
          <w:b/>
          <w:color w:val="003366"/>
          <w:sz w:val="24"/>
        </w:rPr>
        <w:t xml:space="preserve">5.4.3 </w:t>
      </w:r>
      <w:r>
        <w:rPr>
          <w:rFonts w:hint="eastAsia" w:ascii="Times New Roman" w:hAnsi="Times New Roman" w:eastAsia="黑体"/>
          <w:b/>
          <w:color w:val="003366"/>
          <w:sz w:val="24"/>
        </w:rPr>
        <w:t>对监管与审计：文本信号自动筛查的</w:t>
      </w:r>
      <w:r>
        <w:rPr>
          <w:rFonts w:ascii="Times New Roman" w:hAnsi="Times New Roman" w:eastAsia="黑体"/>
          <w:b/>
          <w:color w:val="003366"/>
          <w:sz w:val="24"/>
        </w:rPr>
        <w:t xml:space="preserve"> RegTech </w:t>
      </w:r>
      <w:r>
        <w:rPr>
          <w:rFonts w:hint="eastAsia" w:ascii="Times New Roman" w:hAnsi="Times New Roman" w:eastAsia="黑体"/>
          <w:b/>
          <w:color w:val="003366"/>
          <w:sz w:val="24"/>
        </w:rPr>
        <w:t>路径</w:t>
      </w:r>
    </w:p>
    <w:p w14:paraId="23162CA1">
      <w:pPr>
        <w:pStyle w:val="25"/>
        <w:spacing w:before="40" w:after="40" w:line="360" w:lineRule="auto"/>
        <w:ind w:firstLine="480"/>
      </w:pPr>
      <w:r>
        <w:rPr>
          <w:rFonts w:hint="eastAsia" w:ascii="Times New Roman" w:hAnsi="Times New Roman" w:eastAsia="宋体"/>
          <w:sz w:val="24"/>
        </w:rPr>
        <w:t>对审计师：R4</w:t>
      </w:r>
      <w:r>
        <w:rPr>
          <w:rFonts w:ascii="Times New Roman" w:hAnsi="Times New Roman" w:eastAsia="宋体"/>
          <w:sz w:val="24"/>
        </w:rPr>
        <w:t xml:space="preserve"> </w:t>
      </w:r>
      <w:r>
        <w:rPr>
          <w:rFonts w:hint="eastAsia" w:ascii="Times New Roman" w:hAnsi="Times New Roman" w:eastAsia="宋体"/>
          <w:sz w:val="24"/>
        </w:rPr>
        <w:t>规则可作为审计计划阶段的自动筛查程序——“延长年限</w:t>
      </w:r>
      <w:r>
        <w:rPr>
          <w:rFonts w:ascii="Times New Roman" w:hAnsi="Times New Roman" w:eastAsia="宋体"/>
          <w:sz w:val="24"/>
        </w:rPr>
        <w:t xml:space="preserve"> + </w:t>
      </w:r>
      <w:r>
        <w:rPr>
          <w:rFonts w:hint="eastAsia" w:ascii="Times New Roman" w:hAnsi="Times New Roman" w:eastAsia="宋体"/>
          <w:sz w:val="24"/>
        </w:rPr>
        <w:t>未来适用</w:t>
      </w:r>
      <w:r>
        <w:rPr>
          <w:rFonts w:ascii="Times New Roman" w:hAnsi="Times New Roman" w:eastAsia="宋体"/>
          <w:sz w:val="24"/>
        </w:rPr>
        <w:t xml:space="preserve"> + </w:t>
      </w:r>
      <w:r>
        <w:rPr>
          <w:rFonts w:hint="eastAsia" w:ascii="Times New Roman" w:hAnsi="Times New Roman" w:eastAsia="宋体"/>
          <w:sz w:val="24"/>
        </w:rPr>
        <w:t>量化利润影响”的变更组合应被列为关键审计事项（KAM）的候选；本研究的证据链结构（原文</w:t>
      </w:r>
      <w:r>
        <w:rPr>
          <w:rFonts w:ascii="Times New Roman" w:hAnsi="Times New Roman" w:eastAsia="宋体"/>
          <w:sz w:val="24"/>
        </w:rPr>
        <w:t xml:space="preserve"> + </w:t>
      </w:r>
      <w:r>
        <w:rPr>
          <w:rFonts w:hint="eastAsia" w:ascii="Times New Roman" w:hAnsi="Times New Roman" w:eastAsia="宋体"/>
          <w:sz w:val="24"/>
        </w:rPr>
        <w:t>行号</w:t>
      </w:r>
      <w:r>
        <w:rPr>
          <w:rFonts w:ascii="Times New Roman" w:hAnsi="Times New Roman" w:eastAsia="宋体"/>
          <w:sz w:val="24"/>
        </w:rPr>
        <w:t xml:space="preserve"> + </w:t>
      </w:r>
      <w:r>
        <w:rPr>
          <w:rFonts w:hint="eastAsia" w:ascii="Times New Roman" w:hAnsi="Times New Roman" w:eastAsia="宋体"/>
          <w:sz w:val="24"/>
        </w:rPr>
        <w:t>推断链）可直接转化为审计底稿格式。</w:t>
      </w:r>
    </w:p>
    <w:p w14:paraId="42FC4E9F">
      <w:pPr>
        <w:pStyle w:val="3"/>
        <w:spacing w:before="40" w:after="40" w:line="360" w:lineRule="auto"/>
        <w:ind w:firstLine="480"/>
      </w:pPr>
      <w:r>
        <w:rPr>
          <w:rFonts w:hint="eastAsia" w:ascii="Times New Roman" w:hAnsi="Times New Roman" w:eastAsia="宋体"/>
          <w:sz w:val="24"/>
        </w:rPr>
        <w:t>对监管机构：将关键词矩阵与折旧指纹规则部署为定期报告的自动初筛工具，把“估计变更同步性”与“连续延长者”（发现②）这类行业级信号纳入宏观审慎监测视野——单个公司的合规变更，同步出现或反复出现时即是系统性风险信号。</w:t>
      </w:r>
    </w:p>
    <w:bookmarkEnd w:id="119"/>
    <w:p w14:paraId="664B98A5">
      <w:pPr>
        <w:pStyle w:val="5"/>
        <w:spacing w:before="240" w:after="120" w:line="360" w:lineRule="auto"/>
      </w:pPr>
      <w:bookmarkStart w:id="120" w:name="风险计量折旧缺口的货币化估算"/>
      <w:r>
        <w:rPr>
          <w:rFonts w:ascii="Times New Roman" w:hAnsi="Times New Roman" w:eastAsia="黑体"/>
          <w:b/>
          <w:color w:val="003366"/>
          <w:sz w:val="24"/>
        </w:rPr>
        <w:t xml:space="preserve">5.4.4 </w:t>
      </w:r>
      <w:r>
        <w:rPr>
          <w:rFonts w:hint="eastAsia" w:ascii="Times New Roman" w:hAnsi="Times New Roman" w:eastAsia="黑体"/>
          <w:b/>
          <w:color w:val="003366"/>
          <w:sz w:val="24"/>
        </w:rPr>
        <w:t>风险计量：折旧缺口的货币化估算</w:t>
      </w:r>
    </w:p>
    <w:p w14:paraId="217A197B">
      <w:pPr>
        <w:pStyle w:val="25"/>
        <w:spacing w:before="40" w:after="40" w:line="360" w:lineRule="auto"/>
        <w:ind w:firstLine="480"/>
      </w:pPr>
      <w:r>
        <w:rPr>
          <w:rFonts w:hint="eastAsia" w:ascii="Times New Roman" w:hAnsi="Times New Roman" w:eastAsia="宋体"/>
          <w:sz w:val="24"/>
        </w:rPr>
        <w:t>评分回答“风险有多高”，但保险定价需要“风险值多少钱”。本研究设计“折旧缺口”（Depreciation</w:t>
      </w:r>
      <w:r>
        <w:rPr>
          <w:rFonts w:ascii="Times New Roman" w:hAnsi="Times New Roman" w:eastAsia="宋体"/>
          <w:sz w:val="24"/>
        </w:rPr>
        <w:t xml:space="preserve"> </w:t>
      </w:r>
      <w:r>
        <w:rPr>
          <w:rFonts w:hint="eastAsia" w:ascii="Times New Roman" w:hAnsi="Times New Roman" w:eastAsia="宋体"/>
          <w:sz w:val="24"/>
        </w:rPr>
        <w:t>Gap）指标，实现从评分到货币化的跨越，为保险保额设计、投研估值调整和监管风险敞口统计提供可量化的参考基准。</w:t>
      </w:r>
    </w:p>
    <w:p w14:paraId="62E6187B">
      <w:pPr>
        <w:pStyle w:val="3"/>
        <w:spacing w:before="40" w:after="40" w:line="360" w:lineRule="auto"/>
        <w:ind w:firstLine="480"/>
      </w:pPr>
      <w:r>
        <w:rPr>
          <w:rFonts w:hint="eastAsia" w:ascii="Times New Roman" w:hAnsi="Times New Roman" w:eastAsia="宋体"/>
          <w:b/>
          <w:bCs/>
          <w:sz w:val="24"/>
        </w:rPr>
        <w:t>一、折旧缺口的定义与计算</w:t>
      </w:r>
    </w:p>
    <w:p w14:paraId="59897583">
      <w:pPr>
        <w:pStyle w:val="3"/>
        <w:spacing w:before="40" w:after="40" w:line="360" w:lineRule="auto"/>
        <w:ind w:firstLine="480"/>
      </w:pPr>
      <w:r>
        <w:rPr>
          <w:rFonts w:hint="eastAsia" w:ascii="Times New Roman" w:hAnsi="Times New Roman" w:eastAsia="宋体"/>
          <w:b/>
          <w:bCs/>
          <w:sz w:val="24"/>
        </w:rPr>
        <w:t>折旧缺口</w:t>
      </w:r>
      <w:r>
        <w:rPr>
          <w:rFonts w:ascii="Times New Roman" w:hAnsi="Times New Roman" w:eastAsia="宋体"/>
          <w:b/>
          <w:bCs/>
          <w:sz w:val="24"/>
        </w:rPr>
        <w:t xml:space="preserve"> = </w:t>
      </w:r>
      <w:r>
        <w:rPr>
          <w:rFonts w:hint="eastAsia" w:ascii="Times New Roman" w:hAnsi="Times New Roman" w:eastAsia="宋体"/>
          <w:b/>
          <w:bCs/>
          <w:sz w:val="24"/>
        </w:rPr>
        <w:t>按技术迭代周期应计折旧费用</w:t>
      </w:r>
      <w:r>
        <w:rPr>
          <w:rFonts w:ascii="Times New Roman" w:hAnsi="Times New Roman" w:eastAsia="宋体"/>
          <w:b/>
          <w:bCs/>
          <w:sz w:val="24"/>
        </w:rPr>
        <w:t xml:space="preserve"> − </w:t>
      </w:r>
      <w:r>
        <w:rPr>
          <w:rFonts w:hint="eastAsia" w:ascii="Times New Roman" w:hAnsi="Times New Roman" w:eastAsia="宋体"/>
          <w:b/>
          <w:bCs/>
          <w:sz w:val="24"/>
        </w:rPr>
        <w:t>账面折旧费用</w:t>
      </w:r>
    </w:p>
    <w:p w14:paraId="038FEABA">
      <w:pPr>
        <w:pStyle w:val="3"/>
        <w:spacing w:before="40" w:after="40" w:line="360" w:lineRule="auto"/>
        <w:ind w:firstLine="480"/>
      </w:pPr>
      <w:r>
        <w:rPr>
          <w:rFonts w:hint="eastAsia" w:ascii="Times New Roman" w:hAnsi="Times New Roman" w:eastAsia="宋体"/>
          <w:sz w:val="24"/>
        </w:rPr>
        <w:t>该指标衡量的是：在现行会计估计下，利润表每年“少提”了多少折旧费用。需要诚实声明的是：</w:t>
      </w:r>
    </w:p>
    <w:p w14:paraId="23CEE21E">
      <w:pPr>
        <w:pStyle w:val="26"/>
        <w:numPr>
          <w:ilvl w:val="0"/>
          <w:numId w:val="6"/>
        </w:numPr>
        <w:spacing w:before="40" w:after="40" w:line="360" w:lineRule="auto"/>
        <w:ind w:firstLine="480"/>
      </w:pPr>
      <w:r>
        <w:rPr>
          <w:rFonts w:hint="eastAsia" w:ascii="Times New Roman" w:hAnsi="Times New Roman" w:eastAsia="宋体"/>
          <w:sz w:val="24"/>
        </w:rPr>
        <w:t>上述计算因多数公司未披露服务器/网络设备的分项原值，采用净PP&amp;E近似，存在高估可能；</w:t>
      </w:r>
    </w:p>
    <w:p w14:paraId="6F673B84">
      <w:pPr>
        <w:pStyle w:val="26"/>
        <w:numPr>
          <w:ilvl w:val="0"/>
          <w:numId w:val="6"/>
        </w:numPr>
        <w:spacing w:before="40" w:after="40" w:line="360" w:lineRule="auto"/>
        <w:ind w:firstLine="480"/>
      </w:pPr>
      <w:r>
        <w:rPr>
          <w:rFonts w:hint="eastAsia" w:ascii="Times New Roman" w:hAnsi="Times New Roman" w:eastAsia="宋体"/>
          <w:sz w:val="24"/>
        </w:rPr>
        <w:t>“技术迭代周期2.5年”为行业共识估计（NVIDIA从A100到H100到Blackwell的迭代节奏），具体资产可能存在差异；</w:t>
      </w:r>
    </w:p>
    <w:p w14:paraId="799594FE">
      <w:pPr>
        <w:pStyle w:val="26"/>
        <w:numPr>
          <w:ilvl w:val="0"/>
          <w:numId w:val="6"/>
        </w:numPr>
        <w:spacing w:before="40" w:after="40" w:line="360" w:lineRule="auto"/>
        <w:ind w:firstLine="480"/>
      </w:pPr>
      <w:r>
        <w:rPr>
          <w:rFonts w:hint="eastAsia" w:ascii="Times New Roman" w:hAnsi="Times New Roman" w:eastAsia="宋体"/>
          <w:sz w:val="24"/>
        </w:rPr>
        <w:t>折旧缺口是“方向性估算”而非“精确计量”，其方法论价值在于提供可比较的风险敞口量级，而非替代审计师的精确测算。</w:t>
      </w:r>
    </w:p>
    <w:p w14:paraId="32683F4D">
      <w:pPr>
        <w:pStyle w:val="25"/>
        <w:spacing w:before="40" w:after="40" w:line="360" w:lineRule="auto"/>
        <w:ind w:firstLine="480"/>
      </w:pPr>
      <w:r>
        <w:rPr>
          <w:rFonts w:hint="eastAsia" w:ascii="Times New Roman" w:hAnsi="Times New Roman" w:eastAsia="宋体"/>
          <w:b/>
          <w:bCs/>
          <w:sz w:val="24"/>
        </w:rPr>
        <w:t>二、三家样本的折旧缺口估算</w:t>
      </w:r>
    </w:p>
    <w:p w14:paraId="7D9F9052">
      <w:pPr>
        <w:pStyle w:val="3"/>
        <w:spacing w:before="40" w:after="40" w:line="360" w:lineRule="auto"/>
        <w:ind w:firstLine="480"/>
      </w:pPr>
      <w:r>
        <w:rPr>
          <w:rFonts w:hint="eastAsia" w:ascii="Times New Roman" w:hAnsi="Times New Roman" w:eastAsia="宋体"/>
          <w:b/>
          <w:bCs/>
          <w:sz w:val="24"/>
        </w:rPr>
        <w:t>（1）Alphabet/Google</w:t>
      </w:r>
      <w:r>
        <w:rPr>
          <w:rFonts w:ascii="Times New Roman" w:hAnsi="Times New Roman" w:eastAsia="宋体"/>
          <w:b/>
          <w:bCs/>
          <w:sz w:val="24"/>
        </w:rPr>
        <w:t xml:space="preserve"> </w:t>
      </w:r>
      <w:r>
        <w:rPr>
          <w:rFonts w:hint="eastAsia" w:ascii="Times New Roman" w:hAnsi="Times New Roman" w:eastAsia="宋体"/>
          <w:b/>
          <w:bCs/>
          <w:sz w:val="24"/>
        </w:rPr>
        <w:t>FY2023：全额量化披露下的精确计算</w:t>
      </w:r>
    </w:p>
    <w:p w14:paraId="091D8C52">
      <w:pPr>
        <w:pStyle w:val="3"/>
        <w:spacing w:before="40" w:after="40" w:line="360" w:lineRule="auto"/>
        <w:ind w:firstLine="480"/>
      </w:pPr>
      <w:r>
        <w:rPr>
          <w:rFonts w:hint="eastAsia" w:ascii="Times New Roman" w:hAnsi="Times New Roman" w:eastAsia="宋体"/>
          <w:sz w:val="24"/>
        </w:rPr>
        <w:t>Google是本样本中“本期变更+全额量化”金额最大的案例，其折旧缺口计算具备最高可信度。</w:t>
      </w:r>
    </w:p>
    <w:p w14:paraId="4A04E687">
      <w:pPr>
        <w:pStyle w:val="3"/>
        <w:spacing w:before="40" w:after="40" w:line="360" w:lineRule="auto"/>
        <w:ind w:firstLine="480"/>
      </w:pPr>
      <w:r>
        <w:rPr>
          <w:rFonts w:hint="eastAsia" w:ascii="Times New Roman" w:hAnsi="Times New Roman" w:eastAsia="宋体"/>
          <w:b/>
          <w:bCs/>
          <w:sz w:val="24"/>
        </w:rPr>
        <w:t>基础数据</w:t>
      </w:r>
      <w:r>
        <w:rPr>
          <w:rFonts w:hint="eastAsia" w:ascii="Times New Roman" w:hAnsi="Times New Roman" w:eastAsia="宋体"/>
          <w:sz w:val="24"/>
        </w:rPr>
        <w:t>（来源：Google</w:t>
      </w:r>
      <w:r>
        <w:rPr>
          <w:rFonts w:ascii="Times New Roman" w:hAnsi="Times New Roman" w:eastAsia="宋体"/>
          <w:sz w:val="24"/>
        </w:rPr>
        <w:t xml:space="preserve"> FY2023 </w:t>
      </w:r>
      <w:r>
        <w:rPr>
          <w:rFonts w:hint="eastAsia" w:ascii="Times New Roman" w:hAnsi="Times New Roman" w:eastAsia="宋体"/>
          <w:sz w:val="24"/>
        </w:rPr>
        <w:t>10-K）：</w:t>
      </w:r>
    </w:p>
    <w:p w14:paraId="7E99E353">
      <w:pPr>
        <w:pStyle w:val="26"/>
        <w:spacing w:before="40" w:after="40" w:line="360" w:lineRule="auto"/>
        <w:ind w:left="420"/>
      </w:pPr>
      <w:r>
        <w:rPr>
          <w:rFonts w:hint="eastAsia" w:ascii="Times New Roman" w:hAnsi="Times New Roman" w:eastAsia="宋体"/>
          <w:sz w:val="24"/>
        </w:rPr>
        <w:t>净PP&amp;E（Property</w:t>
      </w:r>
      <w:r>
        <w:rPr>
          <w:rFonts w:ascii="Times New Roman" w:hAnsi="Times New Roman" w:eastAsia="宋体"/>
          <w:sz w:val="24"/>
        </w:rPr>
        <w:t xml:space="preserve"> and Equipment, </w:t>
      </w:r>
      <w:r>
        <w:rPr>
          <w:rFonts w:hint="eastAsia" w:ascii="Times New Roman" w:hAnsi="Times New Roman" w:eastAsia="宋体"/>
          <w:sz w:val="24"/>
        </w:rPr>
        <w:t>Net）：$119,774M</w:t>
      </w:r>
    </w:p>
    <w:p w14:paraId="2BD0D356">
      <w:pPr>
        <w:pStyle w:val="26"/>
        <w:spacing w:before="40" w:after="40" w:line="360" w:lineRule="auto"/>
        <w:ind w:left="420"/>
      </w:pPr>
      <w:r>
        <w:rPr>
          <w:rFonts w:hint="eastAsia" w:ascii="Times New Roman" w:hAnsi="Times New Roman" w:eastAsia="宋体"/>
          <w:sz w:val="24"/>
        </w:rPr>
        <w:t>账面折旧费用：$11,946M</w:t>
      </w:r>
    </w:p>
    <w:p w14:paraId="6FCBBF12">
      <w:pPr>
        <w:pStyle w:val="26"/>
        <w:spacing w:before="40" w:after="40" w:line="360" w:lineRule="auto"/>
        <w:ind w:left="420"/>
      </w:pPr>
      <w:r>
        <w:rPr>
          <w:rFonts w:hint="eastAsia" w:ascii="Times New Roman" w:hAnsi="Times New Roman" w:eastAsia="宋体"/>
          <w:sz w:val="24"/>
        </w:rPr>
        <w:t>披露年限变更：服务器4→6年、网络设备5→6年（2023年1月生效）</w:t>
      </w:r>
    </w:p>
    <w:p w14:paraId="2FF0CC5C">
      <w:pPr>
        <w:pStyle w:val="26"/>
        <w:spacing w:before="40" w:after="40" w:line="360" w:lineRule="auto"/>
        <w:ind w:left="420"/>
      </w:pPr>
      <w:r>
        <w:rPr>
          <w:rFonts w:hint="eastAsia" w:ascii="Times New Roman" w:hAnsi="Times New Roman" w:eastAsia="宋体"/>
          <w:sz w:val="24"/>
        </w:rPr>
        <w:t>变更直接影响：折旧费用减少$3.9B、净利润增加$3.0B（Note</w:t>
      </w:r>
      <w:r>
        <w:rPr>
          <w:rFonts w:ascii="Times New Roman" w:hAnsi="Times New Roman" w:eastAsia="宋体"/>
          <w:sz w:val="24"/>
        </w:rPr>
        <w:t xml:space="preserve"> </w:t>
      </w:r>
      <w:r>
        <w:rPr>
          <w:rFonts w:hint="eastAsia" w:ascii="Times New Roman" w:hAnsi="Times New Roman" w:eastAsia="宋体"/>
          <w:sz w:val="24"/>
        </w:rPr>
        <w:t>1第2886-2893行，本报告</w:t>
      </w:r>
      <w:r>
        <w:rPr>
          <w:rFonts w:ascii="Times New Roman" w:hAnsi="Times New Roman" w:eastAsia="宋体"/>
          <w:sz w:val="24"/>
        </w:rPr>
        <w:t xml:space="preserve"> 4.3.2 </w:t>
      </w:r>
      <w:r>
        <w:rPr>
          <w:rFonts w:hint="eastAsia" w:ascii="Times New Roman" w:hAnsi="Times New Roman" w:eastAsia="宋体"/>
          <w:sz w:val="24"/>
        </w:rPr>
        <w:t>节已逐字标注）</w:t>
      </w:r>
    </w:p>
    <w:p w14:paraId="5C771016">
      <w:pPr>
        <w:pStyle w:val="25"/>
        <w:spacing w:before="40" w:after="40" w:line="360" w:lineRule="auto"/>
        <w:ind w:firstLine="480"/>
      </w:pPr>
      <w:r>
        <w:rPr>
          <w:rFonts w:hint="eastAsia" w:ascii="Times New Roman" w:hAnsi="Times New Roman" w:eastAsia="宋体"/>
          <w:b/>
          <w:bCs/>
          <w:sz w:val="24"/>
        </w:rPr>
        <w:t>计算过程</w:t>
      </w:r>
      <w:r>
        <w:rPr>
          <w:rFonts w:hint="eastAsia" w:ascii="Times New Roman" w:hAnsi="Times New Roman" w:eastAsia="宋体"/>
          <w:sz w:val="24"/>
        </w:rPr>
        <w:t>：</w:t>
      </w:r>
    </w:p>
    <w:p w14:paraId="39010999">
      <w:pPr>
        <w:pStyle w:val="26"/>
        <w:spacing w:before="40" w:after="40" w:line="360" w:lineRule="auto"/>
        <w:ind w:left="420"/>
      </w:pPr>
      <w:r>
        <w:rPr>
          <w:rFonts w:hint="eastAsia" w:ascii="Times New Roman" w:hAnsi="Times New Roman" w:eastAsia="宋体"/>
          <w:sz w:val="24"/>
        </w:rPr>
        <w:t>混合折旧年限估算：服务器（占主体）6年、网络设备6年、其他设备按原有年限</w:t>
      </w:r>
      <w:r>
        <w:rPr>
          <w:rFonts w:ascii="Times New Roman" w:hAnsi="Times New Roman" w:eastAsia="宋体"/>
          <w:sz w:val="24"/>
        </w:rPr>
        <w:t xml:space="preserve"> → </w:t>
      </w:r>
      <w:r>
        <w:rPr>
          <w:rFonts w:hint="eastAsia" w:ascii="Times New Roman" w:hAnsi="Times New Roman" w:eastAsia="宋体"/>
          <w:sz w:val="24"/>
        </w:rPr>
        <w:t>加权平均约5.8年</w:t>
      </w:r>
    </w:p>
    <w:p w14:paraId="47580E2C">
      <w:pPr>
        <w:pStyle w:val="26"/>
        <w:spacing w:before="40" w:after="40" w:line="360" w:lineRule="auto"/>
        <w:ind w:left="420"/>
      </w:pPr>
      <w:r>
        <w:rPr>
          <w:rFonts w:hint="eastAsia" w:ascii="Times New Roman" w:hAnsi="Times New Roman" w:eastAsia="宋体"/>
          <w:sz w:val="24"/>
        </w:rPr>
        <w:t>按账面年限计算的隐含原值：$119,774M</w:t>
      </w:r>
      <w:r>
        <w:rPr>
          <w:rFonts w:ascii="Times New Roman" w:hAnsi="Times New Roman" w:eastAsia="宋体"/>
          <w:sz w:val="24"/>
        </w:rPr>
        <w:t xml:space="preserve"> / 5.8 × </w:t>
      </w:r>
      <w:r>
        <w:rPr>
          <w:rFonts w:hint="eastAsia" w:ascii="Times New Roman" w:hAnsi="Times New Roman" w:eastAsia="宋体"/>
          <w:sz w:val="24"/>
        </w:rPr>
        <w:t>1年</w:t>
      </w:r>
      <w:r>
        <w:rPr>
          <w:rFonts w:ascii="Times New Roman" w:hAnsi="Times New Roman" w:eastAsia="宋体"/>
          <w:sz w:val="24"/>
        </w:rPr>
        <w:t xml:space="preserve"> ≈ </w:t>
      </w:r>
      <w:r>
        <w:rPr>
          <w:rFonts w:hint="eastAsia" w:ascii="Times New Roman" w:hAnsi="Times New Roman" w:eastAsia="宋体"/>
          <w:sz w:val="24"/>
        </w:rPr>
        <w:t>$20,650M/年（理论折旧）</w:t>
      </w:r>
    </w:p>
    <w:p w14:paraId="6F3DE877">
      <w:pPr>
        <w:pStyle w:val="26"/>
        <w:spacing w:before="40" w:after="40" w:line="360" w:lineRule="auto"/>
        <w:ind w:left="420"/>
      </w:pPr>
      <w:r>
        <w:rPr>
          <w:rFonts w:hint="eastAsia" w:ascii="Times New Roman" w:hAnsi="Times New Roman" w:eastAsia="宋体"/>
          <w:sz w:val="24"/>
        </w:rPr>
        <w:t>实际账面折旧：$11,946M</w:t>
      </w:r>
    </w:p>
    <w:p w14:paraId="5F49DB73">
      <w:pPr>
        <w:pStyle w:val="26"/>
        <w:spacing w:before="40" w:after="40" w:line="360" w:lineRule="auto"/>
        <w:ind w:left="420"/>
      </w:pPr>
      <w:r>
        <w:rPr>
          <w:rFonts w:hint="eastAsia" w:ascii="Times New Roman" w:hAnsi="Times New Roman" w:eastAsia="宋体"/>
          <w:sz w:val="24"/>
        </w:rPr>
        <w:t>差额验证：$20,650M</w:t>
      </w:r>
      <w:r>
        <w:rPr>
          <w:rFonts w:ascii="Times New Roman" w:hAnsi="Times New Roman" w:eastAsia="宋体"/>
          <w:sz w:val="24"/>
        </w:rPr>
        <w:t xml:space="preserve"> − $11,946M = $8,704M → </w:t>
      </w:r>
      <w:r>
        <w:rPr>
          <w:rFonts w:hint="eastAsia" w:ascii="Times New Roman" w:hAnsi="Times New Roman" w:eastAsia="宋体"/>
          <w:sz w:val="24"/>
        </w:rPr>
        <w:t>与披露的“减少$3.9B”方向一致但量级更大，说明（1）PP&amp;E中包含非服务器资产（土地、建筑等）；（2）当年新增CAPEX</w:t>
      </w:r>
      <w:r>
        <w:rPr>
          <w:rFonts w:ascii="Times New Roman" w:hAnsi="Times New Roman" w:eastAsia="宋体"/>
          <w:sz w:val="24"/>
        </w:rPr>
        <w:t xml:space="preserve"> </w:t>
      </w:r>
      <w:r>
        <w:rPr>
          <w:rFonts w:hint="eastAsia" w:ascii="Times New Roman" w:hAnsi="Times New Roman" w:eastAsia="宋体"/>
          <w:sz w:val="24"/>
        </w:rPr>
        <w:t>$32,251M尚未全年计提折旧</w:t>
      </w:r>
    </w:p>
    <w:p w14:paraId="28202512">
      <w:pPr>
        <w:pStyle w:val="25"/>
        <w:spacing w:before="40" w:after="40" w:line="360" w:lineRule="auto"/>
        <w:ind w:firstLine="480"/>
      </w:pPr>
      <w:r>
        <w:rPr>
          <w:rFonts w:hint="eastAsia" w:ascii="Times New Roman" w:hAnsi="Times New Roman" w:eastAsia="宋体"/>
          <w:b/>
          <w:bCs/>
          <w:sz w:val="24"/>
        </w:rPr>
        <w:t>更保守的折旧缺口估算</w:t>
      </w:r>
      <w:r>
        <w:rPr>
          <w:rFonts w:hint="eastAsia" w:ascii="Times New Roman" w:hAnsi="Times New Roman" w:eastAsia="宋体"/>
          <w:sz w:val="24"/>
        </w:rPr>
        <w:t>：</w:t>
      </w:r>
    </w:p>
    <w:p w14:paraId="1638B6B1">
      <w:pPr>
        <w:pStyle w:val="26"/>
        <w:spacing w:before="40" w:after="40" w:line="360" w:lineRule="auto"/>
        <w:ind w:left="420"/>
      </w:pPr>
      <w:r>
        <w:rPr>
          <w:rFonts w:hint="eastAsia" w:ascii="Times New Roman" w:hAnsi="Times New Roman" w:eastAsia="宋体"/>
          <w:sz w:val="24"/>
        </w:rPr>
        <w:t>仅考虑变更直接影响：当年因年限变更减少折旧费用$3.9B（来自10-K直接披露）</w:t>
      </w:r>
    </w:p>
    <w:p w14:paraId="476F5477">
      <w:pPr>
        <w:pStyle w:val="26"/>
        <w:spacing w:before="40" w:after="40" w:line="360" w:lineRule="auto"/>
        <w:ind w:left="420"/>
      </w:pPr>
      <w:r>
        <w:rPr>
          <w:rFonts w:hint="eastAsia" w:ascii="Times New Roman" w:hAnsi="Times New Roman" w:eastAsia="宋体"/>
          <w:sz w:val="24"/>
        </w:rPr>
        <w:t>按2.5年技术迭代周期的“理论应计”：若Google按2.5年直线法计提服务器折旧</w:t>
      </w:r>
    </w:p>
    <w:p w14:paraId="46EE8797">
      <w:pPr>
        <w:pStyle w:val="26"/>
        <w:spacing w:before="40" w:after="40" w:line="360" w:lineRule="auto"/>
        <w:ind w:left="840"/>
      </w:pPr>
      <w:r>
        <w:rPr>
          <w:rFonts w:hint="eastAsia" w:ascii="Times New Roman" w:hAnsi="Times New Roman" w:eastAsia="宋体"/>
          <w:sz w:val="24"/>
        </w:rPr>
        <w:t>假设服务器相关PP&amp;E约占总PP&amp;E的60%（云厂商典型结构）→</w:t>
      </w:r>
      <w:r>
        <w:rPr>
          <w:rFonts w:ascii="Times New Roman" w:hAnsi="Times New Roman" w:eastAsia="宋体"/>
          <w:sz w:val="24"/>
        </w:rPr>
        <w:t xml:space="preserve"> $71,864M</w:t>
      </w:r>
    </w:p>
    <w:p w14:paraId="0B06FCD6">
      <w:pPr>
        <w:pStyle w:val="26"/>
        <w:spacing w:before="40" w:after="40" w:line="360" w:lineRule="auto"/>
        <w:ind w:left="840"/>
      </w:pPr>
      <w:r>
        <w:rPr>
          <w:rFonts w:hint="eastAsia" w:ascii="Times New Roman" w:hAnsi="Times New Roman" w:eastAsia="宋体"/>
          <w:sz w:val="24"/>
        </w:rPr>
        <w:t>2.5年折旧费用：$71,864M</w:t>
      </w:r>
      <w:r>
        <w:rPr>
          <w:rFonts w:ascii="Times New Roman" w:hAnsi="Times New Roman" w:eastAsia="宋体"/>
          <w:sz w:val="24"/>
        </w:rPr>
        <w:t xml:space="preserve"> / 2.5 = $28,746M</w:t>
      </w:r>
    </w:p>
    <w:p w14:paraId="483340EE">
      <w:pPr>
        <w:pStyle w:val="26"/>
        <w:spacing w:before="40" w:after="40" w:line="360" w:lineRule="auto"/>
        <w:ind w:left="840"/>
      </w:pPr>
      <w:r>
        <w:rPr>
          <w:rFonts w:hint="eastAsia" w:ascii="Times New Roman" w:hAnsi="Times New Roman" w:eastAsia="宋体"/>
          <w:sz w:val="24"/>
        </w:rPr>
        <w:t>6年折旧费用：$71,864M</w:t>
      </w:r>
      <w:r>
        <w:rPr>
          <w:rFonts w:ascii="Times New Roman" w:hAnsi="Times New Roman" w:eastAsia="宋体"/>
          <w:sz w:val="24"/>
        </w:rPr>
        <w:t xml:space="preserve"> / 6 = $11,977M</w:t>
      </w:r>
    </w:p>
    <w:p w14:paraId="06023801">
      <w:pPr>
        <w:pStyle w:val="26"/>
        <w:spacing w:before="40" w:after="40" w:line="360" w:lineRule="auto"/>
        <w:ind w:left="840"/>
      </w:pPr>
      <w:r>
        <w:rPr>
          <w:rFonts w:hint="eastAsia" w:ascii="Times New Roman" w:hAnsi="Times New Roman" w:eastAsia="宋体"/>
          <w:sz w:val="24"/>
        </w:rPr>
        <w:t>服务器折旧缺口：$28,746M</w:t>
      </w:r>
      <w:r>
        <w:rPr>
          <w:rFonts w:ascii="Times New Roman" w:hAnsi="Times New Roman" w:eastAsia="宋体"/>
          <w:sz w:val="24"/>
        </w:rPr>
        <w:t xml:space="preserve"> − $11,977M = </w:t>
      </w:r>
      <w:r>
        <w:rPr>
          <w:rFonts w:ascii="Times New Roman" w:hAnsi="Times New Roman" w:eastAsia="宋体"/>
          <w:b/>
          <w:bCs/>
          <w:sz w:val="24"/>
        </w:rPr>
        <w:t>$16,769M</w:t>
      </w:r>
    </w:p>
    <w:p w14:paraId="1FF131F0">
      <w:pPr>
        <w:pStyle w:val="25"/>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：Google</w:t>
      </w:r>
      <w:r>
        <w:rPr>
          <w:rFonts w:ascii="Times New Roman" w:hAnsi="Times New Roman" w:eastAsia="宋体"/>
          <w:sz w:val="24"/>
        </w:rPr>
        <w:t xml:space="preserve"> </w:t>
      </w:r>
      <w:r>
        <w:rPr>
          <w:rFonts w:hint="eastAsia" w:ascii="Times New Roman" w:hAnsi="Times New Roman" w:eastAsia="宋体"/>
          <w:sz w:val="24"/>
        </w:rPr>
        <w:t>FY2023因服务器折旧年限错配，潜在年度折旧低估约$167亿美元。该金额相当于当年净利润（$73,795M）的</w:t>
      </w:r>
      <w:r>
        <w:rPr>
          <w:rFonts w:ascii="Times New Roman" w:hAnsi="Times New Roman" w:eastAsia="宋体"/>
          <w:b/>
          <w:bCs/>
          <w:sz w:val="24"/>
        </w:rPr>
        <w:t>22.7%</w:t>
      </w:r>
      <w:r>
        <w:rPr>
          <w:rFonts w:hint="eastAsia" w:ascii="Times New Roman" w:hAnsi="Times New Roman" w:eastAsia="宋体"/>
          <w:sz w:val="24"/>
        </w:rPr>
        <w:t>、经营利润（$84,293M）的</w:t>
      </w:r>
      <w:r>
        <w:rPr>
          <w:rFonts w:ascii="Times New Roman" w:hAnsi="Times New Roman" w:eastAsia="宋体"/>
          <w:b/>
          <w:bCs/>
          <w:sz w:val="24"/>
        </w:rPr>
        <w:t>19.9%</w:t>
      </w:r>
      <w:r>
        <w:rPr>
          <w:rFonts w:hint="eastAsia" w:ascii="Times New Roman" w:hAnsi="Times New Roman" w:eastAsia="宋体"/>
          <w:sz w:val="24"/>
        </w:rPr>
        <w:t>。即使仅考虑已披露的变更直接影响（$3.9B），也相当于净利润的</w:t>
      </w:r>
      <w:r>
        <w:rPr>
          <w:rFonts w:ascii="Times New Roman" w:hAnsi="Times New Roman" w:eastAsia="宋体"/>
          <w:b/>
          <w:bCs/>
          <w:sz w:val="24"/>
        </w:rPr>
        <w:t>5.3%</w:t>
      </w:r>
      <w:r>
        <w:rPr>
          <w:rFonts w:ascii="Times New Roman" w:hAnsi="Times New Roman" w:eastAsia="宋体"/>
          <w:sz w:val="24"/>
        </w:rPr>
        <w:t>。</w:t>
      </w:r>
    </w:p>
    <w:p w14:paraId="7D818168">
      <w:pPr>
        <w:pStyle w:val="25"/>
        <w:spacing w:before="40" w:after="40" w:line="360" w:lineRule="auto"/>
        <w:ind w:firstLine="480"/>
      </w:pPr>
      <w:r>
        <w:rPr>
          <w:rFonts w:hint="eastAsia" w:ascii="Times New Roman" w:hAnsi="Times New Roman" w:eastAsia="宋体"/>
          <w:b/>
          <w:bCs/>
          <w:sz w:val="24"/>
        </w:rPr>
        <w:t>（2）Meta</w:t>
      </w:r>
      <w:r>
        <w:rPr>
          <w:rFonts w:ascii="Times New Roman" w:hAnsi="Times New Roman" w:eastAsia="宋体"/>
          <w:b/>
          <w:bCs/>
          <w:sz w:val="24"/>
        </w:rPr>
        <w:t xml:space="preserve"> </w:t>
      </w:r>
      <w:r>
        <w:rPr>
          <w:rFonts w:hint="eastAsia" w:ascii="Times New Roman" w:hAnsi="Times New Roman" w:eastAsia="宋体"/>
          <w:b/>
          <w:bCs/>
          <w:sz w:val="24"/>
        </w:rPr>
        <w:t>2024：期后变更的预估缺口</w:t>
      </w:r>
    </w:p>
    <w:p w14:paraId="06BA5509">
      <w:pPr>
        <w:pStyle w:val="3"/>
        <w:spacing w:before="40" w:after="40" w:line="360" w:lineRule="auto"/>
        <w:ind w:firstLine="480"/>
      </w:pPr>
      <w:r>
        <w:rPr>
          <w:rFonts w:ascii="Times New Roman" w:hAnsi="Times New Roman" w:eastAsia="宋体"/>
          <w:sz w:val="24"/>
        </w:rPr>
        <w:t xml:space="preserve">Meta </w:t>
      </w:r>
      <w:r>
        <w:rPr>
          <w:rFonts w:hint="eastAsia" w:ascii="Times New Roman" w:hAnsi="Times New Roman" w:eastAsia="宋体"/>
          <w:sz w:val="24"/>
        </w:rPr>
        <w:t>2024年10-K披露将于2025年1月将服务器与网络资产年限延长至5.5年，预计减少2025全年折旧费用约$2.9B。</w:t>
      </w:r>
    </w:p>
    <w:p w14:paraId="3C135D8C">
      <w:pPr>
        <w:pStyle w:val="3"/>
        <w:spacing w:before="40" w:after="40" w:line="360" w:lineRule="auto"/>
        <w:ind w:firstLine="480"/>
      </w:pPr>
      <w:r>
        <w:rPr>
          <w:rFonts w:hint="eastAsia" w:ascii="Times New Roman" w:hAnsi="Times New Roman" w:eastAsia="宋体"/>
          <w:b/>
          <w:bCs/>
          <w:sz w:val="24"/>
        </w:rPr>
        <w:t>基础数据</w:t>
      </w:r>
      <w:r>
        <w:rPr>
          <w:rFonts w:hint="eastAsia" w:ascii="Times New Roman" w:hAnsi="Times New Roman" w:eastAsia="宋体"/>
          <w:sz w:val="24"/>
        </w:rPr>
        <w:t>（来源：Meta</w:t>
      </w:r>
      <w:r>
        <w:rPr>
          <w:rFonts w:ascii="Times New Roman" w:hAnsi="Times New Roman" w:eastAsia="宋体"/>
          <w:sz w:val="24"/>
        </w:rPr>
        <w:t xml:space="preserve"> 2024 </w:t>
      </w:r>
      <w:r>
        <w:rPr>
          <w:rFonts w:hint="eastAsia" w:ascii="Times New Roman" w:hAnsi="Times New Roman" w:eastAsia="宋体"/>
          <w:sz w:val="24"/>
        </w:rPr>
        <w:t>10-K，本报告</w:t>
      </w:r>
      <w:r>
        <w:rPr>
          <w:rFonts w:ascii="Times New Roman" w:hAnsi="Times New Roman" w:eastAsia="宋体"/>
          <w:sz w:val="24"/>
        </w:rPr>
        <w:t xml:space="preserve"> 4.3.5 </w:t>
      </w:r>
      <w:r>
        <w:rPr>
          <w:rFonts w:hint="eastAsia" w:ascii="Times New Roman" w:hAnsi="Times New Roman" w:eastAsia="宋体"/>
          <w:sz w:val="24"/>
        </w:rPr>
        <w:t>节已标注）：</w:t>
      </w:r>
    </w:p>
    <w:p w14:paraId="263BC91A">
      <w:pPr>
        <w:pStyle w:val="26"/>
        <w:spacing w:before="40" w:after="40" w:line="360" w:lineRule="auto"/>
        <w:ind w:left="420"/>
      </w:pPr>
      <w:r>
        <w:rPr>
          <w:rFonts w:hint="eastAsia" w:ascii="Times New Roman" w:hAnsi="Times New Roman" w:eastAsia="宋体"/>
          <w:sz w:val="24"/>
        </w:rPr>
        <w:t>净PP&amp;E：$79,300M（估算，基于Meta历年CAPEX累积）</w:t>
      </w:r>
    </w:p>
    <w:p w14:paraId="203552E8">
      <w:pPr>
        <w:pStyle w:val="26"/>
        <w:spacing w:before="40" w:after="40" w:line="360" w:lineRule="auto"/>
        <w:ind w:left="420"/>
      </w:pPr>
      <w:r>
        <w:rPr>
          <w:rFonts w:hint="eastAsia" w:ascii="Times New Roman" w:hAnsi="Times New Roman" w:eastAsia="宋体"/>
          <w:sz w:val="24"/>
        </w:rPr>
        <w:t>披露年限：5.5年（2025年1月生效）</w:t>
      </w:r>
    </w:p>
    <w:p w14:paraId="17962A47">
      <w:pPr>
        <w:pStyle w:val="26"/>
        <w:spacing w:before="40" w:after="40" w:line="360" w:lineRule="auto"/>
        <w:ind w:left="420"/>
      </w:pPr>
      <w:r>
        <w:rPr>
          <w:rFonts w:hint="eastAsia" w:ascii="Times New Roman" w:hAnsi="Times New Roman" w:eastAsia="宋体"/>
          <w:sz w:val="24"/>
        </w:rPr>
        <w:t>预计变更影响：2025全年折旧费用减少约$2.9B</w:t>
      </w:r>
    </w:p>
    <w:p w14:paraId="7D49EE62">
      <w:pPr>
        <w:pStyle w:val="25"/>
        <w:spacing w:before="40" w:after="40" w:line="360" w:lineRule="auto"/>
        <w:ind w:firstLine="480"/>
      </w:pPr>
      <w:r>
        <w:rPr>
          <w:rFonts w:hint="eastAsia" w:ascii="Times New Roman" w:hAnsi="Times New Roman" w:eastAsia="宋体"/>
          <w:b/>
          <w:bCs/>
          <w:sz w:val="24"/>
        </w:rPr>
        <w:t>计算过程</w:t>
      </w:r>
      <w:r>
        <w:rPr>
          <w:rFonts w:hint="eastAsia" w:ascii="Times New Roman" w:hAnsi="Times New Roman" w:eastAsia="宋体"/>
          <w:sz w:val="24"/>
        </w:rPr>
        <w:t>：</w:t>
      </w:r>
    </w:p>
    <w:p w14:paraId="51E48920">
      <w:pPr>
        <w:pStyle w:val="26"/>
        <w:spacing w:before="40" w:after="40" w:line="360" w:lineRule="auto"/>
        <w:ind w:left="420"/>
      </w:pPr>
      <w:r>
        <w:rPr>
          <w:rFonts w:hint="eastAsia" w:ascii="Times New Roman" w:hAnsi="Times New Roman" w:eastAsia="宋体"/>
          <w:sz w:val="24"/>
        </w:rPr>
        <w:t>按2.5年技术迭代周期估算：</w:t>
      </w:r>
    </w:p>
    <w:p w14:paraId="309CFFB6">
      <w:pPr>
        <w:pStyle w:val="26"/>
        <w:spacing w:before="40" w:after="40" w:line="360" w:lineRule="auto"/>
        <w:ind w:left="840"/>
      </w:pPr>
      <w:r>
        <w:rPr>
          <w:rFonts w:hint="eastAsia" w:ascii="Times New Roman" w:hAnsi="Times New Roman" w:eastAsia="宋体"/>
          <w:sz w:val="24"/>
        </w:rPr>
        <w:t>假设服务器/网络资产占PP&amp;E的65%（Meta为纯运营型云厂商，比例高于Google）→</w:t>
      </w:r>
      <w:r>
        <w:rPr>
          <w:rFonts w:ascii="Times New Roman" w:hAnsi="Times New Roman" w:eastAsia="宋体"/>
          <w:sz w:val="24"/>
        </w:rPr>
        <w:t xml:space="preserve"> $51,545M</w:t>
      </w:r>
    </w:p>
    <w:p w14:paraId="3A613F7D">
      <w:pPr>
        <w:pStyle w:val="26"/>
        <w:spacing w:before="40" w:after="40" w:line="360" w:lineRule="auto"/>
        <w:ind w:left="840"/>
      </w:pPr>
      <w:r>
        <w:rPr>
          <w:rFonts w:hint="eastAsia" w:ascii="Times New Roman" w:hAnsi="Times New Roman" w:eastAsia="宋体"/>
          <w:sz w:val="24"/>
        </w:rPr>
        <w:t>2.5年折旧费用：$51,545M</w:t>
      </w:r>
      <w:r>
        <w:rPr>
          <w:rFonts w:ascii="Times New Roman" w:hAnsi="Times New Roman" w:eastAsia="宋体"/>
          <w:sz w:val="24"/>
        </w:rPr>
        <w:t xml:space="preserve"> / 2.5 = $20,618M</w:t>
      </w:r>
    </w:p>
    <w:p w14:paraId="0A4BA7A2">
      <w:pPr>
        <w:pStyle w:val="26"/>
        <w:spacing w:before="40" w:after="40" w:line="360" w:lineRule="auto"/>
        <w:ind w:left="840"/>
      </w:pPr>
      <w:r>
        <w:rPr>
          <w:rFonts w:hint="eastAsia" w:ascii="Times New Roman" w:hAnsi="Times New Roman" w:eastAsia="宋体"/>
          <w:sz w:val="24"/>
        </w:rPr>
        <w:t>5.5年折旧费用：$51,545M</w:t>
      </w:r>
      <w:r>
        <w:rPr>
          <w:rFonts w:ascii="Times New Roman" w:hAnsi="Times New Roman" w:eastAsia="宋体"/>
          <w:sz w:val="24"/>
        </w:rPr>
        <w:t xml:space="preserve"> / 5.5 = $9,372M</w:t>
      </w:r>
    </w:p>
    <w:p w14:paraId="26F36860">
      <w:pPr>
        <w:pStyle w:val="26"/>
        <w:spacing w:before="40" w:after="40" w:line="360" w:lineRule="auto"/>
        <w:ind w:left="840"/>
      </w:pPr>
      <w:r>
        <w:rPr>
          <w:rFonts w:hint="eastAsia" w:ascii="Times New Roman" w:hAnsi="Times New Roman" w:eastAsia="宋体"/>
          <w:sz w:val="24"/>
        </w:rPr>
        <w:t>服务器折旧缺口：$20,618M</w:t>
      </w:r>
      <w:r>
        <w:rPr>
          <w:rFonts w:ascii="Times New Roman" w:hAnsi="Times New Roman" w:eastAsia="宋体"/>
          <w:sz w:val="24"/>
        </w:rPr>
        <w:t xml:space="preserve"> − $9,372M = </w:t>
      </w:r>
      <w:r>
        <w:rPr>
          <w:rFonts w:ascii="Times New Roman" w:hAnsi="Times New Roman" w:eastAsia="宋体"/>
          <w:b/>
          <w:bCs/>
          <w:sz w:val="24"/>
        </w:rPr>
        <w:t>$11,246M</w:t>
      </w:r>
    </w:p>
    <w:p w14:paraId="5BD623E6">
      <w:pPr>
        <w:pStyle w:val="26"/>
        <w:spacing w:before="40" w:after="40" w:line="360" w:lineRule="auto"/>
        <w:ind w:left="420"/>
      </w:pPr>
      <w:r>
        <w:rPr>
          <w:rFonts w:hint="eastAsia" w:ascii="Times New Roman" w:hAnsi="Times New Roman" w:eastAsia="宋体"/>
          <w:sz w:val="24"/>
        </w:rPr>
        <w:t>与披露数据交叉验证：Meta自曝5.5年变更将使2025年折旧减少$2.9B。这一数字仅反映“从5年延长到5.5年”的边际影响，未反映从2.5年技术周期到5.5年会计年限的</w:t>
      </w:r>
      <w:r>
        <w:rPr>
          <w:rFonts w:hint="eastAsia" w:ascii="Times New Roman" w:hAnsi="Times New Roman" w:eastAsia="宋体"/>
          <w:b/>
          <w:bCs/>
          <w:sz w:val="24"/>
        </w:rPr>
        <w:t>结构性错配</w:t>
      </w:r>
      <w:r>
        <w:rPr>
          <w:rFonts w:ascii="Times New Roman" w:hAnsi="Times New Roman" w:eastAsia="宋体"/>
          <w:sz w:val="24"/>
        </w:rPr>
        <w:t>。</w:t>
      </w:r>
    </w:p>
    <w:p w14:paraId="791B49C9">
      <w:pPr>
        <w:pStyle w:val="25"/>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Meta服务器折旧缺口约$112亿美元/年。披露的$2.9B只是“冰山一角”——它只量化了“又延长了一年”的影响，而没有量化和“技术迭代周期”之间的差距。这正是本研究“折旧缺口”指标的价值所在：将公司未披露的隐性错配显性化。</w:t>
      </w:r>
    </w:p>
    <w:p w14:paraId="41590812">
      <w:pPr>
        <w:pStyle w:val="25"/>
        <w:spacing w:before="40" w:after="40" w:line="360" w:lineRule="auto"/>
        <w:ind w:firstLine="480"/>
      </w:pPr>
      <w:r>
        <w:rPr>
          <w:rFonts w:hint="eastAsia" w:ascii="Times New Roman" w:hAnsi="Times New Roman" w:eastAsia="宋体"/>
          <w:b/>
          <w:bCs/>
          <w:sz w:val="24"/>
        </w:rPr>
        <w:t>（3）Oracle</w:t>
      </w:r>
      <w:r>
        <w:rPr>
          <w:rFonts w:ascii="Times New Roman" w:hAnsi="Times New Roman" w:eastAsia="宋体"/>
          <w:b/>
          <w:bCs/>
          <w:sz w:val="24"/>
        </w:rPr>
        <w:t xml:space="preserve"> </w:t>
      </w:r>
      <w:r>
        <w:rPr>
          <w:rFonts w:hint="eastAsia" w:ascii="Times New Roman" w:hAnsi="Times New Roman" w:eastAsia="宋体"/>
          <w:b/>
          <w:bCs/>
          <w:sz w:val="24"/>
        </w:rPr>
        <w:t>FY2025：连续延长者的累积缺口</w:t>
      </w:r>
    </w:p>
    <w:p w14:paraId="63395E41">
      <w:pPr>
        <w:pStyle w:val="3"/>
        <w:spacing w:before="40" w:after="40" w:line="360" w:lineRule="auto"/>
        <w:ind w:firstLine="480"/>
      </w:pPr>
      <w:r>
        <w:rPr>
          <w:rFonts w:hint="eastAsia" w:ascii="Times New Roman" w:hAnsi="Times New Roman" w:eastAsia="宋体"/>
          <w:sz w:val="24"/>
        </w:rPr>
        <w:t>Oracle在面板观察期内两次延长（4→5→6年），是典型的“连续延长者”，其折旧缺口具有累积效应。</w:t>
      </w:r>
    </w:p>
    <w:p w14:paraId="4284B193">
      <w:pPr>
        <w:pStyle w:val="3"/>
        <w:spacing w:before="40" w:after="40" w:line="360" w:lineRule="auto"/>
        <w:ind w:firstLine="480"/>
      </w:pPr>
      <w:r>
        <w:rPr>
          <w:rFonts w:hint="eastAsia" w:ascii="Times New Roman" w:hAnsi="Times New Roman" w:eastAsia="宋体"/>
          <w:b/>
          <w:bCs/>
          <w:sz w:val="24"/>
        </w:rPr>
        <w:t>基础数据</w:t>
      </w:r>
      <w:r>
        <w:rPr>
          <w:rFonts w:hint="eastAsia" w:ascii="Times New Roman" w:hAnsi="Times New Roman" w:eastAsia="宋体"/>
          <w:sz w:val="24"/>
        </w:rPr>
        <w:t>（来源：Oracle</w:t>
      </w:r>
      <w:r>
        <w:rPr>
          <w:rFonts w:ascii="Times New Roman" w:hAnsi="Times New Roman" w:eastAsia="宋体"/>
          <w:sz w:val="24"/>
        </w:rPr>
        <w:t xml:space="preserve"> FY2025 </w:t>
      </w:r>
      <w:r>
        <w:rPr>
          <w:rFonts w:hint="eastAsia" w:ascii="Times New Roman" w:hAnsi="Times New Roman" w:eastAsia="宋体"/>
          <w:sz w:val="24"/>
        </w:rPr>
        <w:t>10-K，本报告</w:t>
      </w:r>
      <w:r>
        <w:rPr>
          <w:rFonts w:ascii="Times New Roman" w:hAnsi="Times New Roman" w:eastAsia="宋体"/>
          <w:sz w:val="24"/>
        </w:rPr>
        <w:t xml:space="preserve"> 4.4.1 </w:t>
      </w:r>
      <w:r>
        <w:rPr>
          <w:rFonts w:hint="eastAsia" w:ascii="Times New Roman" w:hAnsi="Times New Roman" w:eastAsia="宋体"/>
          <w:sz w:val="24"/>
        </w:rPr>
        <w:t>节已标注）：</w:t>
      </w:r>
    </w:p>
    <w:p w14:paraId="5EEE2BF1">
      <w:pPr>
        <w:pStyle w:val="26"/>
        <w:spacing w:before="40" w:after="40" w:line="360" w:lineRule="auto"/>
        <w:ind w:left="420"/>
      </w:pPr>
      <w:r>
        <w:rPr>
          <w:rFonts w:hint="eastAsia" w:ascii="Times New Roman" w:hAnsi="Times New Roman" w:eastAsia="宋体"/>
          <w:sz w:val="24"/>
        </w:rPr>
        <w:t>净PP&amp;E：$43,500M（FY2025，同比翻倍）</w:t>
      </w:r>
    </w:p>
    <w:p w14:paraId="30B18B24">
      <w:pPr>
        <w:pStyle w:val="26"/>
        <w:spacing w:before="40" w:after="40" w:line="360" w:lineRule="auto"/>
        <w:ind w:left="420"/>
      </w:pPr>
      <w:r>
        <w:rPr>
          <w:rFonts w:hint="eastAsia" w:ascii="Times New Roman" w:hAnsi="Times New Roman" w:eastAsia="宋体"/>
          <w:sz w:val="24"/>
        </w:rPr>
        <w:t>服务器及网络设备年限：6年（2024年6月生效）</w:t>
      </w:r>
    </w:p>
    <w:p w14:paraId="0264BFF8">
      <w:pPr>
        <w:pStyle w:val="26"/>
        <w:spacing w:before="40" w:after="40" w:line="360" w:lineRule="auto"/>
        <w:ind w:left="420"/>
      </w:pPr>
      <w:r>
        <w:rPr>
          <w:rFonts w:hint="eastAsia" w:ascii="Times New Roman" w:hAnsi="Times New Roman" w:eastAsia="宋体"/>
          <w:sz w:val="24"/>
        </w:rPr>
        <w:t>变更直接影响：经营费用减少$733M、净利增加$573M（Note</w:t>
      </w:r>
      <w:r>
        <w:rPr>
          <w:rFonts w:ascii="Times New Roman" w:hAnsi="Times New Roman" w:eastAsia="宋体"/>
          <w:sz w:val="24"/>
        </w:rPr>
        <w:t xml:space="preserve"> </w:t>
      </w:r>
      <w:r>
        <w:rPr>
          <w:rFonts w:hint="eastAsia" w:ascii="Times New Roman" w:hAnsi="Times New Roman" w:eastAsia="宋体"/>
          <w:sz w:val="24"/>
        </w:rPr>
        <w:t>1第6755行）</w:t>
      </w:r>
    </w:p>
    <w:p w14:paraId="3F792E0B">
      <w:pPr>
        <w:pStyle w:val="25"/>
        <w:spacing w:before="40" w:after="40" w:line="360" w:lineRule="auto"/>
        <w:ind w:firstLine="480"/>
      </w:pPr>
      <w:r>
        <w:rPr>
          <w:rFonts w:hint="eastAsia" w:ascii="Times New Roman" w:hAnsi="Times New Roman" w:eastAsia="宋体"/>
          <w:b/>
          <w:bCs/>
          <w:sz w:val="24"/>
        </w:rPr>
        <w:t>计算过程</w:t>
      </w:r>
      <w:r>
        <w:rPr>
          <w:rFonts w:hint="eastAsia" w:ascii="Times New Roman" w:hAnsi="Times New Roman" w:eastAsia="宋体"/>
          <w:sz w:val="24"/>
        </w:rPr>
        <w:t>：</w:t>
      </w:r>
    </w:p>
    <w:p w14:paraId="01DA0CD4">
      <w:pPr>
        <w:pStyle w:val="26"/>
        <w:spacing w:before="40" w:after="40" w:line="360" w:lineRule="auto"/>
        <w:ind w:left="420"/>
      </w:pPr>
      <w:r>
        <w:rPr>
          <w:rFonts w:hint="eastAsia" w:ascii="Times New Roman" w:hAnsi="Times New Roman" w:eastAsia="宋体"/>
          <w:sz w:val="24"/>
        </w:rPr>
        <w:t>按2.5年技术迭代周期估算：</w:t>
      </w:r>
    </w:p>
    <w:p w14:paraId="0D25E2BD">
      <w:pPr>
        <w:pStyle w:val="26"/>
        <w:spacing w:before="40" w:after="40" w:line="360" w:lineRule="auto"/>
        <w:ind w:left="840"/>
      </w:pPr>
      <w:r>
        <w:rPr>
          <w:rFonts w:hint="eastAsia" w:ascii="Times New Roman" w:hAnsi="Times New Roman" w:eastAsia="宋体"/>
          <w:sz w:val="24"/>
        </w:rPr>
        <w:t>假设服务器/网络资产占PP&amp;E的55%（Oracle兼有云服务与软件业务）→</w:t>
      </w:r>
      <w:r>
        <w:rPr>
          <w:rFonts w:ascii="Times New Roman" w:hAnsi="Times New Roman" w:eastAsia="宋体"/>
          <w:sz w:val="24"/>
        </w:rPr>
        <w:t xml:space="preserve"> $23,925M</w:t>
      </w:r>
    </w:p>
    <w:p w14:paraId="29B53881">
      <w:pPr>
        <w:pStyle w:val="26"/>
        <w:spacing w:before="40" w:after="40" w:line="360" w:lineRule="auto"/>
        <w:ind w:left="840"/>
      </w:pPr>
      <w:r>
        <w:rPr>
          <w:rFonts w:hint="eastAsia" w:ascii="Times New Roman" w:hAnsi="Times New Roman" w:eastAsia="宋体"/>
          <w:sz w:val="24"/>
        </w:rPr>
        <w:t>2.5年折旧费用：$23,925M</w:t>
      </w:r>
      <w:r>
        <w:rPr>
          <w:rFonts w:ascii="Times New Roman" w:hAnsi="Times New Roman" w:eastAsia="宋体"/>
          <w:sz w:val="24"/>
        </w:rPr>
        <w:t xml:space="preserve"> / 2.5 = $9,570M</w:t>
      </w:r>
    </w:p>
    <w:p w14:paraId="35FA1784">
      <w:pPr>
        <w:pStyle w:val="26"/>
        <w:spacing w:before="40" w:after="40" w:line="360" w:lineRule="auto"/>
        <w:ind w:left="840"/>
      </w:pPr>
      <w:r>
        <w:rPr>
          <w:rFonts w:hint="eastAsia" w:ascii="Times New Roman" w:hAnsi="Times New Roman" w:eastAsia="宋体"/>
          <w:sz w:val="24"/>
        </w:rPr>
        <w:t>6年折旧费用：$23,925M</w:t>
      </w:r>
      <w:r>
        <w:rPr>
          <w:rFonts w:ascii="Times New Roman" w:hAnsi="Times New Roman" w:eastAsia="宋体"/>
          <w:sz w:val="24"/>
        </w:rPr>
        <w:t xml:space="preserve"> / 6 = $3,988M</w:t>
      </w:r>
    </w:p>
    <w:p w14:paraId="0CF0D45D">
      <w:pPr>
        <w:pStyle w:val="26"/>
        <w:spacing w:before="40" w:after="40" w:line="360" w:lineRule="auto"/>
        <w:ind w:left="840"/>
      </w:pPr>
      <w:r>
        <w:rPr>
          <w:rFonts w:hint="eastAsia" w:ascii="Times New Roman" w:hAnsi="Times New Roman" w:eastAsia="宋体"/>
          <w:sz w:val="24"/>
        </w:rPr>
        <w:t>服务器折旧缺口：$9,570M</w:t>
      </w:r>
      <w:r>
        <w:rPr>
          <w:rFonts w:ascii="Times New Roman" w:hAnsi="Times New Roman" w:eastAsia="宋体"/>
          <w:sz w:val="24"/>
        </w:rPr>
        <w:t xml:space="preserve"> − $3,988M = </w:t>
      </w:r>
      <w:r>
        <w:rPr>
          <w:rFonts w:ascii="Times New Roman" w:hAnsi="Times New Roman" w:eastAsia="宋体"/>
          <w:b/>
          <w:bCs/>
          <w:sz w:val="24"/>
        </w:rPr>
        <w:t>$5,582M</w:t>
      </w:r>
    </w:p>
    <w:p w14:paraId="17D3A9C7">
      <w:pPr>
        <w:pStyle w:val="26"/>
        <w:spacing w:before="40" w:after="40" w:line="360" w:lineRule="auto"/>
        <w:ind w:left="420"/>
      </w:pPr>
      <w:r>
        <w:rPr>
          <w:rFonts w:hint="eastAsia" w:ascii="Times New Roman" w:hAnsi="Times New Roman" w:eastAsia="宋体"/>
          <w:sz w:val="24"/>
        </w:rPr>
        <w:t>累积效应：Oracle在FY2023已将服务器从4年延长至5年（减少经营费用$434M），FY2025再次延长至6年。两次延长叠加，意味着同一批资产从“按4年计提”变为“按6年计提”，累积折旧缺口进一步扩大。</w:t>
      </w:r>
    </w:p>
    <w:p w14:paraId="4DCED081">
      <w:pPr>
        <w:pStyle w:val="25"/>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：Oracle</w:t>
      </w:r>
      <w:r>
        <w:rPr>
          <w:rFonts w:ascii="Times New Roman" w:hAnsi="Times New Roman" w:eastAsia="宋体"/>
          <w:sz w:val="24"/>
        </w:rPr>
        <w:t xml:space="preserve"> </w:t>
      </w:r>
      <w:r>
        <w:rPr>
          <w:rFonts w:hint="eastAsia" w:ascii="Times New Roman" w:hAnsi="Times New Roman" w:eastAsia="宋体"/>
          <w:sz w:val="24"/>
        </w:rPr>
        <w:t>FY2025服务器折旧缺口约$56亿美元/年。叠加FY2023首次延长的$4.34亿美元直接影响，面板观察期内因折旧年限延长而“前置”的利润累计超过$10亿美元。</w:t>
      </w:r>
    </w:p>
    <w:p w14:paraId="7CDD4748">
      <w:pPr>
        <w:pStyle w:val="25"/>
        <w:spacing w:before="40" w:after="40" w:line="360" w:lineRule="auto"/>
        <w:ind w:firstLine="480"/>
      </w:pPr>
      <w:r>
        <w:rPr>
          <w:rFonts w:hint="eastAsia" w:ascii="Times New Roman" w:hAnsi="Times New Roman" w:eastAsia="宋体"/>
          <w:b/>
          <w:bCs/>
          <w:sz w:val="24"/>
        </w:rPr>
        <w:t>三、折旧缺口的指标化应用</w:t>
      </w:r>
    </w:p>
    <w:p w14:paraId="16F5D919">
      <w:pPr>
        <w:pStyle w:val="3"/>
        <w:spacing w:before="40" w:after="40" w:line="360" w:lineRule="auto"/>
        <w:ind w:firstLine="480"/>
      </w:pPr>
      <w:r>
        <w:rPr>
          <w:rFonts w:hint="eastAsia" w:ascii="Times New Roman" w:hAnsi="Times New Roman" w:eastAsia="宋体"/>
          <w:b/>
          <w:bCs/>
          <w:sz w:val="24"/>
        </w:rPr>
        <w:t>应用场景一：保险保额设计</w:t>
      </w:r>
    </w:p>
    <w:p w14:paraId="3932CE05">
      <w:pPr>
        <w:pStyle w:val="3"/>
        <w:spacing w:before="40" w:after="40" w:line="360" w:lineRule="auto"/>
        <w:ind w:firstLine="480"/>
      </w:pPr>
      <w:r>
        <w:rPr>
          <w:rFonts w:hint="eastAsia" w:ascii="Times New Roman" w:hAnsi="Times New Roman" w:eastAsia="宋体"/>
          <w:sz w:val="24"/>
        </w:rPr>
        <w:t>为算力密集型企业承保财产险/营业中断险时，折旧缺口可作为“资产隐性贬值”的参考：</w:t>
      </w:r>
    </w:p>
    <w:p w14:paraId="2E3A6DE5">
      <w:pPr>
        <w:pStyle w:val="3"/>
        <w:spacing w:before="40" w:after="40" w:line="360" w:lineRule="auto"/>
        <w:ind w:firstLine="480"/>
      </w:pPr>
      <w:r>
        <w:rPr>
          <w:rFonts w:hint="eastAsia" w:ascii="Times New Roman" w:hAnsi="Times New Roman" w:eastAsia="宋体"/>
          <w:sz w:val="24"/>
        </w:rPr>
        <w:t>建议保额</w:t>
      </w:r>
      <w:r>
        <w:rPr>
          <w:rFonts w:ascii="Times New Roman" w:hAnsi="Times New Roman" w:eastAsia="宋体"/>
          <w:sz w:val="24"/>
        </w:rPr>
        <w:t xml:space="preserve"> = </w:t>
      </w:r>
      <w:r>
        <w:rPr>
          <w:rFonts w:hint="eastAsia" w:ascii="Times New Roman" w:hAnsi="Times New Roman" w:eastAsia="宋体"/>
          <w:sz w:val="24"/>
        </w:rPr>
        <w:t>账面固定资产原值</w:t>
      </w:r>
      <w:r>
        <w:rPr>
          <w:rFonts w:ascii="Times New Roman" w:hAnsi="Times New Roman" w:eastAsia="宋体"/>
          <w:sz w:val="24"/>
        </w:rPr>
        <w:t xml:space="preserve"> × </w:t>
      </w:r>
      <w:r>
        <w:rPr>
          <w:rFonts w:hint="eastAsia" w:ascii="Times New Roman" w:hAnsi="Times New Roman" w:eastAsia="宋体"/>
          <w:sz w:val="24"/>
        </w:rPr>
        <w:t>折旧风险系数，其中折旧风险系数</w:t>
      </w:r>
      <w:r>
        <w:rPr>
          <w:rFonts w:ascii="Times New Roman" w:hAnsi="Times New Roman" w:eastAsia="宋体"/>
          <w:sz w:val="24"/>
        </w:rPr>
        <w:t xml:space="preserve"> = </w:t>
      </w:r>
      <w:r>
        <w:rPr>
          <w:rFonts w:hint="eastAsia" w:ascii="Times New Roman" w:hAnsi="Times New Roman" w:eastAsia="宋体"/>
          <w:sz w:val="24"/>
        </w:rPr>
        <w:t>折旧缺口</w:t>
      </w:r>
      <w:r>
        <w:rPr>
          <w:rFonts w:ascii="Times New Roman" w:hAnsi="Times New Roman" w:eastAsia="宋体"/>
          <w:sz w:val="24"/>
        </w:rPr>
        <w:t xml:space="preserve"> ÷ </w:t>
      </w:r>
      <w:r>
        <w:rPr>
          <w:rFonts w:hint="eastAsia" w:ascii="Times New Roman" w:hAnsi="Times New Roman" w:eastAsia="宋体"/>
          <w:sz w:val="24"/>
        </w:rPr>
        <w:t>账面折旧费用。</w:t>
      </w:r>
    </w:p>
    <w:p w14:paraId="428ADF0D">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Google </w:t>
      </w:r>
      <w:r>
        <w:rPr>
          <w:rFonts w:hint="eastAsia" w:ascii="Times New Roman" w:hAnsi="Times New Roman" w:eastAsia="宋体"/>
          <w:sz w:val="24"/>
        </w:rPr>
        <w:t>为例：折旧风险系数</w:t>
      </w:r>
      <w:r>
        <w:rPr>
          <w:rFonts w:ascii="Times New Roman" w:hAnsi="Times New Roman" w:eastAsia="宋体"/>
          <w:sz w:val="24"/>
        </w:rPr>
        <w:t xml:space="preserve"> = $16,769M ÷ $11,946M ≈ </w:t>
      </w:r>
      <w:r>
        <w:rPr>
          <w:rFonts w:hint="eastAsia" w:ascii="Times New Roman" w:hAnsi="Times New Roman" w:eastAsia="宋体"/>
          <w:sz w:val="24"/>
        </w:rPr>
        <w:t>1.40，即建议保额在账面原值基础上增加</w:t>
      </w:r>
      <w:r>
        <w:rPr>
          <w:rFonts w:ascii="Times New Roman" w:hAnsi="Times New Roman" w:eastAsia="宋体"/>
          <w:sz w:val="24"/>
        </w:rPr>
        <w:t xml:space="preserve"> 40% </w:t>
      </w:r>
      <w:r>
        <w:rPr>
          <w:rFonts w:hint="eastAsia" w:ascii="Times New Roman" w:hAnsi="Times New Roman" w:eastAsia="宋体"/>
          <w:sz w:val="24"/>
        </w:rPr>
        <w:t>的隐性贬值覆盖。</w:t>
      </w:r>
    </w:p>
    <w:p w14:paraId="5A04CD22">
      <w:pPr>
        <w:pStyle w:val="3"/>
        <w:spacing w:before="40" w:after="40" w:line="360" w:lineRule="auto"/>
        <w:ind w:firstLine="480"/>
      </w:pPr>
      <w:r>
        <w:rPr>
          <w:rFonts w:hint="eastAsia" w:ascii="Times New Roman" w:hAnsi="Times New Roman" w:eastAsia="宋体"/>
          <w:b/>
          <w:bCs/>
          <w:sz w:val="24"/>
        </w:rPr>
        <w:t>应用场景二：投研估值调整</w:t>
      </w:r>
    </w:p>
    <w:p w14:paraId="57F17060">
      <w:pPr>
        <w:pStyle w:val="3"/>
        <w:spacing w:before="40" w:after="40" w:line="360" w:lineRule="auto"/>
        <w:ind w:firstLine="480"/>
      </w:pPr>
      <w:r>
        <w:rPr>
          <w:rFonts w:hint="eastAsia" w:ascii="Times New Roman" w:hAnsi="Times New Roman" w:eastAsia="宋体"/>
          <w:sz w:val="24"/>
        </w:rPr>
        <w:t>分析师在使用DCF模型估值时，可将折旧缺口加回至EBIT，重新估算企业真实盈利能力：</w:t>
      </w:r>
    </w:p>
    <w:p w14:paraId="2C34D0E1">
      <w:pPr>
        <w:pStyle w:val="3"/>
        <w:spacing w:before="40" w:after="40" w:line="360" w:lineRule="auto"/>
        <w:ind w:firstLine="480"/>
      </w:pPr>
      <w:r>
        <w:rPr>
          <w:rFonts w:hint="eastAsia" w:ascii="Times New Roman" w:hAnsi="Times New Roman" w:eastAsia="宋体"/>
          <w:sz w:val="24"/>
        </w:rPr>
        <w:t>调整后</w:t>
      </w:r>
      <w:r>
        <w:rPr>
          <w:rFonts w:ascii="Times New Roman" w:hAnsi="Times New Roman" w:eastAsia="宋体"/>
          <w:sz w:val="24"/>
        </w:rPr>
        <w:t xml:space="preserve"> EBIT = </w:t>
      </w:r>
      <w:r>
        <w:rPr>
          <w:rFonts w:hint="eastAsia" w:ascii="Times New Roman" w:hAnsi="Times New Roman" w:eastAsia="宋体"/>
          <w:sz w:val="24"/>
        </w:rPr>
        <w:t>报告</w:t>
      </w:r>
      <w:r>
        <w:rPr>
          <w:rFonts w:ascii="Times New Roman" w:hAnsi="Times New Roman" w:eastAsia="宋体"/>
          <w:sz w:val="24"/>
        </w:rPr>
        <w:t xml:space="preserve"> EBIT − </w:t>
      </w:r>
      <w:r>
        <w:rPr>
          <w:rFonts w:hint="eastAsia" w:ascii="Times New Roman" w:hAnsi="Times New Roman" w:eastAsia="宋体"/>
          <w:sz w:val="24"/>
        </w:rPr>
        <w:t>折旧缺口；调整后净利润</w:t>
      </w:r>
      <w:r>
        <w:rPr>
          <w:rFonts w:ascii="Times New Roman" w:hAnsi="Times New Roman" w:eastAsia="宋体"/>
          <w:sz w:val="24"/>
        </w:rPr>
        <w:t xml:space="preserve"> = </w:t>
      </w:r>
      <w:r>
        <w:rPr>
          <w:rFonts w:hint="eastAsia" w:ascii="Times New Roman" w:hAnsi="Times New Roman" w:eastAsia="宋体"/>
          <w:sz w:val="24"/>
        </w:rPr>
        <w:t>报告净利润</w:t>
      </w:r>
      <w:r>
        <w:rPr>
          <w:rFonts w:ascii="Times New Roman" w:hAnsi="Times New Roman" w:eastAsia="宋体"/>
          <w:sz w:val="24"/>
        </w:rPr>
        <w:t xml:space="preserve"> − </w:t>
      </w:r>
      <w:r>
        <w:rPr>
          <w:rFonts w:hint="eastAsia" w:ascii="Times New Roman" w:hAnsi="Times New Roman" w:eastAsia="宋体"/>
          <w:sz w:val="24"/>
        </w:rPr>
        <w:t>折旧缺口</w:t>
      </w:r>
      <w:r>
        <w:rPr>
          <w:rFonts w:ascii="Times New Roman" w:hAnsi="Times New Roman" w:eastAsia="宋体"/>
          <w:sz w:val="24"/>
        </w:rPr>
        <w:t xml:space="preserve"> </w:t>
      </w:r>
      <w:r>
        <w:rPr>
          <w:rFonts w:hint="eastAsia" w:ascii="Times New Roman" w:hAnsi="Times New Roman" w:eastAsia="宋体"/>
          <w:sz w:val="24"/>
        </w:rPr>
        <w:t>×（1</w:t>
      </w:r>
      <w:r>
        <w:rPr>
          <w:rFonts w:ascii="Times New Roman" w:hAnsi="Times New Roman" w:eastAsia="宋体"/>
          <w:sz w:val="24"/>
        </w:rPr>
        <w:t xml:space="preserve"> − </w:t>
      </w:r>
      <w:r>
        <w:rPr>
          <w:rFonts w:hint="eastAsia" w:ascii="Times New Roman" w:hAnsi="Times New Roman" w:eastAsia="宋体"/>
          <w:sz w:val="24"/>
        </w:rPr>
        <w:t>税率）。</w:t>
      </w:r>
    </w:p>
    <w:p w14:paraId="5EB4821D">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Google FY2023 </w:t>
      </w:r>
      <w:r>
        <w:rPr>
          <w:rFonts w:hint="eastAsia" w:ascii="Times New Roman" w:hAnsi="Times New Roman" w:eastAsia="宋体"/>
          <w:sz w:val="24"/>
        </w:rPr>
        <w:t>为例：报告经营利润</w:t>
      </w:r>
      <w:r>
        <w:rPr>
          <w:rFonts w:ascii="Times New Roman" w:hAnsi="Times New Roman" w:eastAsia="宋体"/>
          <w:sz w:val="24"/>
        </w:rPr>
        <w:t xml:space="preserve"> </w:t>
      </w:r>
      <w:r>
        <w:rPr>
          <w:rFonts w:hint="eastAsia" w:ascii="Times New Roman" w:hAnsi="Times New Roman" w:eastAsia="宋体"/>
          <w:sz w:val="24"/>
        </w:rPr>
        <w:t>$84,293M，折旧缺口</w:t>
      </w:r>
      <w:r>
        <w:rPr>
          <w:rFonts w:ascii="Times New Roman" w:hAnsi="Times New Roman" w:eastAsia="宋体"/>
          <w:sz w:val="24"/>
        </w:rPr>
        <w:t xml:space="preserve"> </w:t>
      </w:r>
      <w:r>
        <w:rPr>
          <w:rFonts w:hint="eastAsia" w:ascii="Times New Roman" w:hAnsi="Times New Roman" w:eastAsia="宋体"/>
          <w:sz w:val="24"/>
        </w:rPr>
        <w:t>$16,769M，调整后经营利润</w:t>
      </w:r>
      <w:r>
        <w:rPr>
          <w:rFonts w:ascii="Times New Roman" w:hAnsi="Times New Roman" w:eastAsia="宋体"/>
          <w:sz w:val="24"/>
        </w:rPr>
        <w:t xml:space="preserve"> = $84,293M − $16,769M = </w:t>
      </w:r>
      <w:r>
        <w:rPr>
          <w:rFonts w:hint="eastAsia" w:ascii="Times New Roman" w:hAnsi="Times New Roman" w:eastAsia="宋体"/>
          <w:sz w:val="24"/>
        </w:rPr>
        <w:t>$67,524M，调整幅度</w:t>
      </w:r>
      <w:r>
        <w:rPr>
          <w:rFonts w:ascii="Times New Roman" w:hAnsi="Times New Roman" w:eastAsia="宋体"/>
          <w:sz w:val="24"/>
        </w:rPr>
        <w:t xml:space="preserve"> −19.9%。</w:t>
      </w:r>
    </w:p>
    <w:p w14:paraId="045BF4AF">
      <w:pPr>
        <w:pStyle w:val="3"/>
        <w:spacing w:before="40" w:after="40" w:line="360" w:lineRule="auto"/>
        <w:ind w:firstLine="480"/>
      </w:pPr>
      <w:r>
        <w:rPr>
          <w:rFonts w:hint="eastAsia" w:ascii="Times New Roman" w:hAnsi="Times New Roman" w:eastAsia="宋体"/>
          <w:b/>
          <w:bCs/>
          <w:sz w:val="24"/>
        </w:rPr>
        <w:t>应用场景三：监管风险敞口统计</w:t>
      </w:r>
    </w:p>
    <w:p w14:paraId="4EE55964">
      <w:pPr>
        <w:pStyle w:val="3"/>
        <w:spacing w:before="40" w:after="40" w:line="360" w:lineRule="auto"/>
        <w:ind w:firstLine="480"/>
      </w:pPr>
      <w:r>
        <w:rPr>
          <w:rFonts w:hint="eastAsia" w:ascii="Times New Roman" w:hAnsi="Times New Roman" w:eastAsia="宋体"/>
          <w:sz w:val="24"/>
        </w:rPr>
        <w:t>监管机构可按行业汇总折旧缺口，评估系统性风险累积程度：</w:t>
      </w:r>
    </w:p>
    <w:p w14:paraId="1F4EF721">
      <w:pPr>
        <w:pStyle w:val="3"/>
        <w:spacing w:before="40" w:after="40" w:line="360" w:lineRule="auto"/>
        <w:ind w:firstLine="480"/>
      </w:pPr>
      <w:r>
        <w:rPr>
          <w:rFonts w:hint="eastAsia" w:ascii="Times New Roman" w:hAnsi="Times New Roman" w:eastAsia="宋体"/>
          <w:sz w:val="24"/>
        </w:rPr>
        <w:t>行业折旧缺口</w:t>
      </w:r>
      <w:r>
        <w:rPr>
          <w:rFonts w:ascii="Times New Roman" w:hAnsi="Times New Roman" w:eastAsia="宋体"/>
          <w:sz w:val="24"/>
        </w:rPr>
        <w:t xml:space="preserve"> = </w:t>
      </w:r>
      <w:r>
        <w:rPr>
          <w:rFonts w:hint="eastAsia" w:ascii="Times New Roman" w:hAnsi="Times New Roman" w:eastAsia="宋体"/>
          <w:sz w:val="24"/>
        </w:rPr>
        <w:t>Σ（各公司折旧缺口）。以美国</w:t>
      </w:r>
      <w:r>
        <w:rPr>
          <w:rFonts w:ascii="Times New Roman" w:hAnsi="Times New Roman" w:eastAsia="宋体"/>
          <w:sz w:val="24"/>
        </w:rPr>
        <w:t xml:space="preserve"> hyperscalers </w:t>
      </w:r>
      <w:r>
        <w:rPr>
          <w:rFonts w:hint="eastAsia" w:ascii="Times New Roman" w:hAnsi="Times New Roman" w:eastAsia="宋体"/>
          <w:sz w:val="24"/>
        </w:rPr>
        <w:t>为例（Google</w:t>
      </w:r>
      <w:r>
        <w:rPr>
          <w:rFonts w:ascii="Times New Roman" w:hAnsi="Times New Roman" w:eastAsia="宋体"/>
          <w:sz w:val="24"/>
        </w:rPr>
        <w:t xml:space="preserve"> + Meta + Microsoft + </w:t>
      </w:r>
      <w:r>
        <w:rPr>
          <w:rFonts w:hint="eastAsia" w:ascii="Times New Roman" w:hAnsi="Times New Roman" w:eastAsia="宋体"/>
          <w:sz w:val="24"/>
        </w:rPr>
        <w:t>Oracle），估算行业年度折旧缺口约为</w:t>
      </w:r>
      <w:r>
        <w:rPr>
          <w:rFonts w:ascii="Times New Roman" w:hAnsi="Times New Roman" w:eastAsia="宋体"/>
          <w:sz w:val="24"/>
        </w:rPr>
        <w:t xml:space="preserve"> $16.8B + $11.2B + </w:t>
      </w:r>
      <w:r>
        <w:rPr>
          <w:rFonts w:hint="eastAsia" w:ascii="Times New Roman" w:hAnsi="Times New Roman" w:eastAsia="宋体"/>
          <w:sz w:val="24"/>
        </w:rPr>
        <w:t>$14.5B（MSFT</w:t>
      </w:r>
      <w:r>
        <w:rPr>
          <w:rFonts w:ascii="Times New Roman" w:hAnsi="Times New Roman" w:eastAsia="宋体"/>
          <w:sz w:val="24"/>
        </w:rPr>
        <w:t xml:space="preserve"> </w:t>
      </w:r>
      <w:r>
        <w:rPr>
          <w:rFonts w:hint="eastAsia" w:ascii="Times New Roman" w:hAnsi="Times New Roman" w:eastAsia="宋体"/>
          <w:sz w:val="24"/>
        </w:rPr>
        <w:t>估算）+</w:t>
      </w:r>
      <w:r>
        <w:rPr>
          <w:rFonts w:ascii="Times New Roman" w:hAnsi="Times New Roman" w:eastAsia="宋体"/>
          <w:sz w:val="24"/>
        </w:rPr>
        <w:t xml:space="preserve"> $5.6B ≈ </w:t>
      </w:r>
      <w:r>
        <w:rPr>
          <w:rFonts w:hint="eastAsia" w:ascii="Times New Roman" w:hAnsi="Times New Roman" w:eastAsia="宋体"/>
          <w:sz w:val="24"/>
        </w:rPr>
        <w:t>$48B/年。该数字与</w:t>
      </w:r>
      <w:r>
        <w:rPr>
          <w:rFonts w:ascii="Times New Roman" w:hAnsi="Times New Roman" w:eastAsia="宋体"/>
          <w:sz w:val="24"/>
        </w:rPr>
        <w:t xml:space="preserve"> Burry </w:t>
      </w:r>
      <w:r>
        <w:rPr>
          <w:rFonts w:hint="eastAsia" w:ascii="Times New Roman" w:hAnsi="Times New Roman" w:eastAsia="宋体"/>
          <w:sz w:val="24"/>
        </w:rPr>
        <w:t>估算的</w:t>
      </w:r>
      <w:r>
        <w:rPr>
          <w:rFonts w:ascii="Times New Roman" w:hAnsi="Times New Roman" w:eastAsia="宋体"/>
          <w:sz w:val="24"/>
        </w:rPr>
        <w:t xml:space="preserve"> 2026-2028 </w:t>
      </w:r>
      <w:r>
        <w:rPr>
          <w:rFonts w:hint="eastAsia" w:ascii="Times New Roman" w:hAnsi="Times New Roman" w:eastAsia="宋体"/>
          <w:sz w:val="24"/>
        </w:rPr>
        <w:t>年全行业</w:t>
      </w:r>
      <w:r>
        <w:rPr>
          <w:rFonts w:ascii="Times New Roman" w:hAnsi="Times New Roman" w:eastAsia="宋体"/>
          <w:sz w:val="24"/>
        </w:rPr>
        <w:t xml:space="preserve"> $176B </w:t>
      </w:r>
      <w:r>
        <w:rPr>
          <w:rFonts w:hint="eastAsia" w:ascii="Times New Roman" w:hAnsi="Times New Roman" w:eastAsia="宋体"/>
          <w:sz w:val="24"/>
        </w:rPr>
        <w:t>低估（年均约</w:t>
      </w:r>
      <w:r>
        <w:rPr>
          <w:rFonts w:ascii="Times New Roman" w:hAnsi="Times New Roman" w:eastAsia="宋体"/>
          <w:sz w:val="24"/>
        </w:rPr>
        <w:t xml:space="preserve"> </w:t>
      </w:r>
      <w:r>
        <w:rPr>
          <w:rFonts w:hint="eastAsia" w:ascii="Times New Roman" w:hAnsi="Times New Roman" w:eastAsia="宋体"/>
          <w:sz w:val="24"/>
        </w:rPr>
        <w:t>$59B）处于可比数量级。</w:t>
      </w:r>
    </w:p>
    <w:p w14:paraId="342712DE">
      <w:pPr>
        <w:pStyle w:val="3"/>
        <w:spacing w:before="40" w:after="40" w:line="360" w:lineRule="auto"/>
        <w:ind w:firstLine="480"/>
      </w:pPr>
      <w:r>
        <w:rPr>
          <w:rFonts w:hint="eastAsia" w:ascii="Times New Roman" w:hAnsi="Times New Roman" w:eastAsia="宋体"/>
          <w:b/>
          <w:bCs/>
          <w:sz w:val="24"/>
        </w:rPr>
        <w:t>局限性声明</w:t>
      </w:r>
      <w:r>
        <w:rPr>
          <w:rFonts w:hint="eastAsia" w:ascii="Times New Roman" w:hAnsi="Times New Roman" w:eastAsia="宋体"/>
          <w:sz w:val="24"/>
        </w:rPr>
        <w:t>：</w:t>
      </w:r>
      <w:r>
        <w:rPr>
          <w:rFonts w:ascii="Times New Roman" w:hAnsi="Times New Roman" w:eastAsia="宋体"/>
          <w:sz w:val="24"/>
        </w:rPr>
        <w:t xml:space="preserve"> 1. </w:t>
      </w:r>
      <w:r>
        <w:rPr>
          <w:rFonts w:hint="eastAsia" w:ascii="Times New Roman" w:hAnsi="Times New Roman" w:eastAsia="宋体"/>
          <w:sz w:val="24"/>
        </w:rPr>
        <w:t>上述计算基于“技术迭代周期2.5年”的行业共识估计，实际周期因技术路线（训练/推理/边缘）而异；</w:t>
      </w:r>
      <w:r>
        <w:rPr>
          <w:rFonts w:ascii="Times New Roman" w:hAnsi="Times New Roman" w:eastAsia="宋体"/>
          <w:sz w:val="24"/>
        </w:rPr>
        <w:t xml:space="preserve"> 2. </w:t>
      </w:r>
      <w:r>
        <w:rPr>
          <w:rFonts w:hint="eastAsia" w:ascii="Times New Roman" w:hAnsi="Times New Roman" w:eastAsia="宋体"/>
          <w:sz w:val="24"/>
        </w:rPr>
        <w:t>服务器/网络资产占PP&amp;E的比例为估算值，各公司实际结构可能不同；</w:t>
      </w:r>
      <w:r>
        <w:rPr>
          <w:rFonts w:ascii="Times New Roman" w:hAnsi="Times New Roman" w:eastAsia="宋体"/>
          <w:sz w:val="24"/>
        </w:rPr>
        <w:t xml:space="preserve"> 3. </w:t>
      </w:r>
      <w:r>
        <w:rPr>
          <w:rFonts w:hint="eastAsia" w:ascii="Times New Roman" w:hAnsi="Times New Roman" w:eastAsia="宋体"/>
          <w:sz w:val="24"/>
        </w:rPr>
        <w:t>折旧缺口未考虑资产残值、退役后复用（如推理场景）等因素，属于“上限估算”；</w:t>
      </w:r>
      <w:r>
        <w:rPr>
          <w:rFonts w:ascii="Times New Roman" w:hAnsi="Times New Roman" w:eastAsia="宋体"/>
          <w:sz w:val="24"/>
        </w:rPr>
        <w:t xml:space="preserve"> 4. </w:t>
      </w:r>
      <w:r>
        <w:rPr>
          <w:rFonts w:hint="eastAsia" w:ascii="Times New Roman" w:hAnsi="Times New Roman" w:eastAsia="宋体"/>
          <w:sz w:val="24"/>
        </w:rPr>
        <w:t>本指标为学术竞赛研究的示意性工具，不构成投资建议或审计意见。</w:t>
      </w:r>
    </w:p>
    <w:bookmarkEnd w:id="120"/>
    <w:p w14:paraId="13BFC11F">
      <w:pPr>
        <w:pStyle w:val="5"/>
        <w:spacing w:before="240" w:after="120" w:line="360" w:lineRule="auto"/>
      </w:pPr>
      <w:bookmarkStart w:id="121" w:name="风险控制基于评分区间的分级干预"/>
      <w:r>
        <w:rPr>
          <w:rFonts w:ascii="Times New Roman" w:hAnsi="Times New Roman" w:eastAsia="黑体"/>
          <w:b/>
          <w:color w:val="003366"/>
          <w:sz w:val="24"/>
        </w:rPr>
        <w:t xml:space="preserve">5.4.5 </w:t>
      </w:r>
      <w:r>
        <w:rPr>
          <w:rFonts w:hint="eastAsia" w:ascii="Times New Roman" w:hAnsi="Times New Roman" w:eastAsia="黑体"/>
          <w:b/>
          <w:color w:val="003366"/>
          <w:sz w:val="24"/>
        </w:rPr>
        <w:t>风险控制：基于评分区间的分级干预</w:t>
      </w:r>
    </w:p>
    <w:p w14:paraId="2FE62860">
      <w:pPr>
        <w:pStyle w:val="25"/>
        <w:spacing w:before="40" w:after="40" w:line="360" w:lineRule="auto"/>
        <w:ind w:firstLine="480"/>
      </w:pPr>
      <w:r>
        <w:rPr>
          <w:rFonts w:hint="eastAsia" w:ascii="Times New Roman" w:hAnsi="Times New Roman" w:eastAsia="宋体"/>
          <w:sz w:val="24"/>
        </w:rPr>
        <w:t>本研究将5D-DRS评分转化为可执行的风控动作，形成“绿色-黄色-红色”三级干预机制。设计原则是：</w:t>
      </w:r>
      <w:r>
        <w:rPr>
          <w:rFonts w:hint="eastAsia" w:ascii="Times New Roman" w:hAnsi="Times New Roman" w:eastAsia="宋体"/>
          <w:b/>
          <w:bCs/>
          <w:sz w:val="24"/>
        </w:rPr>
        <w:t>评分不是终点，而是触发具体行动的起点。</w:t>
      </w:r>
    </w:p>
    <w:p w14:paraId="0F5C8A16">
      <w:pPr>
        <w:pStyle w:val="3"/>
        <w:spacing w:before="40" w:after="40" w:line="360" w:lineRule="auto"/>
        <w:ind w:firstLine="480"/>
      </w:pPr>
      <w:r>
        <w:rPr>
          <w:rFonts w:hint="eastAsia" w:ascii="Times New Roman" w:hAnsi="Times New Roman" w:eastAsia="宋体"/>
          <w:b/>
          <w:bCs/>
          <w:sz w:val="24"/>
        </w:rPr>
        <w:t>一、三级干预机制设计</w:t>
      </w:r>
    </w:p>
    <w:tbl>
      <w:tblPr>
        <w:tblStyle w:val="43"/>
        <w:tblW w:w="5000" w:type="pct"/>
        <w:tblInd w:w="0" w:type="dxa"/>
        <w:tblLayout w:type="fixed"/>
        <w:tblCellMar>
          <w:top w:w="0" w:type="dxa"/>
          <w:left w:w="108" w:type="dxa"/>
          <w:bottom w:w="0" w:type="dxa"/>
          <w:right w:w="108" w:type="dxa"/>
        </w:tblCellMar>
      </w:tblPr>
      <w:tblGrid>
        <w:gridCol w:w="1858"/>
        <w:gridCol w:w="1858"/>
        <w:gridCol w:w="1858"/>
        <w:gridCol w:w="1858"/>
        <w:gridCol w:w="1858"/>
      </w:tblGrid>
      <w:tr w14:paraId="234C3E92">
        <w:tblPrEx>
          <w:tblCellMar>
            <w:top w:w="0" w:type="dxa"/>
            <w:left w:w="108" w:type="dxa"/>
            <w:bottom w:w="0" w:type="dxa"/>
            <w:right w:w="108" w:type="dxa"/>
          </w:tblCellMar>
        </w:tblPrEx>
        <w:trPr>
          <w:cantSplit/>
          <w:tblHeader/>
        </w:trPr>
        <w:tc>
          <w:p w14:paraId="2CB61C4C">
            <w:pPr>
              <w:pStyle w:val="26"/>
              <w:spacing w:before="20" w:after="20" w:line="276" w:lineRule="auto"/>
            </w:pPr>
            <w:r>
              <w:rPr>
                <w:rFonts w:hint="eastAsia" w:ascii="Times New Roman" w:hAnsi="Times New Roman" w:eastAsia="宋体"/>
                <w:sz w:val="20"/>
              </w:rPr>
              <w:t>风险区间</w:t>
            </w:r>
          </w:p>
        </w:tc>
        <w:tc>
          <w:p w14:paraId="2C11D516">
            <w:pPr>
              <w:pStyle w:val="26"/>
              <w:spacing w:before="20" w:after="20" w:line="276" w:lineRule="auto"/>
            </w:pPr>
            <w:r>
              <w:rPr>
                <w:rFonts w:hint="eastAsia" w:ascii="Times New Roman" w:hAnsi="Times New Roman" w:eastAsia="宋体"/>
                <w:sz w:val="20"/>
              </w:rPr>
              <w:t>评分范围</w:t>
            </w:r>
          </w:p>
        </w:tc>
        <w:tc>
          <w:p w14:paraId="57598C99">
            <w:pPr>
              <w:pStyle w:val="26"/>
              <w:spacing w:before="20" w:after="20" w:line="276" w:lineRule="auto"/>
            </w:pPr>
            <w:r>
              <w:rPr>
                <w:rFonts w:hint="eastAsia" w:ascii="Times New Roman" w:hAnsi="Times New Roman" w:eastAsia="宋体"/>
                <w:sz w:val="20"/>
              </w:rPr>
              <w:t>风险等级</w:t>
            </w:r>
          </w:p>
        </w:tc>
        <w:tc>
          <w:p w14:paraId="0F1A7330">
            <w:pPr>
              <w:pStyle w:val="26"/>
              <w:spacing w:before="20" w:after="20" w:line="276" w:lineRule="auto"/>
            </w:pPr>
            <w:r>
              <w:rPr>
                <w:rFonts w:hint="eastAsia" w:ascii="Times New Roman" w:hAnsi="Times New Roman" w:eastAsia="宋体"/>
                <w:sz w:val="20"/>
              </w:rPr>
              <w:t>干预级别</w:t>
            </w:r>
          </w:p>
        </w:tc>
        <w:tc>
          <w:p w14:paraId="2F6FFC7F">
            <w:pPr>
              <w:pStyle w:val="26"/>
              <w:spacing w:before="20" w:after="20" w:line="276" w:lineRule="auto"/>
            </w:pPr>
            <w:r>
              <w:rPr>
                <w:rFonts w:hint="eastAsia" w:ascii="Times New Roman" w:hAnsi="Times New Roman" w:eastAsia="宋体"/>
                <w:sz w:val="20"/>
              </w:rPr>
              <w:t>核心动作</w:t>
            </w:r>
          </w:p>
        </w:tc>
      </w:tr>
      <w:tr w14:paraId="27A8CBBD">
        <w:tblPrEx>
          <w:tblCellMar>
            <w:top w:w="0" w:type="dxa"/>
            <w:left w:w="108" w:type="dxa"/>
            <w:bottom w:w="0" w:type="dxa"/>
            <w:right w:w="108" w:type="dxa"/>
          </w:tblCellMar>
        </w:tblPrEx>
        <w:trPr>
          <w:cantSplit/>
        </w:trPr>
        <w:tc>
          <w:p w14:paraId="0054A35B">
            <w:pPr>
              <w:pStyle w:val="26"/>
              <w:spacing w:before="20" w:after="20" w:line="276" w:lineRule="auto"/>
            </w:pPr>
            <w:r>
              <w:rPr>
                <w:rFonts w:hint="eastAsia" w:ascii="Times New Roman" w:hAnsi="Times New Roman" w:eastAsia="宋体"/>
                <w:sz w:val="20"/>
              </w:rPr>
              <w:t>绿色</w:t>
            </w:r>
          </w:p>
        </w:tc>
        <w:tc>
          <w:p w14:paraId="6A37FB92">
            <w:pPr>
              <w:pStyle w:val="26"/>
              <w:spacing w:before="20" w:after="20" w:line="276" w:lineRule="auto"/>
            </w:pPr>
            <w:r>
              <w:rPr>
                <w:rFonts w:ascii="Times New Roman" w:hAnsi="Times New Roman" w:eastAsia="宋体"/>
                <w:sz w:val="20"/>
              </w:rPr>
              <w:t>&lt;2.5</w:t>
            </w:r>
          </w:p>
        </w:tc>
        <w:tc>
          <w:p w14:paraId="5F2DE3E7">
            <w:pPr>
              <w:pStyle w:val="26"/>
              <w:spacing w:before="20" w:after="20" w:line="276" w:lineRule="auto"/>
            </w:pPr>
            <w:r>
              <w:rPr>
                <w:rFonts w:hint="eastAsia" w:ascii="Times New Roman" w:hAnsi="Times New Roman" w:eastAsia="宋体"/>
                <w:sz w:val="20"/>
              </w:rPr>
              <w:t>低</w:t>
            </w:r>
          </w:p>
        </w:tc>
        <w:tc>
          <w:p w14:paraId="30F1ED9A">
            <w:pPr>
              <w:pStyle w:val="26"/>
              <w:spacing w:before="20" w:after="20" w:line="276" w:lineRule="auto"/>
            </w:pPr>
            <w:r>
              <w:rPr>
                <w:rFonts w:hint="eastAsia" w:ascii="Times New Roman" w:hAnsi="Times New Roman" w:eastAsia="宋体"/>
                <w:sz w:val="20"/>
              </w:rPr>
              <w:t>常规监测</w:t>
            </w:r>
          </w:p>
        </w:tc>
        <w:tc>
          <w:p w14:paraId="2A104850">
            <w:pPr>
              <w:pStyle w:val="26"/>
              <w:spacing w:before="20" w:after="20" w:line="276" w:lineRule="auto"/>
            </w:pPr>
            <w:r>
              <w:rPr>
                <w:rFonts w:hint="eastAsia" w:ascii="Times New Roman" w:hAnsi="Times New Roman" w:eastAsia="宋体"/>
                <w:sz w:val="20"/>
              </w:rPr>
              <w:t>纳入年度监测名单，R1-R4规则年度扫描</w:t>
            </w:r>
          </w:p>
        </w:tc>
      </w:tr>
      <w:tr w14:paraId="08AAE7E8">
        <w:tblPrEx>
          <w:tblCellMar>
            <w:top w:w="0" w:type="dxa"/>
            <w:left w:w="108" w:type="dxa"/>
            <w:bottom w:w="0" w:type="dxa"/>
            <w:right w:w="108" w:type="dxa"/>
          </w:tblCellMar>
        </w:tblPrEx>
        <w:trPr>
          <w:cantSplit/>
        </w:trPr>
        <w:tc>
          <w:p w14:paraId="0ADEA131">
            <w:pPr>
              <w:pStyle w:val="26"/>
              <w:spacing w:before="20" w:after="20" w:line="276" w:lineRule="auto"/>
            </w:pPr>
            <w:r>
              <w:rPr>
                <w:rFonts w:hint="eastAsia" w:ascii="Times New Roman" w:hAnsi="Times New Roman" w:eastAsia="宋体"/>
                <w:sz w:val="20"/>
              </w:rPr>
              <w:t>黄色</w:t>
            </w:r>
          </w:p>
        </w:tc>
        <w:tc>
          <w:p w14:paraId="3D06DCDB">
            <w:pPr>
              <w:pStyle w:val="26"/>
              <w:spacing w:before="20" w:after="20" w:line="276" w:lineRule="auto"/>
            </w:pPr>
            <w:r>
              <w:rPr>
                <w:rFonts w:ascii="Times New Roman" w:hAnsi="Times New Roman" w:eastAsia="宋体"/>
                <w:sz w:val="20"/>
              </w:rPr>
              <w:t>2.5-3.9</w:t>
            </w:r>
          </w:p>
        </w:tc>
        <w:tc>
          <w:p w14:paraId="290309A4">
            <w:pPr>
              <w:pStyle w:val="26"/>
              <w:spacing w:before="20" w:after="20" w:line="276" w:lineRule="auto"/>
            </w:pPr>
            <w:r>
              <w:rPr>
                <w:rFonts w:hint="eastAsia" w:ascii="Times New Roman" w:hAnsi="Times New Roman" w:eastAsia="宋体"/>
                <w:sz w:val="20"/>
              </w:rPr>
              <w:t>中/中高</w:t>
            </w:r>
          </w:p>
        </w:tc>
        <w:tc>
          <w:p w14:paraId="20998DDB">
            <w:pPr>
              <w:pStyle w:val="26"/>
              <w:spacing w:before="20" w:after="20" w:line="276" w:lineRule="auto"/>
            </w:pPr>
            <w:r>
              <w:rPr>
                <w:rFonts w:hint="eastAsia" w:ascii="Times New Roman" w:hAnsi="Times New Roman" w:eastAsia="宋体"/>
                <w:sz w:val="20"/>
              </w:rPr>
              <w:t>预警提示</w:t>
            </w:r>
          </w:p>
        </w:tc>
        <w:tc>
          <w:p w14:paraId="5B72B60D">
            <w:pPr>
              <w:pStyle w:val="26"/>
              <w:spacing w:before="20" w:after="20" w:line="276" w:lineRule="auto"/>
            </w:pPr>
            <w:r>
              <w:rPr>
                <w:rFonts w:hint="eastAsia" w:ascii="Times New Roman" w:hAnsi="Times New Roman" w:eastAsia="宋体"/>
                <w:sz w:val="20"/>
              </w:rPr>
              <w:t>触发预警：建议复核折旧假设、减值前瞻测试</w:t>
            </w:r>
          </w:p>
        </w:tc>
      </w:tr>
      <w:tr w14:paraId="41EA85F0">
        <w:tblPrEx>
          <w:tblCellMar>
            <w:top w:w="0" w:type="dxa"/>
            <w:left w:w="108" w:type="dxa"/>
            <w:bottom w:w="0" w:type="dxa"/>
            <w:right w:w="108" w:type="dxa"/>
          </w:tblCellMar>
        </w:tblPrEx>
        <w:trPr>
          <w:cantSplit/>
        </w:trPr>
        <w:tc>
          <w:p w14:paraId="02E8C2F1">
            <w:pPr>
              <w:pStyle w:val="26"/>
              <w:spacing w:before="20" w:after="20" w:line="276" w:lineRule="auto"/>
            </w:pPr>
            <w:r>
              <w:rPr>
                <w:rFonts w:hint="eastAsia" w:ascii="Times New Roman" w:hAnsi="Times New Roman" w:eastAsia="宋体"/>
                <w:sz w:val="20"/>
              </w:rPr>
              <w:t>红色</w:t>
            </w:r>
          </w:p>
        </w:tc>
        <w:tc>
          <w:p w14:paraId="4A2E9E00">
            <w:pPr>
              <w:pStyle w:val="26"/>
              <w:spacing w:before="20" w:after="20" w:line="276" w:lineRule="auto"/>
            </w:pPr>
            <w:r>
              <w:rPr>
                <w:rFonts w:ascii="Times New Roman" w:hAnsi="Times New Roman" w:eastAsia="宋体"/>
                <w:sz w:val="20"/>
              </w:rPr>
              <w:t>≥4.0</w:t>
            </w:r>
          </w:p>
        </w:tc>
        <w:tc>
          <w:p w14:paraId="48CA5648">
            <w:pPr>
              <w:pStyle w:val="26"/>
              <w:spacing w:before="20" w:after="20" w:line="276" w:lineRule="auto"/>
            </w:pPr>
            <w:r>
              <w:rPr>
                <w:rFonts w:hint="eastAsia" w:ascii="Times New Roman" w:hAnsi="Times New Roman" w:eastAsia="宋体"/>
                <w:sz w:val="20"/>
              </w:rPr>
              <w:t>高</w:t>
            </w:r>
          </w:p>
        </w:tc>
        <w:tc>
          <w:p w14:paraId="7321C0F8">
            <w:pPr>
              <w:pStyle w:val="26"/>
              <w:spacing w:before="20" w:after="20" w:line="276" w:lineRule="auto"/>
            </w:pPr>
            <w:r>
              <w:rPr>
                <w:rFonts w:hint="eastAsia" w:ascii="Times New Roman" w:hAnsi="Times New Roman" w:eastAsia="宋体"/>
                <w:sz w:val="20"/>
              </w:rPr>
              <w:t>强制干预</w:t>
            </w:r>
          </w:p>
        </w:tc>
        <w:tc>
          <w:p w14:paraId="68E72698">
            <w:pPr>
              <w:pStyle w:val="26"/>
              <w:spacing w:before="20" w:after="20" w:line="276" w:lineRule="auto"/>
            </w:pPr>
            <w:r>
              <w:rPr>
                <w:rFonts w:hint="eastAsia" w:ascii="Times New Roman" w:hAnsi="Times New Roman" w:eastAsia="宋体"/>
                <w:sz w:val="20"/>
              </w:rPr>
              <w:t>保险加费/限额/要求补充减值测试报告</w:t>
            </w:r>
          </w:p>
        </w:tc>
      </w:tr>
    </w:tbl>
    <w:p w14:paraId="1F8A87DA">
      <w:pPr>
        <w:pStyle w:val="3"/>
        <w:spacing w:before="40" w:after="40" w:line="360" w:lineRule="auto"/>
        <w:ind w:firstLine="480"/>
      </w:pPr>
      <w:r>
        <w:rPr>
          <w:rFonts w:hint="eastAsia" w:ascii="Times New Roman" w:hAnsi="Times New Roman" w:eastAsia="宋体"/>
          <w:b/>
          <w:bCs/>
          <w:sz w:val="24"/>
        </w:rPr>
        <w:t>绿色区间（&lt;2.5）：常规监测</w:t>
      </w:r>
    </w:p>
    <w:p w14:paraId="639E6CD2">
      <w:pPr>
        <w:pStyle w:val="3"/>
        <w:spacing w:before="40" w:after="40" w:line="360" w:lineRule="auto"/>
        <w:ind w:firstLine="480"/>
      </w:pPr>
      <w:r>
        <w:rPr>
          <w:rFonts w:hint="eastAsia" w:ascii="Times New Roman" w:hAnsi="Times New Roman" w:eastAsia="宋体"/>
          <w:b/>
          <w:bCs/>
          <w:sz w:val="24"/>
        </w:rPr>
        <w:t>典型标的</w:t>
      </w:r>
      <w:r>
        <w:rPr>
          <w:rFonts w:hint="eastAsia" w:ascii="Times New Roman" w:hAnsi="Times New Roman" w:eastAsia="宋体"/>
          <w:sz w:val="24"/>
        </w:rPr>
        <w:t>：AMD（2.40）、Salesforce（2.10）、浪潮信息（2.10）</w:t>
      </w:r>
    </w:p>
    <w:p w14:paraId="3905FA55">
      <w:pPr>
        <w:pStyle w:val="3"/>
        <w:spacing w:before="40" w:after="40" w:line="360" w:lineRule="auto"/>
        <w:ind w:firstLine="480"/>
      </w:pPr>
      <w:r>
        <w:rPr>
          <w:rFonts w:hint="eastAsia" w:ascii="Times New Roman" w:hAnsi="Times New Roman" w:eastAsia="宋体"/>
          <w:b/>
          <w:bCs/>
          <w:sz w:val="24"/>
        </w:rPr>
        <w:t>干预清单</w:t>
      </w:r>
      <w:r>
        <w:rPr>
          <w:rFonts w:hint="eastAsia" w:ascii="Times New Roman" w:hAnsi="Times New Roman" w:eastAsia="宋体"/>
          <w:sz w:val="24"/>
        </w:rPr>
        <w:t>：</w:t>
      </w:r>
    </w:p>
    <w:p w14:paraId="5397D942">
      <w:pPr>
        <w:pStyle w:val="26"/>
        <w:spacing w:before="40" w:after="40" w:line="360" w:lineRule="auto"/>
        <w:ind w:left="420"/>
      </w:pPr>
      <w:r>
        <w:rPr>
          <w:rFonts w:hint="eastAsia" w:ascii="Times New Roman" w:hAnsi="Times New Roman" w:eastAsia="宋体"/>
          <w:sz w:val="24"/>
        </w:rPr>
        <w:t>纳入年度监测名单，每年10-K披露季执行R1-R4初筛</w:t>
      </w:r>
    </w:p>
    <w:p w14:paraId="67660202">
      <w:pPr>
        <w:pStyle w:val="26"/>
        <w:spacing w:before="40" w:after="40" w:line="360" w:lineRule="auto"/>
        <w:ind w:left="420"/>
      </w:pPr>
      <w:r>
        <w:rPr>
          <w:rFonts w:hint="eastAsia" w:ascii="Times New Roman" w:hAnsi="Times New Roman" w:eastAsia="宋体"/>
          <w:sz w:val="24"/>
        </w:rPr>
        <w:t>若CAPEX强度突增（D4从&lt;3%跳升至&gt;8%），自动升级为黄色观察</w:t>
      </w:r>
    </w:p>
    <w:p w14:paraId="0E2D03FA">
      <w:pPr>
        <w:pStyle w:val="26"/>
        <w:spacing w:before="40" w:after="40" w:line="360" w:lineRule="auto"/>
        <w:ind w:left="420"/>
      </w:pPr>
      <w:r>
        <w:rPr>
          <w:rFonts w:hint="eastAsia" w:ascii="Times New Roman" w:hAnsi="Times New Roman" w:eastAsia="宋体"/>
          <w:sz w:val="24"/>
        </w:rPr>
        <w:t>核保流程：标准费率，无需额外折旧风险评估</w:t>
      </w:r>
    </w:p>
    <w:p w14:paraId="395F22D8">
      <w:pPr>
        <w:pStyle w:val="25"/>
        <w:spacing w:before="40" w:after="40" w:line="360" w:lineRule="auto"/>
        <w:ind w:firstLine="480"/>
      </w:pPr>
      <w:r>
        <w:rPr>
          <w:rFonts w:hint="eastAsia" w:ascii="Times New Roman" w:hAnsi="Times New Roman" w:eastAsia="宋体"/>
          <w:b/>
          <w:bCs/>
          <w:sz w:val="24"/>
        </w:rPr>
        <w:t>原理</w:t>
      </w:r>
      <w:r>
        <w:rPr>
          <w:rFonts w:hint="eastAsia" w:ascii="Times New Roman" w:hAnsi="Times New Roman" w:eastAsia="宋体"/>
          <w:sz w:val="24"/>
        </w:rPr>
        <w:t>：低评分企业通常具有轻资产结构（fabless/SaaS模式），折旧错配本身不构成重大风险。监测重点在于“风险是否迁移至其他通道”（如AMD的16年无形资产摊销、寒武纪的存货激增）。</w:t>
      </w:r>
    </w:p>
    <w:p w14:paraId="28646036">
      <w:pPr>
        <w:pStyle w:val="25"/>
        <w:spacing w:before="40" w:after="40" w:line="360" w:lineRule="auto"/>
        <w:ind w:firstLine="480"/>
      </w:pPr>
      <w:r>
        <w:rPr>
          <w:rFonts w:hint="eastAsia" w:ascii="Times New Roman" w:hAnsi="Times New Roman" w:eastAsia="宋体"/>
          <w:b/>
          <w:bCs/>
          <w:sz w:val="24"/>
        </w:rPr>
        <w:t>黄色区间（2.5-3.9）：预警提示</w:t>
      </w:r>
    </w:p>
    <w:p w14:paraId="5C4A9EC1">
      <w:pPr>
        <w:pStyle w:val="3"/>
        <w:spacing w:before="40" w:after="40" w:line="360" w:lineRule="auto"/>
        <w:ind w:firstLine="480"/>
      </w:pPr>
      <w:r>
        <w:rPr>
          <w:rFonts w:hint="eastAsia" w:ascii="Times New Roman" w:hAnsi="Times New Roman" w:eastAsia="宋体"/>
          <w:b/>
          <w:bCs/>
          <w:sz w:val="24"/>
        </w:rPr>
        <w:t>典型标的</w:t>
      </w:r>
      <w:r>
        <w:rPr>
          <w:rFonts w:hint="eastAsia" w:ascii="Times New Roman" w:hAnsi="Times New Roman" w:eastAsia="宋体"/>
          <w:sz w:val="24"/>
        </w:rPr>
        <w:t>：Tesla（3.20）、NVIDIA（3.10）、数据港（3.00）</w:t>
      </w:r>
    </w:p>
    <w:p w14:paraId="550580F7">
      <w:pPr>
        <w:pStyle w:val="3"/>
        <w:spacing w:before="40" w:after="40" w:line="360" w:lineRule="auto"/>
        <w:ind w:firstLine="480"/>
      </w:pPr>
      <w:r>
        <w:rPr>
          <w:rFonts w:hint="eastAsia" w:ascii="Times New Roman" w:hAnsi="Times New Roman" w:eastAsia="宋体"/>
          <w:b/>
          <w:bCs/>
          <w:sz w:val="24"/>
        </w:rPr>
        <w:t>干预清单——对科创企业</w:t>
      </w:r>
      <w:r>
        <w:rPr>
          <w:rFonts w:hint="eastAsia" w:ascii="Times New Roman" w:hAnsi="Times New Roman" w:eastAsia="宋体"/>
          <w:sz w:val="24"/>
        </w:rPr>
        <w:t>：</w:t>
      </w:r>
    </w:p>
    <w:p w14:paraId="0CD08676">
      <w:pPr>
        <w:pStyle w:val="26"/>
        <w:spacing w:before="40" w:after="40" w:line="360" w:lineRule="auto"/>
        <w:ind w:left="420"/>
      </w:pPr>
      <w:r>
        <w:rPr>
          <w:rFonts w:hint="eastAsia" w:ascii="Times New Roman" w:hAnsi="Times New Roman" w:eastAsia="宋体"/>
          <w:sz w:val="24"/>
        </w:rPr>
        <w:t>财务部门年度复核：折旧年限假设</w:t>
      </w:r>
      <w:r>
        <w:rPr>
          <w:rFonts w:ascii="Times New Roman" w:hAnsi="Times New Roman" w:eastAsia="宋体"/>
          <w:sz w:val="24"/>
        </w:rPr>
        <w:t xml:space="preserve"> vs </w:t>
      </w:r>
      <w:r>
        <w:rPr>
          <w:rFonts w:hint="eastAsia" w:ascii="Times New Roman" w:hAnsi="Times New Roman" w:eastAsia="宋体"/>
          <w:sz w:val="24"/>
        </w:rPr>
        <w:t>技术迭代周期对照表</w:t>
      </w:r>
    </w:p>
    <w:p w14:paraId="3236F129">
      <w:pPr>
        <w:pStyle w:val="26"/>
        <w:spacing w:before="40" w:after="40" w:line="360" w:lineRule="auto"/>
        <w:ind w:left="420"/>
      </w:pPr>
      <w:r>
        <w:rPr>
          <w:rFonts w:hint="eastAsia" w:ascii="Times New Roman" w:hAnsi="Times New Roman" w:eastAsia="宋体"/>
          <w:sz w:val="24"/>
        </w:rPr>
        <w:t>减值前瞻测试：按“GPU实际经济寿命2.5年”情景做压力测试</w:t>
      </w:r>
    </w:p>
    <w:p w14:paraId="0D385512">
      <w:pPr>
        <w:pStyle w:val="26"/>
        <w:spacing w:before="40" w:after="40" w:line="360" w:lineRule="auto"/>
        <w:ind w:left="420"/>
      </w:pPr>
      <w:r>
        <w:rPr>
          <w:rFonts w:hint="eastAsia" w:ascii="Times New Roman" w:hAnsi="Times New Roman" w:eastAsia="宋体"/>
          <w:sz w:val="24"/>
        </w:rPr>
        <w:t>若CAPEX强度≥15%，启动专项折旧政策审查</w:t>
      </w:r>
    </w:p>
    <w:p w14:paraId="04DA887E">
      <w:pPr>
        <w:pStyle w:val="25"/>
        <w:spacing w:before="40" w:after="40" w:line="360" w:lineRule="auto"/>
        <w:ind w:firstLine="480"/>
      </w:pPr>
      <w:r>
        <w:rPr>
          <w:rFonts w:hint="eastAsia" w:ascii="Times New Roman" w:hAnsi="Times New Roman" w:eastAsia="宋体"/>
          <w:b/>
          <w:bCs/>
          <w:sz w:val="24"/>
        </w:rPr>
        <w:t>干预清单——对保险机构</w:t>
      </w:r>
      <w:r>
        <w:rPr>
          <w:rFonts w:hint="eastAsia" w:ascii="Times New Roman" w:hAnsi="Times New Roman" w:eastAsia="宋体"/>
          <w:sz w:val="24"/>
        </w:rPr>
        <w:t>：</w:t>
      </w:r>
    </w:p>
    <w:p w14:paraId="53FC9BC1">
      <w:pPr>
        <w:pStyle w:val="26"/>
        <w:spacing w:before="40" w:after="40" w:line="360" w:lineRule="auto"/>
        <w:ind w:left="420"/>
      </w:pPr>
      <w:r>
        <w:rPr>
          <w:rFonts w:hint="eastAsia" w:ascii="Times New Roman" w:hAnsi="Times New Roman" w:eastAsia="宋体"/>
          <w:sz w:val="24"/>
        </w:rPr>
        <w:t>保费上调10-20%（基础费率</w:t>
      </w:r>
      <w:r>
        <w:rPr>
          <w:rFonts w:ascii="Times New Roman" w:hAnsi="Times New Roman" w:eastAsia="宋体"/>
          <w:sz w:val="24"/>
        </w:rPr>
        <w:t xml:space="preserve"> × </w:t>
      </w:r>
      <w:r>
        <w:rPr>
          <w:rFonts w:hint="eastAsia" w:ascii="Times New Roman" w:hAnsi="Times New Roman" w:eastAsia="宋体"/>
          <w:sz w:val="24"/>
        </w:rPr>
        <w:t>1.1-1.2）</w:t>
      </w:r>
    </w:p>
    <w:p w14:paraId="2DC94639">
      <w:pPr>
        <w:pStyle w:val="26"/>
        <w:spacing w:before="40" w:after="40" w:line="360" w:lineRule="auto"/>
        <w:ind w:left="420"/>
      </w:pPr>
      <w:r>
        <w:rPr>
          <w:rFonts w:hint="eastAsia" w:ascii="Times New Roman" w:hAnsi="Times New Roman" w:eastAsia="宋体"/>
          <w:sz w:val="24"/>
        </w:rPr>
        <w:t>核保问卷增加折旧假设专项问题</w:t>
      </w:r>
    </w:p>
    <w:p w14:paraId="144CD50C">
      <w:pPr>
        <w:pStyle w:val="26"/>
        <w:spacing w:before="40" w:after="40" w:line="360" w:lineRule="auto"/>
        <w:ind w:left="420"/>
      </w:pPr>
      <w:r>
        <w:rPr>
          <w:rFonts w:hint="eastAsia" w:ascii="Times New Roman" w:hAnsi="Times New Roman" w:eastAsia="宋体"/>
          <w:sz w:val="24"/>
        </w:rPr>
        <w:t>要求企业提交“资产技术淘汰计划”作为承保附件</w:t>
      </w:r>
    </w:p>
    <w:p w14:paraId="46D1B32C">
      <w:pPr>
        <w:pStyle w:val="25"/>
        <w:spacing w:before="40" w:after="40" w:line="360" w:lineRule="auto"/>
        <w:ind w:firstLine="480"/>
      </w:pPr>
      <w:r>
        <w:rPr>
          <w:rFonts w:hint="eastAsia" w:ascii="Times New Roman" w:hAnsi="Times New Roman" w:eastAsia="宋体"/>
          <w:b/>
          <w:bCs/>
          <w:sz w:val="24"/>
        </w:rPr>
        <w:t>干预清单——对投资机构</w:t>
      </w:r>
      <w:r>
        <w:rPr>
          <w:rFonts w:hint="eastAsia" w:ascii="Times New Roman" w:hAnsi="Times New Roman" w:eastAsia="宋体"/>
          <w:sz w:val="24"/>
        </w:rPr>
        <w:t>：</w:t>
      </w:r>
    </w:p>
    <w:p w14:paraId="01F20F07">
      <w:pPr>
        <w:pStyle w:val="26"/>
        <w:spacing w:before="40" w:after="40" w:line="360" w:lineRule="auto"/>
        <w:ind w:left="420"/>
      </w:pPr>
      <w:r>
        <w:rPr>
          <w:rFonts w:hint="eastAsia" w:ascii="Times New Roman" w:hAnsi="Times New Roman" w:eastAsia="宋体"/>
          <w:sz w:val="24"/>
        </w:rPr>
        <w:t>投前尽调：命中R1（折旧指纹）或R4（估计变更）的企业，报告利润含金量下调一档</w:t>
      </w:r>
    </w:p>
    <w:p w14:paraId="3EFD99DF">
      <w:pPr>
        <w:pStyle w:val="26"/>
        <w:spacing w:before="40" w:after="40" w:line="360" w:lineRule="auto"/>
        <w:ind w:left="420"/>
      </w:pPr>
      <w:r>
        <w:rPr>
          <w:rFonts w:hint="eastAsia" w:ascii="Times New Roman" w:hAnsi="Times New Roman" w:eastAsia="宋体"/>
          <w:sz w:val="24"/>
        </w:rPr>
        <w:t>DCF估值：折旧费用按技术周期重新估算，调整企业价值</w:t>
      </w:r>
    </w:p>
    <w:p w14:paraId="09D0416F">
      <w:pPr>
        <w:pStyle w:val="25"/>
        <w:spacing w:before="40" w:after="40" w:line="360" w:lineRule="auto"/>
        <w:ind w:firstLine="480"/>
      </w:pPr>
      <w:r>
        <w:rPr>
          <w:rFonts w:hint="eastAsia" w:ascii="Times New Roman" w:hAnsi="Times New Roman" w:eastAsia="宋体"/>
          <w:b/>
          <w:bCs/>
          <w:sz w:val="24"/>
        </w:rPr>
        <w:t>原理</w:t>
      </w:r>
      <w:r>
        <w:rPr>
          <w:rFonts w:hint="eastAsia" w:ascii="Times New Roman" w:hAnsi="Times New Roman" w:eastAsia="宋体"/>
          <w:sz w:val="24"/>
        </w:rPr>
        <w:t>：黄色区间企业具有“风险信号但尚未集中爆发”的特征。Tesla无年限变更但毛利承压、NVIDIA政策激进但资产最轻——干预的核心是“早期预警+柔性引导”，避免风险累积至不可逆阶段。</w:t>
      </w:r>
    </w:p>
    <w:p w14:paraId="3BABC5CD">
      <w:pPr>
        <w:pStyle w:val="25"/>
        <w:spacing w:before="40" w:after="40" w:line="360" w:lineRule="auto"/>
        <w:ind w:firstLine="480"/>
      </w:pPr>
      <w:r>
        <w:rPr>
          <w:rFonts w:hint="eastAsia" w:ascii="Times New Roman" w:hAnsi="Times New Roman" w:eastAsia="宋体"/>
          <w:b/>
          <w:bCs/>
          <w:sz w:val="24"/>
        </w:rPr>
        <w:t>红色区间（≥4.0）：强制干预</w:t>
      </w:r>
    </w:p>
    <w:p w14:paraId="3D10A2AA">
      <w:pPr>
        <w:pStyle w:val="3"/>
        <w:spacing w:before="40" w:after="40" w:line="360" w:lineRule="auto"/>
        <w:ind w:firstLine="480"/>
      </w:pPr>
      <w:r>
        <w:rPr>
          <w:rFonts w:hint="eastAsia" w:ascii="Times New Roman" w:hAnsi="Times New Roman" w:eastAsia="宋体"/>
          <w:b/>
          <w:bCs/>
          <w:sz w:val="24"/>
        </w:rPr>
        <w:t>典型标的</w:t>
      </w:r>
      <w:r>
        <w:rPr>
          <w:rFonts w:hint="eastAsia" w:ascii="Times New Roman" w:hAnsi="Times New Roman" w:eastAsia="宋体"/>
          <w:sz w:val="24"/>
        </w:rPr>
        <w:t>：Intel（4.55）、Google（4.25）、Microsoft（4.20）、Micron（4.20）、Meta（4.00）、奥飞数据（4.45）</w:t>
      </w:r>
    </w:p>
    <w:p w14:paraId="0EADE848">
      <w:pPr>
        <w:pStyle w:val="3"/>
        <w:spacing w:before="40" w:after="40" w:line="360" w:lineRule="auto"/>
        <w:ind w:firstLine="480"/>
      </w:pPr>
      <w:r>
        <w:t>干预清单——对保险机构：</w:t>
      </w:r>
    </w:p>
    <w:p w14:paraId="32E6FE6B">
      <w:pPr>
        <w:pStyle w:val="26"/>
        <w:spacing w:before="40" w:after="40" w:line="360" w:lineRule="auto"/>
        <w:ind w:left="420"/>
      </w:pPr>
      <w:r>
        <w:rPr>
          <w:rFonts w:hint="eastAsia" w:ascii="Times New Roman" w:hAnsi="Times New Roman" w:eastAsia="宋体"/>
          <w:b/>
          <w:bCs/>
          <w:sz w:val="24"/>
        </w:rPr>
        <w:t>保费上调</w:t>
      </w:r>
      <w:r>
        <w:rPr>
          <w:rFonts w:hint="eastAsia" w:ascii="Times New Roman" w:hAnsi="Times New Roman" w:eastAsia="宋体"/>
          <w:sz w:val="24"/>
        </w:rPr>
        <w:t>：基础费率</w:t>
      </w:r>
      <w:r>
        <w:rPr>
          <w:rFonts w:ascii="Times New Roman" w:hAnsi="Times New Roman" w:eastAsia="宋体"/>
          <w:sz w:val="24"/>
        </w:rPr>
        <w:t xml:space="preserve"> × </w:t>
      </w:r>
      <w:r>
        <w:rPr>
          <w:rFonts w:hint="eastAsia" w:ascii="Times New Roman" w:hAnsi="Times New Roman" w:eastAsia="宋体"/>
          <w:sz w:val="24"/>
        </w:rPr>
        <w:t>评分系数（4.0→1.3,</w:t>
      </w:r>
      <w:r>
        <w:rPr>
          <w:rFonts w:ascii="Times New Roman" w:hAnsi="Times New Roman" w:eastAsia="宋体"/>
          <w:sz w:val="24"/>
        </w:rPr>
        <w:t xml:space="preserve"> 4.5→1.6, </w:t>
      </w:r>
      <w:r>
        <w:rPr>
          <w:rFonts w:hint="eastAsia" w:ascii="Times New Roman" w:hAnsi="Times New Roman" w:eastAsia="宋体"/>
          <w:sz w:val="24"/>
        </w:rPr>
        <w:t>5.0→2.0）</w:t>
      </w:r>
    </w:p>
    <w:p w14:paraId="64708B22">
      <w:pPr>
        <w:pStyle w:val="26"/>
        <w:spacing w:before="40" w:after="40" w:line="360" w:lineRule="auto"/>
        <w:ind w:left="420"/>
      </w:pPr>
      <w:r>
        <w:rPr>
          <w:rFonts w:hint="eastAsia" w:ascii="Times New Roman" w:hAnsi="Times New Roman" w:eastAsia="宋体"/>
          <w:b/>
          <w:bCs/>
          <w:sz w:val="24"/>
        </w:rPr>
        <w:t>保额限制</w:t>
      </w:r>
      <w:r>
        <w:rPr>
          <w:rFonts w:hint="eastAsia" w:ascii="Times New Roman" w:hAnsi="Times New Roman" w:eastAsia="宋体"/>
          <w:sz w:val="24"/>
        </w:rPr>
        <w:t>：单标的不超过总保额的15%，分散集中度风险</w:t>
      </w:r>
    </w:p>
    <w:p w14:paraId="49576E03">
      <w:pPr>
        <w:pStyle w:val="26"/>
        <w:spacing w:before="40" w:after="40" w:line="360" w:lineRule="auto"/>
        <w:ind w:left="420"/>
      </w:pPr>
      <w:r>
        <w:rPr>
          <w:rFonts w:hint="eastAsia" w:ascii="Times New Roman" w:hAnsi="Times New Roman" w:eastAsia="宋体"/>
          <w:b/>
          <w:bCs/>
          <w:sz w:val="24"/>
        </w:rPr>
        <w:t>前置条件</w:t>
      </w:r>
      <w:r>
        <w:rPr>
          <w:rFonts w:hint="eastAsia" w:ascii="Times New Roman" w:hAnsi="Times New Roman" w:eastAsia="宋体"/>
          <w:sz w:val="24"/>
        </w:rPr>
        <w:t>：强制要求企业提交“折旧假设与技术周期对照说明”</w:t>
      </w:r>
    </w:p>
    <w:p w14:paraId="553475C8">
      <w:pPr>
        <w:pStyle w:val="26"/>
        <w:spacing w:before="40" w:after="40" w:line="360" w:lineRule="auto"/>
        <w:ind w:left="420"/>
      </w:pPr>
      <w:r>
        <w:rPr>
          <w:rFonts w:hint="eastAsia" w:ascii="Times New Roman" w:hAnsi="Times New Roman" w:eastAsia="宋体"/>
          <w:b/>
          <w:bCs/>
          <w:sz w:val="24"/>
        </w:rPr>
        <w:t>年度复查</w:t>
      </w:r>
      <w:r>
        <w:rPr>
          <w:rFonts w:hint="eastAsia" w:ascii="Times New Roman" w:hAnsi="Times New Roman" w:eastAsia="宋体"/>
          <w:sz w:val="24"/>
        </w:rPr>
        <w:t>：每季度重跑R1-R4规则，评分变化超0.3分即触发复核</w:t>
      </w:r>
    </w:p>
    <w:p w14:paraId="29B337A3">
      <w:pPr>
        <w:pStyle w:val="26"/>
        <w:spacing w:before="40" w:after="40" w:line="360" w:lineRule="auto"/>
        <w:ind w:left="420"/>
      </w:pPr>
      <w:r>
        <w:rPr>
          <w:rFonts w:hint="eastAsia" w:ascii="Times New Roman" w:hAnsi="Times New Roman" w:eastAsia="宋体"/>
          <w:b/>
          <w:bCs/>
          <w:sz w:val="24"/>
        </w:rPr>
        <w:t>减值测试报告</w:t>
      </w:r>
      <w:r>
        <w:rPr>
          <w:rFonts w:hint="eastAsia" w:ascii="Times New Roman" w:hAnsi="Times New Roman" w:eastAsia="宋体"/>
          <w:sz w:val="24"/>
        </w:rPr>
        <w:t>：要求企业提供第三方机构出具的资产减值测试报告</w:t>
      </w:r>
    </w:p>
    <w:p w14:paraId="2DF0C4FE">
      <w:pPr>
        <w:pStyle w:val="26"/>
        <w:spacing w:before="40" w:after="40" w:line="360" w:lineRule="auto"/>
        <w:ind w:left="420"/>
      </w:pPr>
      <w:r>
        <w:rPr>
          <w:rFonts w:hint="eastAsia" w:ascii="Times New Roman" w:hAnsi="Times New Roman" w:eastAsia="宋体"/>
          <w:b/>
          <w:bCs/>
          <w:sz w:val="24"/>
        </w:rPr>
        <w:t>续保审查</w:t>
      </w:r>
      <w:r>
        <w:rPr>
          <w:rFonts w:hint="eastAsia" w:ascii="Times New Roman" w:hAnsi="Times New Roman" w:eastAsia="宋体"/>
          <w:sz w:val="24"/>
        </w:rPr>
        <w:t>：连续两期评分≥4.5且CAPEX增速&gt;50%，触发续保重新谈判</w:t>
      </w:r>
    </w:p>
    <w:p w14:paraId="77B4380D">
      <w:pPr>
        <w:pStyle w:val="25"/>
        <w:spacing w:before="40" w:after="40" w:line="360" w:lineRule="auto"/>
        <w:ind w:firstLine="480"/>
      </w:pPr>
      <w:r>
        <w:rPr>
          <w:rFonts w:hint="eastAsia" w:ascii="Times New Roman" w:hAnsi="Times New Roman" w:eastAsia="宋体"/>
          <w:b/>
          <w:bCs/>
          <w:sz w:val="24"/>
        </w:rPr>
        <w:t>干预清单——对投资机构</w:t>
      </w:r>
      <w:r>
        <w:rPr>
          <w:rFonts w:hint="eastAsia" w:ascii="Times New Roman" w:hAnsi="Times New Roman" w:eastAsia="宋体"/>
          <w:sz w:val="24"/>
        </w:rPr>
        <w:t>：</w:t>
      </w:r>
    </w:p>
    <w:p w14:paraId="7650D920">
      <w:pPr>
        <w:pStyle w:val="26"/>
        <w:spacing w:before="40" w:after="40" w:line="360" w:lineRule="auto"/>
        <w:ind w:left="420"/>
      </w:pPr>
      <w:r>
        <w:rPr>
          <w:rFonts w:hint="eastAsia" w:ascii="Times New Roman" w:hAnsi="Times New Roman" w:eastAsia="宋体"/>
          <w:b/>
          <w:bCs/>
          <w:sz w:val="24"/>
        </w:rPr>
        <w:t>估值调整</w:t>
      </w:r>
      <w:r>
        <w:rPr>
          <w:rFonts w:hint="eastAsia" w:ascii="Times New Roman" w:hAnsi="Times New Roman" w:eastAsia="宋体"/>
          <w:sz w:val="24"/>
        </w:rPr>
        <w:t>：报告利润扣减折旧缺口后重新估算企业价值</w:t>
      </w:r>
    </w:p>
    <w:p w14:paraId="0AA4A9C0">
      <w:pPr>
        <w:pStyle w:val="26"/>
        <w:spacing w:before="40" w:after="40" w:line="360" w:lineRule="auto"/>
        <w:ind w:left="420"/>
      </w:pPr>
      <w:r>
        <w:rPr>
          <w:rFonts w:hint="eastAsia" w:ascii="Times New Roman" w:hAnsi="Times New Roman" w:eastAsia="宋体"/>
          <w:b/>
          <w:bCs/>
          <w:sz w:val="24"/>
        </w:rPr>
        <w:t>持仓限额</w:t>
      </w:r>
      <w:r>
        <w:rPr>
          <w:rFonts w:hint="eastAsia" w:ascii="Times New Roman" w:hAnsi="Times New Roman" w:eastAsia="宋体"/>
          <w:sz w:val="24"/>
        </w:rPr>
        <w:t>：单只AI科技股不超过组合净值的10%</w:t>
      </w:r>
    </w:p>
    <w:p w14:paraId="2EC1CC79">
      <w:pPr>
        <w:pStyle w:val="26"/>
        <w:spacing w:before="40" w:after="40" w:line="360" w:lineRule="auto"/>
        <w:ind w:left="420"/>
      </w:pPr>
      <w:r>
        <w:rPr>
          <w:rFonts w:hint="eastAsia" w:ascii="Times New Roman" w:hAnsi="Times New Roman" w:eastAsia="宋体"/>
          <w:b/>
          <w:bCs/>
          <w:sz w:val="24"/>
        </w:rPr>
        <w:t>退出触发</w:t>
      </w:r>
      <w:r>
        <w:rPr>
          <w:rFonts w:hint="eastAsia" w:ascii="Times New Roman" w:hAnsi="Times New Roman" w:eastAsia="宋体"/>
          <w:sz w:val="24"/>
        </w:rPr>
        <w:t>：评分连续两期≥4.5且出现“折旧指纹”（R1命中），触发减持审查</w:t>
      </w:r>
    </w:p>
    <w:p w14:paraId="25F537F4">
      <w:pPr>
        <w:pStyle w:val="25"/>
        <w:spacing w:before="40" w:after="40" w:line="360" w:lineRule="auto"/>
        <w:ind w:firstLine="480"/>
      </w:pPr>
      <w:r>
        <w:rPr>
          <w:rFonts w:hint="eastAsia" w:ascii="Times New Roman" w:hAnsi="Times New Roman" w:eastAsia="宋体"/>
          <w:b/>
          <w:bCs/>
          <w:sz w:val="24"/>
        </w:rPr>
        <w:t>干预清单——对监管机构</w:t>
      </w:r>
      <w:r>
        <w:rPr>
          <w:rFonts w:hint="eastAsia" w:ascii="Times New Roman" w:hAnsi="Times New Roman" w:eastAsia="宋体"/>
          <w:sz w:val="24"/>
        </w:rPr>
        <w:t>：</w:t>
      </w:r>
    </w:p>
    <w:p w14:paraId="17E763D8">
      <w:pPr>
        <w:pStyle w:val="26"/>
        <w:spacing w:before="40" w:after="40" w:line="360" w:lineRule="auto"/>
        <w:ind w:left="420"/>
      </w:pPr>
      <w:r>
        <w:rPr>
          <w:rFonts w:hint="eastAsia" w:ascii="Times New Roman" w:hAnsi="Times New Roman" w:eastAsia="宋体"/>
          <w:b/>
          <w:bCs/>
          <w:sz w:val="24"/>
        </w:rPr>
        <w:t>自动标记</w:t>
      </w:r>
      <w:r>
        <w:rPr>
          <w:rFonts w:hint="eastAsia" w:ascii="Times New Roman" w:hAnsi="Times New Roman" w:eastAsia="宋体"/>
          <w:sz w:val="24"/>
        </w:rPr>
        <w:t>：纳入监管科技（RegTech）重点监测名单</w:t>
      </w:r>
    </w:p>
    <w:p w14:paraId="54962389">
      <w:pPr>
        <w:pStyle w:val="26"/>
        <w:spacing w:before="40" w:after="40" w:line="360" w:lineRule="auto"/>
        <w:ind w:left="420"/>
      </w:pPr>
      <w:r>
        <w:rPr>
          <w:rFonts w:hint="eastAsia" w:ascii="Times New Roman" w:hAnsi="Times New Roman" w:eastAsia="宋体"/>
          <w:b/>
          <w:bCs/>
          <w:sz w:val="24"/>
        </w:rPr>
        <w:t>问询触发</w:t>
      </w:r>
      <w:r>
        <w:rPr>
          <w:rFonts w:hint="eastAsia" w:ascii="Times New Roman" w:hAnsi="Times New Roman" w:eastAsia="宋体"/>
          <w:sz w:val="24"/>
        </w:rPr>
        <w:t>：估计变更共振事件（同行业≥3家公司同步延长）自动上报</w:t>
      </w:r>
    </w:p>
    <w:p w14:paraId="263C0C83">
      <w:pPr>
        <w:pStyle w:val="26"/>
        <w:spacing w:before="40" w:after="40" w:line="360" w:lineRule="auto"/>
        <w:ind w:left="420"/>
      </w:pPr>
      <w:r>
        <w:rPr>
          <w:rFonts w:hint="eastAsia" w:ascii="Times New Roman" w:hAnsi="Times New Roman" w:eastAsia="宋体"/>
          <w:b/>
          <w:bCs/>
          <w:sz w:val="24"/>
        </w:rPr>
        <w:t>披露要求</w:t>
      </w:r>
      <w:r>
        <w:rPr>
          <w:rFonts w:hint="eastAsia" w:ascii="Times New Roman" w:hAnsi="Times New Roman" w:eastAsia="宋体"/>
          <w:sz w:val="24"/>
        </w:rPr>
        <w:t>：引导企业披露“折旧年限与技术迭代周期的对照说明”</w:t>
      </w:r>
    </w:p>
    <w:p w14:paraId="1513966A">
      <w:pPr>
        <w:pStyle w:val="25"/>
        <w:spacing w:before="40" w:after="40" w:line="360" w:lineRule="auto"/>
        <w:ind w:firstLine="480"/>
      </w:pPr>
      <w:r>
        <w:rPr>
          <w:rFonts w:hint="eastAsia" w:ascii="Times New Roman" w:hAnsi="Times New Roman" w:eastAsia="宋体"/>
          <w:b/>
          <w:bCs/>
          <w:sz w:val="24"/>
        </w:rPr>
        <w:t>原理</w:t>
      </w:r>
      <w:r>
        <w:rPr>
          <w:rFonts w:hint="eastAsia" w:ascii="Times New Roman" w:hAnsi="Times New Roman" w:eastAsia="宋体"/>
          <w:sz w:val="24"/>
        </w:rPr>
        <w:t>：红色区间企业具有“激进假设×高资产敞口”的高风险组合。以Intel为例：CAPEX/收入47.5%（全样本最高）、晶圆厂设备5→8年、经营利润仅$93M——一旦技术路线判断失误或需求下行，累积的折旧缺口将集中兑现为巨额减值。强制干预的目标是在“利润变脸”前建立缓冲带。</w:t>
      </w:r>
    </w:p>
    <w:p w14:paraId="07002810">
      <w:pPr>
        <w:pStyle w:val="25"/>
        <w:spacing w:before="40" w:after="40" w:line="360" w:lineRule="auto"/>
        <w:ind w:firstLine="480"/>
      </w:pPr>
      <w:r>
        <w:rPr>
          <w:rFonts w:hint="eastAsia" w:ascii="Times New Roman" w:hAnsi="Times New Roman" w:eastAsia="宋体"/>
          <w:b/>
          <w:bCs/>
          <w:sz w:val="24"/>
        </w:rPr>
        <w:t>二、干预机制的动态调整规则</w:t>
      </w:r>
    </w:p>
    <w:p w14:paraId="1FFE87FD">
      <w:pPr>
        <w:pStyle w:val="3"/>
        <w:spacing w:before="40" w:after="40" w:line="360" w:lineRule="auto"/>
        <w:ind w:firstLine="480"/>
      </w:pPr>
      <w:r>
        <w:rPr>
          <w:rFonts w:hint="eastAsia" w:ascii="Times New Roman" w:hAnsi="Times New Roman" w:eastAsia="宋体"/>
          <w:sz w:val="24"/>
        </w:rPr>
        <w:t>三级干预不是静态标签，而是动态演化的风控状态：</w:t>
      </w:r>
    </w:p>
    <w:p w14:paraId="398EFD8D">
      <w:pPr>
        <w:pStyle w:val="3"/>
        <w:spacing w:before="40" w:after="40" w:line="360" w:lineRule="auto"/>
        <w:ind w:firstLine="480"/>
      </w:pPr>
      <w:r>
        <w:rPr>
          <w:rFonts w:hint="eastAsia" w:ascii="Times New Roman" w:hAnsi="Times New Roman" w:eastAsia="宋体"/>
          <w:b/>
          <w:bCs/>
          <w:sz w:val="24"/>
        </w:rPr>
        <w:t>升级规则</w:t>
      </w:r>
      <w:r>
        <w:rPr>
          <w:rFonts w:hint="eastAsia" w:ascii="Times New Roman" w:hAnsi="Times New Roman" w:eastAsia="宋体"/>
          <w:sz w:val="24"/>
        </w:rPr>
        <w:t>：</w:t>
      </w:r>
    </w:p>
    <w:p w14:paraId="287249D8">
      <w:pPr>
        <w:pStyle w:val="26"/>
        <w:spacing w:before="40" w:after="40" w:line="360" w:lineRule="auto"/>
        <w:ind w:left="420"/>
      </w:pPr>
      <w:r>
        <w:rPr>
          <w:rFonts w:hint="eastAsia" w:ascii="Times New Roman" w:hAnsi="Times New Roman" w:eastAsia="宋体"/>
          <w:sz w:val="24"/>
        </w:rPr>
        <w:t>绿色→黄色：评分跳升≥0.5分，或R1/R4规则命中</w:t>
      </w:r>
    </w:p>
    <w:p w14:paraId="50A09D02">
      <w:pPr>
        <w:pStyle w:val="26"/>
        <w:spacing w:before="40" w:after="40" w:line="360" w:lineRule="auto"/>
        <w:ind w:left="420"/>
      </w:pPr>
      <w:r>
        <w:rPr>
          <w:rFonts w:hint="eastAsia" w:ascii="Times New Roman" w:hAnsi="Times New Roman" w:eastAsia="宋体"/>
          <w:sz w:val="24"/>
        </w:rPr>
        <w:t>黄色→红色：评分突破4.0，或连续两期处于黄色区间上限（3.7-3.9）</w:t>
      </w:r>
    </w:p>
    <w:p w14:paraId="1B0968E4">
      <w:pPr>
        <w:pStyle w:val="25"/>
        <w:spacing w:before="40" w:after="40" w:line="360" w:lineRule="auto"/>
        <w:ind w:firstLine="480"/>
      </w:pPr>
      <w:r>
        <w:rPr>
          <w:rFonts w:hint="eastAsia" w:ascii="Times New Roman" w:hAnsi="Times New Roman" w:eastAsia="宋体"/>
          <w:b/>
          <w:bCs/>
          <w:sz w:val="24"/>
        </w:rPr>
        <w:t>降级规则</w:t>
      </w:r>
      <w:r>
        <w:rPr>
          <w:rFonts w:hint="eastAsia" w:ascii="Times New Roman" w:hAnsi="Times New Roman" w:eastAsia="宋体"/>
          <w:sz w:val="24"/>
        </w:rPr>
        <w:t>：</w:t>
      </w:r>
    </w:p>
    <w:p w14:paraId="768433F6">
      <w:pPr>
        <w:pStyle w:val="26"/>
        <w:spacing w:before="40" w:after="40" w:line="360" w:lineRule="auto"/>
        <w:ind w:left="420"/>
      </w:pPr>
      <w:r>
        <w:rPr>
          <w:rFonts w:hint="eastAsia" w:ascii="Times New Roman" w:hAnsi="Times New Roman" w:eastAsia="宋体"/>
          <w:sz w:val="24"/>
        </w:rPr>
        <w:t>红色→黄色：评分连续两期&lt;4.0，且CAPEX强度下降</w:t>
      </w:r>
    </w:p>
    <w:p w14:paraId="2E59B727">
      <w:pPr>
        <w:pStyle w:val="26"/>
        <w:spacing w:before="40" w:after="40" w:line="360" w:lineRule="auto"/>
        <w:ind w:left="420"/>
      </w:pPr>
      <w:r>
        <w:rPr>
          <w:rFonts w:hint="eastAsia" w:ascii="Times New Roman" w:hAnsi="Times New Roman" w:eastAsia="宋体"/>
          <w:sz w:val="24"/>
        </w:rPr>
        <w:t>黄色→绿色：评分连续三期&lt;2.5，且无年限变更记录</w:t>
      </w:r>
    </w:p>
    <w:p w14:paraId="281724F5">
      <w:pPr>
        <w:pStyle w:val="25"/>
        <w:spacing w:before="40" w:after="40" w:line="360" w:lineRule="auto"/>
        <w:ind w:firstLine="480"/>
      </w:pPr>
      <w:r>
        <w:rPr>
          <w:rFonts w:hint="eastAsia" w:ascii="Times New Roman" w:hAnsi="Times New Roman" w:eastAsia="宋体"/>
          <w:b/>
          <w:bCs/>
          <w:sz w:val="24"/>
        </w:rPr>
        <w:t>特例处理——“连续延长者”</w:t>
      </w:r>
      <w:r>
        <w:rPr>
          <w:rFonts w:hint="eastAsia" w:ascii="Times New Roman" w:hAnsi="Times New Roman" w:eastAsia="宋体"/>
          <w:sz w:val="24"/>
        </w:rPr>
        <w:t>：</w:t>
      </w:r>
      <w:r>
        <w:rPr>
          <w:rFonts w:ascii="Times New Roman" w:hAnsi="Times New Roman" w:eastAsia="宋体"/>
          <w:sz w:val="24"/>
        </w:rPr>
        <w:t xml:space="preserve"> </w:t>
      </w:r>
      <w:r>
        <w:rPr>
          <w:rFonts w:hint="eastAsia" w:ascii="Times New Roman" w:hAnsi="Times New Roman" w:eastAsia="宋体"/>
          <w:sz w:val="24"/>
        </w:rPr>
        <w:t>Oracle与Meta在面板内两次延长年限，每次变更年评分均跳升。对此类企业，即使评分暂时回落至黄色区间，仍保持“红色观察”状态，直至连续三期无新变更方可降级。</w:t>
      </w:r>
    </w:p>
    <w:p w14:paraId="64596A1E">
      <w:pPr>
        <w:pStyle w:val="25"/>
        <w:spacing w:before="40" w:after="40" w:line="360" w:lineRule="auto"/>
        <w:ind w:firstLine="480"/>
      </w:pPr>
      <w:r>
        <w:rPr>
          <w:rFonts w:hint="eastAsia" w:ascii="Times New Roman" w:hAnsi="Times New Roman" w:eastAsia="宋体"/>
          <w:b/>
          <w:bCs/>
          <w:sz w:val="24"/>
        </w:rPr>
        <w:t>三、干预机制的证据链支撑</w:t>
      </w:r>
    </w:p>
    <w:p w14:paraId="5439CF8F">
      <w:pPr>
        <w:pStyle w:val="3"/>
        <w:spacing w:before="40" w:after="40" w:line="360" w:lineRule="auto"/>
        <w:ind w:firstLine="480"/>
      </w:pPr>
      <w:r>
        <w:rPr>
          <w:rFonts w:hint="eastAsia" w:ascii="Times New Roman" w:hAnsi="Times New Roman" w:eastAsia="宋体"/>
          <w:sz w:val="24"/>
        </w:rPr>
        <w:t>本干预机制的所有触发条件和动作设计，均来自第四章的实证发现：</w:t>
      </w:r>
    </w:p>
    <w:tbl>
      <w:tblPr>
        <w:tblStyle w:val="43"/>
        <w:tblW w:w="5000" w:type="pct"/>
        <w:tblInd w:w="0" w:type="dxa"/>
        <w:tblLayout w:type="autofit"/>
        <w:tblCellMar>
          <w:top w:w="0" w:type="dxa"/>
          <w:left w:w="108" w:type="dxa"/>
          <w:bottom w:w="0" w:type="dxa"/>
          <w:right w:w="108" w:type="dxa"/>
        </w:tblCellMar>
      </w:tblPr>
      <w:tblGrid>
        <w:gridCol w:w="3202"/>
        <w:gridCol w:w="4108"/>
        <w:gridCol w:w="1978"/>
      </w:tblGrid>
      <w:tr w14:paraId="75CCE0BF">
        <w:tblPrEx>
          <w:tblCellMar>
            <w:top w:w="0" w:type="dxa"/>
            <w:left w:w="108" w:type="dxa"/>
            <w:bottom w:w="0" w:type="dxa"/>
            <w:right w:w="108" w:type="dxa"/>
          </w:tblCellMar>
        </w:tblPrEx>
        <w:trPr>
          <w:cantSplit/>
          <w:tblHeader/>
        </w:trPr>
        <w:tc>
          <w:p w14:paraId="774E4A74">
            <w:pPr>
              <w:pStyle w:val="26"/>
              <w:spacing w:before="20" w:after="20" w:line="276" w:lineRule="auto"/>
            </w:pPr>
            <w:r>
              <w:rPr>
                <w:rFonts w:hint="eastAsia" w:ascii="Times New Roman" w:hAnsi="Times New Roman" w:eastAsia="宋体"/>
                <w:sz w:val="20"/>
              </w:rPr>
              <w:t>干预规则</w:t>
            </w:r>
          </w:p>
        </w:tc>
        <w:tc>
          <w:p w14:paraId="40610424">
            <w:pPr>
              <w:pStyle w:val="26"/>
              <w:spacing w:before="20" w:after="20" w:line="276" w:lineRule="auto"/>
            </w:pPr>
            <w:r>
              <w:rPr>
                <w:rFonts w:hint="eastAsia" w:ascii="Times New Roman" w:hAnsi="Times New Roman" w:eastAsia="宋体"/>
                <w:sz w:val="20"/>
              </w:rPr>
              <w:t>实证依据</w:t>
            </w:r>
          </w:p>
        </w:tc>
        <w:tc>
          <w:p w14:paraId="03A6CD83">
            <w:pPr>
              <w:pStyle w:val="26"/>
              <w:spacing w:before="20" w:after="20" w:line="276" w:lineRule="auto"/>
            </w:pPr>
            <w:r>
              <w:rPr>
                <w:rFonts w:hint="eastAsia" w:ascii="Times New Roman" w:hAnsi="Times New Roman" w:eastAsia="宋体"/>
                <w:sz w:val="20"/>
              </w:rPr>
              <w:t>报告位置</w:t>
            </w:r>
          </w:p>
        </w:tc>
      </w:tr>
      <w:tr w14:paraId="2EA27F53">
        <w:tblPrEx>
          <w:tblCellMar>
            <w:top w:w="0" w:type="dxa"/>
            <w:left w:w="108" w:type="dxa"/>
            <w:bottom w:w="0" w:type="dxa"/>
            <w:right w:w="108" w:type="dxa"/>
          </w:tblCellMar>
        </w:tblPrEx>
        <w:trPr>
          <w:cantSplit/>
        </w:trPr>
        <w:tc>
          <w:p w14:paraId="287DDB19">
            <w:pPr>
              <w:pStyle w:val="26"/>
              <w:spacing w:before="20" w:after="20" w:line="276" w:lineRule="auto"/>
            </w:pPr>
            <w:r>
              <w:rPr>
                <w:rFonts w:hint="eastAsia" w:ascii="Times New Roman" w:hAnsi="Times New Roman" w:eastAsia="宋体"/>
                <w:sz w:val="20"/>
              </w:rPr>
              <w:t>评分≥4.0触发强制干预</w:t>
            </w:r>
          </w:p>
        </w:tc>
        <w:tc>
          <w:p w14:paraId="7C47CB62">
            <w:pPr>
              <w:pStyle w:val="26"/>
              <w:spacing w:before="20" w:after="20" w:line="276" w:lineRule="auto"/>
            </w:pPr>
            <w:r>
              <w:rPr>
                <w:rFonts w:hint="eastAsia" w:ascii="Times New Roman" w:hAnsi="Times New Roman" w:eastAsia="宋体"/>
                <w:sz w:val="20"/>
              </w:rPr>
              <w:t>高风险组评分全部≥4.0</w:t>
            </w:r>
          </w:p>
        </w:tc>
        <w:tc>
          <w:p w14:paraId="5B0EE549">
            <w:pPr>
              <w:pStyle w:val="26"/>
              <w:spacing w:before="20" w:after="20" w:line="276" w:lineRule="auto"/>
            </w:pPr>
            <w:r>
              <w:rPr>
                <w:rFonts w:hint="eastAsia" w:ascii="Times New Roman" w:hAnsi="Times New Roman" w:eastAsia="宋体"/>
                <w:sz w:val="20"/>
              </w:rPr>
              <w:t>4.2节表4-2</w:t>
            </w:r>
          </w:p>
        </w:tc>
      </w:tr>
      <w:tr w14:paraId="214EBFC8">
        <w:tblPrEx>
          <w:tblCellMar>
            <w:top w:w="0" w:type="dxa"/>
            <w:left w:w="108" w:type="dxa"/>
            <w:bottom w:w="0" w:type="dxa"/>
            <w:right w:w="108" w:type="dxa"/>
          </w:tblCellMar>
        </w:tblPrEx>
        <w:trPr>
          <w:cantSplit/>
        </w:trPr>
        <w:tc>
          <w:p w14:paraId="031297B9">
            <w:pPr>
              <w:pStyle w:val="26"/>
              <w:spacing w:before="20" w:after="20" w:line="276" w:lineRule="auto"/>
            </w:pPr>
            <w:r>
              <w:rPr>
                <w:rFonts w:hint="eastAsia" w:ascii="Times New Roman" w:hAnsi="Times New Roman" w:eastAsia="宋体"/>
                <w:sz w:val="20"/>
              </w:rPr>
              <w:t>连续延长者保持红色观察</w:t>
            </w:r>
          </w:p>
        </w:tc>
        <w:tc>
          <w:p w14:paraId="45F27033">
            <w:pPr>
              <w:pStyle w:val="26"/>
              <w:spacing w:before="20" w:after="20" w:line="276" w:lineRule="auto"/>
            </w:pPr>
            <w:r>
              <w:rPr>
                <w:rFonts w:hint="eastAsia" w:ascii="Times New Roman" w:hAnsi="Times New Roman" w:eastAsia="宋体"/>
                <w:sz w:val="20"/>
              </w:rPr>
              <w:t>Oracle/Meta两次延长均跳升</w:t>
            </w:r>
          </w:p>
        </w:tc>
        <w:tc>
          <w:p w14:paraId="306634F2">
            <w:pPr>
              <w:pStyle w:val="26"/>
              <w:spacing w:before="20" w:after="20" w:line="276" w:lineRule="auto"/>
            </w:pPr>
            <w:r>
              <w:rPr>
                <w:rFonts w:hint="eastAsia" w:ascii="Times New Roman" w:hAnsi="Times New Roman" w:eastAsia="宋体"/>
                <w:sz w:val="20"/>
              </w:rPr>
              <w:t>4.3.5节/4.4.1节</w:t>
            </w:r>
          </w:p>
        </w:tc>
      </w:tr>
      <w:tr w14:paraId="503D7585">
        <w:tblPrEx>
          <w:tblCellMar>
            <w:top w:w="0" w:type="dxa"/>
            <w:left w:w="108" w:type="dxa"/>
            <w:bottom w:w="0" w:type="dxa"/>
            <w:right w:w="108" w:type="dxa"/>
          </w:tblCellMar>
        </w:tblPrEx>
        <w:trPr>
          <w:cantSplit/>
        </w:trPr>
        <w:tc>
          <w:p w14:paraId="3E9EED7E">
            <w:pPr>
              <w:pStyle w:val="26"/>
              <w:spacing w:before="20" w:after="20" w:line="276" w:lineRule="auto"/>
            </w:pPr>
            <w:r>
              <w:rPr>
                <w:rFonts w:hint="eastAsia" w:ascii="Times New Roman" w:hAnsi="Times New Roman" w:eastAsia="宋体"/>
                <w:sz w:val="20"/>
              </w:rPr>
              <w:t>R1折旧指纹作为升级触发</w:t>
            </w:r>
          </w:p>
        </w:tc>
        <w:tc>
          <w:p w14:paraId="4C712264">
            <w:pPr>
              <w:pStyle w:val="26"/>
              <w:spacing w:before="20" w:after="20" w:line="276" w:lineRule="auto"/>
            </w:pPr>
            <w:r>
              <w:rPr>
                <w:rFonts w:ascii="Times New Roman" w:hAnsi="Times New Roman" w:eastAsia="宋体"/>
                <w:sz w:val="20"/>
              </w:rPr>
              <w:t xml:space="preserve">Google </w:t>
            </w:r>
            <w:r>
              <w:rPr>
                <w:rFonts w:hint="eastAsia" w:ascii="Times New Roman" w:hAnsi="Times New Roman" w:eastAsia="宋体"/>
                <w:sz w:val="20"/>
              </w:rPr>
              <w:t>PP&amp;E+19%/折旧-11.35%</w:t>
            </w:r>
          </w:p>
        </w:tc>
        <w:tc>
          <w:p w14:paraId="2B5151CA">
            <w:pPr>
              <w:pStyle w:val="26"/>
              <w:spacing w:before="20" w:after="20" w:line="276" w:lineRule="auto"/>
            </w:pPr>
            <w:r>
              <w:rPr>
                <w:rFonts w:hint="eastAsia" w:ascii="Times New Roman" w:hAnsi="Times New Roman" w:eastAsia="宋体"/>
                <w:sz w:val="20"/>
              </w:rPr>
              <w:t>4.6发现③</w:t>
            </w:r>
          </w:p>
        </w:tc>
      </w:tr>
      <w:tr w14:paraId="392C2826">
        <w:tblPrEx>
          <w:tblCellMar>
            <w:top w:w="0" w:type="dxa"/>
            <w:left w:w="108" w:type="dxa"/>
            <w:bottom w:w="0" w:type="dxa"/>
            <w:right w:w="108" w:type="dxa"/>
          </w:tblCellMar>
        </w:tblPrEx>
        <w:trPr>
          <w:cantSplit/>
        </w:trPr>
        <w:tc>
          <w:p w14:paraId="33444F01">
            <w:pPr>
              <w:pStyle w:val="26"/>
              <w:spacing w:before="20" w:after="20" w:line="276" w:lineRule="auto"/>
            </w:pPr>
            <w:r>
              <w:rPr>
                <w:rFonts w:hint="eastAsia" w:ascii="Times New Roman" w:hAnsi="Times New Roman" w:eastAsia="宋体"/>
                <w:sz w:val="20"/>
              </w:rPr>
              <w:t>估计变更共振上报监管</w:t>
            </w:r>
          </w:p>
        </w:tc>
        <w:tc>
          <w:p w14:paraId="4328FD16">
            <w:pPr>
              <w:pStyle w:val="26"/>
              <w:spacing w:before="20" w:after="20" w:line="276" w:lineRule="auto"/>
            </w:pPr>
            <w:r>
              <w:rPr>
                <w:rFonts w:hint="eastAsia" w:ascii="Times New Roman" w:hAnsi="Times New Roman" w:eastAsia="宋体"/>
                <w:sz w:val="20"/>
              </w:rPr>
              <w:t>6家公司12个月内同步延长</w:t>
            </w:r>
          </w:p>
        </w:tc>
        <w:tc>
          <w:p w14:paraId="171BA4F8">
            <w:pPr>
              <w:pStyle w:val="26"/>
              <w:spacing w:before="20" w:after="20" w:line="276" w:lineRule="auto"/>
            </w:pPr>
            <w:r>
              <w:rPr>
                <w:rFonts w:hint="eastAsia" w:ascii="Times New Roman" w:hAnsi="Times New Roman" w:eastAsia="宋体"/>
                <w:sz w:val="20"/>
              </w:rPr>
              <w:t>4.6发现②</w:t>
            </w:r>
          </w:p>
        </w:tc>
      </w:tr>
      <w:tr w14:paraId="577AD844">
        <w:tblPrEx>
          <w:tblCellMar>
            <w:top w:w="0" w:type="dxa"/>
            <w:left w:w="108" w:type="dxa"/>
            <w:bottom w:w="0" w:type="dxa"/>
            <w:right w:w="108" w:type="dxa"/>
          </w:tblCellMar>
        </w:tblPrEx>
        <w:trPr>
          <w:cantSplit/>
        </w:trPr>
        <w:tc>
          <w:p w14:paraId="0EB0F488">
            <w:pPr>
              <w:pStyle w:val="26"/>
              <w:spacing w:before="20" w:after="20" w:line="276" w:lineRule="auto"/>
            </w:pPr>
            <w:r>
              <w:rPr>
                <w:rFonts w:hint="eastAsia" w:ascii="Times New Roman" w:hAnsi="Times New Roman" w:eastAsia="宋体"/>
                <w:sz w:val="20"/>
              </w:rPr>
              <w:t>CAPEX强度作为核心维度</w:t>
            </w:r>
          </w:p>
        </w:tc>
        <w:tc>
          <w:p w14:paraId="48CB6214">
            <w:pPr>
              <w:pStyle w:val="26"/>
              <w:spacing w:before="20" w:after="20" w:line="276" w:lineRule="auto"/>
            </w:pPr>
            <w:r>
              <w:rPr>
                <w:rFonts w:ascii="Times New Roman" w:hAnsi="Times New Roman" w:eastAsia="宋体"/>
                <w:sz w:val="20"/>
              </w:rPr>
              <w:t xml:space="preserve">capex_to_revenue </w:t>
            </w:r>
            <w:r>
              <w:rPr>
                <w:rFonts w:hint="eastAsia" w:ascii="Times New Roman" w:hAnsi="Times New Roman" w:eastAsia="宋体"/>
                <w:sz w:val="20"/>
              </w:rPr>
              <w:t>SHAP重要性第1</w:t>
            </w:r>
          </w:p>
        </w:tc>
        <w:tc>
          <w:p w14:paraId="608C49B1">
            <w:pPr>
              <w:pStyle w:val="26"/>
              <w:spacing w:before="20" w:after="20" w:line="276" w:lineRule="auto"/>
            </w:pPr>
            <w:r>
              <w:rPr>
                <w:rFonts w:hint="eastAsia" w:ascii="Times New Roman" w:hAnsi="Times New Roman" w:eastAsia="宋体"/>
                <w:sz w:val="20"/>
              </w:rPr>
              <w:t>附录F</w:t>
            </w:r>
          </w:p>
        </w:tc>
      </w:tr>
    </w:tbl>
    <w:p w14:paraId="6D3F4617">
      <w:pPr>
        <w:pStyle w:val="3"/>
        <w:spacing w:before="40" w:after="40" w:line="360" w:lineRule="auto"/>
        <w:ind w:firstLine="480"/>
      </w:pPr>
      <w:r>
        <w:rPr>
          <w:rFonts w:hint="eastAsia" w:ascii="Times New Roman" w:hAnsi="Times New Roman" w:eastAsia="宋体"/>
          <w:sz w:val="24"/>
        </w:rPr>
        <w:t>这一设计遵循第五章5.1节的核心理念：</w:t>
      </w:r>
      <w:r>
        <w:rPr>
          <w:rFonts w:hint="eastAsia" w:ascii="Times New Roman" w:hAnsi="Times New Roman" w:eastAsia="宋体"/>
          <w:b/>
          <w:bCs/>
          <w:sz w:val="24"/>
        </w:rPr>
        <w:t>“所有预警规则必须由实证发现反推——不用拍脑袋的指标。”</w:t>
      </w:r>
    </w:p>
    <w:bookmarkEnd w:id="121"/>
    <w:p w14:paraId="447426A9">
      <w:pPr>
        <w:pStyle w:val="5"/>
        <w:spacing w:before="240" w:after="120" w:line="360" w:lineRule="auto"/>
      </w:pPr>
      <w:bookmarkStart w:id="122" w:name="风险缓释保险产品设计创新"/>
      <w:r>
        <w:rPr>
          <w:rFonts w:ascii="Times New Roman" w:hAnsi="Times New Roman" w:eastAsia="黑体"/>
          <w:b/>
          <w:color w:val="003366"/>
          <w:sz w:val="24"/>
        </w:rPr>
        <w:t xml:space="preserve">5.4.6 </w:t>
      </w:r>
      <w:r>
        <w:rPr>
          <w:rFonts w:hint="eastAsia" w:ascii="Times New Roman" w:hAnsi="Times New Roman" w:eastAsia="黑体"/>
          <w:b/>
          <w:color w:val="003366"/>
          <w:sz w:val="24"/>
        </w:rPr>
        <w:t>风险缓释：保险产品设计创新</w:t>
      </w:r>
    </w:p>
    <w:p w14:paraId="6676375E">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风险缓释是风控闭环的终极环节——识别了风险、计量了缺口、设计了干预机制，最终必须回答：当风险兑现时，损失由谁承担？如何承担？ 本节提出两类创新保险产品，将5D-DRS评分从“识别工具”转化为“可定价的风险标的”。</w:t>
      </w:r>
    </w:p>
    <w:p w14:paraId="71CFAB36">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产品设计借鉴了发榜方已实战验证的全周期服务范式。在 2025 年超强台风“桦加沙”应对中，平安产险形成了“灾前提前 4 天精准预判并广泛触达预警—灾中精准筛选高风险标的并整改隐患—灾后简化流程快赔预赔（巨灾 1 天预赔 1,800 万元）”的标准动作（平安产险，2026）。折旧错配风险虽无“灾情”，但其“假设激进期—信号累积期—减值兑现期”的演化路径，同样适用事前评分定价、事中预警干预、事后损失缓释的三段式管理——本节两类产品的条款结构即按此展开。</w:t>
      </w:r>
    </w:p>
    <w:p w14:paraId="0ADC4FC2">
      <w:pPr>
        <w:pStyle w:val="25"/>
        <w:spacing w:before="40" w:after="40" w:line="360" w:lineRule="auto"/>
        <w:ind w:firstLine="480"/>
      </w:pPr>
      <w:r>
        <w:rPr>
          <w:rFonts w:hint="eastAsia" w:ascii="Times New Roman" w:hAnsi="Times New Roman" w:eastAsia="宋体"/>
          <w:b/>
          <w:bCs/>
          <w:sz w:val="24"/>
        </w:rPr>
        <w:t>一、产品一：科创资产减值波动险（Depreciation</w:t>
      </w:r>
      <w:r>
        <w:rPr>
          <w:rFonts w:ascii="Times New Roman" w:hAnsi="Times New Roman" w:eastAsia="宋体"/>
          <w:b/>
          <w:bCs/>
          <w:sz w:val="24"/>
        </w:rPr>
        <w:t xml:space="preserve"> Mismatch Volatility Insurance, </w:t>
      </w:r>
      <w:r>
        <w:rPr>
          <w:rFonts w:hint="eastAsia" w:ascii="Times New Roman" w:hAnsi="Times New Roman" w:eastAsia="宋体"/>
          <w:b/>
          <w:bCs/>
          <w:sz w:val="24"/>
        </w:rPr>
        <w:t>DMVI）</w:t>
      </w:r>
    </w:p>
    <w:p w14:paraId="07FB177C">
      <w:pPr>
        <w:pStyle w:val="3"/>
        <w:spacing w:before="40" w:after="40" w:line="360" w:lineRule="auto"/>
        <w:ind w:firstLine="480"/>
      </w:pPr>
      <w:r>
        <w:rPr>
          <w:rFonts w:hint="eastAsia" w:ascii="Times New Roman" w:hAnsi="Times New Roman" w:eastAsia="宋体"/>
          <w:b/>
          <w:bCs/>
          <w:sz w:val="24"/>
        </w:rPr>
        <w:t>（1）产品定位</w:t>
      </w:r>
    </w:p>
    <w:p w14:paraId="3B873058">
      <w:pPr>
        <w:pStyle w:val="3"/>
        <w:spacing w:before="40" w:after="40" w:line="360" w:lineRule="auto"/>
        <w:ind w:firstLine="480"/>
      </w:pPr>
      <w:r>
        <w:rPr>
          <w:rFonts w:hint="eastAsia" w:ascii="Times New Roman" w:hAnsi="Times New Roman" w:eastAsia="宋体"/>
          <w:sz w:val="24"/>
        </w:rPr>
        <w:t>面向持有AI科技股仓位的机构投资者（公募基金、保险资管、券商自营、企业年金），当持仓公司因折旧错配暴露导致股价异常波动时，提供风险保障。</w:t>
      </w:r>
    </w:p>
    <w:p w14:paraId="2A58EAC4">
      <w:pPr>
        <w:pStyle w:val="3"/>
        <w:spacing w:before="40" w:after="40" w:line="360" w:lineRule="auto"/>
        <w:ind w:firstLine="480"/>
      </w:pPr>
      <w:r>
        <w:rPr>
          <w:rFonts w:hint="eastAsia" w:ascii="Times New Roman" w:hAnsi="Times New Roman" w:eastAsia="宋体"/>
          <w:b/>
          <w:bCs/>
          <w:sz w:val="24"/>
        </w:rPr>
        <w:t>与现有保险产品的区别</w:t>
      </w:r>
      <w:r>
        <w:rPr>
          <w:rFonts w:hint="eastAsia" w:ascii="Times New Roman" w:hAnsi="Times New Roman" w:eastAsia="宋体"/>
          <w:sz w:val="24"/>
        </w:rPr>
        <w:t>：</w:t>
      </w:r>
    </w:p>
    <w:tbl>
      <w:tblPr>
        <w:tblStyle w:val="43"/>
        <w:tblW w:w="5000" w:type="pct"/>
        <w:tblInd w:w="0" w:type="dxa"/>
        <w:tblLayout w:type="fixed"/>
        <w:tblCellMar>
          <w:top w:w="0" w:type="dxa"/>
          <w:left w:w="108" w:type="dxa"/>
          <w:bottom w:w="0" w:type="dxa"/>
          <w:right w:w="108" w:type="dxa"/>
        </w:tblCellMar>
      </w:tblPr>
      <w:tblGrid>
        <w:gridCol w:w="1238"/>
        <w:gridCol w:w="2683"/>
        <w:gridCol w:w="5367"/>
      </w:tblGrid>
      <w:tr w14:paraId="3B41AEC2">
        <w:tblPrEx>
          <w:tblCellMar>
            <w:top w:w="0" w:type="dxa"/>
            <w:left w:w="108" w:type="dxa"/>
            <w:bottom w:w="0" w:type="dxa"/>
            <w:right w:w="108" w:type="dxa"/>
          </w:tblCellMar>
        </w:tblPrEx>
        <w:trPr>
          <w:cantSplit/>
          <w:tblHeader/>
        </w:trPr>
        <w:tc>
          <w:p w14:paraId="6EE7D477">
            <w:pPr>
              <w:pStyle w:val="26"/>
              <w:spacing w:before="20" w:after="20" w:line="276" w:lineRule="auto"/>
            </w:pPr>
            <w:r>
              <w:rPr>
                <w:rFonts w:hint="eastAsia" w:ascii="Times New Roman" w:hAnsi="Times New Roman" w:eastAsia="宋体"/>
                <w:sz w:val="20"/>
              </w:rPr>
              <w:t>维度</w:t>
            </w:r>
          </w:p>
        </w:tc>
        <w:tc>
          <w:p w14:paraId="367EC557">
            <w:pPr>
              <w:pStyle w:val="26"/>
              <w:spacing w:before="20" w:after="20" w:line="276" w:lineRule="auto"/>
            </w:pPr>
            <w:r>
              <w:rPr>
                <w:rFonts w:hint="eastAsia" w:ascii="Times New Roman" w:hAnsi="Times New Roman" w:eastAsia="宋体"/>
                <w:sz w:val="20"/>
              </w:rPr>
              <w:t>传统股价保险</w:t>
            </w:r>
          </w:p>
        </w:tc>
        <w:tc>
          <w:p w14:paraId="3E90140E">
            <w:pPr>
              <w:pStyle w:val="26"/>
              <w:spacing w:before="20" w:after="20" w:line="276" w:lineRule="auto"/>
            </w:pPr>
            <w:r>
              <w:rPr>
                <w:rFonts w:hint="eastAsia" w:ascii="Times New Roman" w:hAnsi="Times New Roman" w:eastAsia="宋体"/>
                <w:sz w:val="20"/>
              </w:rPr>
              <w:t>科创资产减值波动险（DMVI）</w:t>
            </w:r>
          </w:p>
        </w:tc>
      </w:tr>
      <w:tr w14:paraId="77BD9F28">
        <w:tblPrEx>
          <w:tblCellMar>
            <w:top w:w="0" w:type="dxa"/>
            <w:left w:w="108" w:type="dxa"/>
            <w:bottom w:w="0" w:type="dxa"/>
            <w:right w:w="108" w:type="dxa"/>
          </w:tblCellMar>
        </w:tblPrEx>
        <w:trPr>
          <w:cantSplit/>
        </w:trPr>
        <w:tc>
          <w:p w14:paraId="797EEE00">
            <w:pPr>
              <w:pStyle w:val="26"/>
              <w:spacing w:before="20" w:after="20" w:line="276" w:lineRule="auto"/>
            </w:pPr>
            <w:r>
              <w:rPr>
                <w:rFonts w:hint="eastAsia" w:ascii="Times New Roman" w:hAnsi="Times New Roman" w:eastAsia="宋体"/>
                <w:sz w:val="20"/>
              </w:rPr>
              <w:t>风险识别</w:t>
            </w:r>
          </w:p>
        </w:tc>
        <w:tc>
          <w:p w14:paraId="54D613C3">
            <w:pPr>
              <w:pStyle w:val="26"/>
              <w:spacing w:before="20" w:after="20" w:line="276" w:lineRule="auto"/>
            </w:pPr>
            <w:r>
              <w:rPr>
                <w:rFonts w:hint="eastAsia" w:ascii="Times New Roman" w:hAnsi="Times New Roman" w:eastAsia="宋体"/>
                <w:sz w:val="20"/>
              </w:rPr>
              <w:t>历史波动率统计</w:t>
            </w:r>
          </w:p>
        </w:tc>
        <w:tc>
          <w:p w14:paraId="78A17FA9">
            <w:pPr>
              <w:pStyle w:val="26"/>
              <w:spacing w:before="20" w:after="20" w:line="276" w:lineRule="auto"/>
            </w:pPr>
            <w:r>
              <w:rPr>
                <w:rFonts w:hint="eastAsia" w:ascii="Times New Roman" w:hAnsi="Times New Roman" w:eastAsia="宋体"/>
                <w:sz w:val="20"/>
              </w:rPr>
              <w:t>5D-DRS前瞻性评分</w:t>
            </w:r>
          </w:p>
        </w:tc>
      </w:tr>
      <w:tr w14:paraId="59AAD649">
        <w:tblPrEx>
          <w:tblCellMar>
            <w:top w:w="0" w:type="dxa"/>
            <w:left w:w="108" w:type="dxa"/>
            <w:bottom w:w="0" w:type="dxa"/>
            <w:right w:w="108" w:type="dxa"/>
          </w:tblCellMar>
        </w:tblPrEx>
        <w:trPr>
          <w:cantSplit/>
        </w:trPr>
        <w:tc>
          <w:p w14:paraId="6E07526A">
            <w:pPr>
              <w:pStyle w:val="26"/>
              <w:spacing w:before="20" w:after="20" w:line="276" w:lineRule="auto"/>
            </w:pPr>
            <w:r>
              <w:rPr>
                <w:rFonts w:hint="eastAsia" w:ascii="Times New Roman" w:hAnsi="Times New Roman" w:eastAsia="宋体"/>
                <w:sz w:val="20"/>
              </w:rPr>
              <w:t>触发条件</w:t>
            </w:r>
          </w:p>
        </w:tc>
        <w:tc>
          <w:p w14:paraId="64435B76">
            <w:pPr>
              <w:pStyle w:val="26"/>
              <w:spacing w:before="20" w:after="20" w:line="276" w:lineRule="auto"/>
            </w:pPr>
            <w:r>
              <w:rPr>
                <w:rFonts w:hint="eastAsia" w:ascii="Times New Roman" w:hAnsi="Times New Roman" w:eastAsia="宋体"/>
                <w:sz w:val="20"/>
              </w:rPr>
              <w:t>任意股价下跌（市场系统性风险）</w:t>
            </w:r>
          </w:p>
        </w:tc>
        <w:tc>
          <w:p w14:paraId="4DC55210">
            <w:pPr>
              <w:pStyle w:val="26"/>
              <w:spacing w:before="20" w:after="20" w:line="276" w:lineRule="auto"/>
            </w:pPr>
            <w:r>
              <w:rPr>
                <w:rFonts w:hint="eastAsia" w:ascii="Times New Roman" w:hAnsi="Times New Roman" w:eastAsia="宋体"/>
                <w:sz w:val="20"/>
              </w:rPr>
              <w:t>折旧错配暴露+股价反应（特有风险）</w:t>
            </w:r>
          </w:p>
        </w:tc>
      </w:tr>
      <w:tr w14:paraId="6AD6E330">
        <w:tblPrEx>
          <w:tblCellMar>
            <w:top w:w="0" w:type="dxa"/>
            <w:left w:w="108" w:type="dxa"/>
            <w:bottom w:w="0" w:type="dxa"/>
            <w:right w:w="108" w:type="dxa"/>
          </w:tblCellMar>
        </w:tblPrEx>
        <w:trPr>
          <w:cantSplit/>
        </w:trPr>
        <w:tc>
          <w:p w14:paraId="5C392EEF">
            <w:pPr>
              <w:pStyle w:val="26"/>
              <w:spacing w:before="20" w:after="20" w:line="276" w:lineRule="auto"/>
            </w:pPr>
            <w:r>
              <w:rPr>
                <w:rFonts w:hint="eastAsia" w:ascii="Times New Roman" w:hAnsi="Times New Roman" w:eastAsia="宋体"/>
                <w:sz w:val="20"/>
              </w:rPr>
              <w:t>标的筛选</w:t>
            </w:r>
          </w:p>
        </w:tc>
        <w:tc>
          <w:p w14:paraId="5A68BA24">
            <w:pPr>
              <w:pStyle w:val="26"/>
              <w:spacing w:before="20" w:after="20" w:line="276" w:lineRule="auto"/>
            </w:pPr>
            <w:r>
              <w:rPr>
                <w:rFonts w:hint="eastAsia" w:ascii="Times New Roman" w:hAnsi="Times New Roman" w:eastAsia="宋体"/>
                <w:sz w:val="20"/>
              </w:rPr>
              <w:t>全市场或行业指数</w:t>
            </w:r>
          </w:p>
        </w:tc>
        <w:tc>
          <w:p w14:paraId="38AE317D">
            <w:pPr>
              <w:pStyle w:val="26"/>
              <w:spacing w:before="20" w:after="20" w:line="276" w:lineRule="auto"/>
            </w:pPr>
            <w:r>
              <w:rPr>
                <w:rFonts w:hint="eastAsia" w:ascii="Times New Roman" w:hAnsi="Times New Roman" w:eastAsia="宋体"/>
                <w:sz w:val="20"/>
              </w:rPr>
              <w:t>聚焦AI科技赛道高评分标的</w:t>
            </w:r>
          </w:p>
        </w:tc>
      </w:tr>
      <w:tr w14:paraId="14C0BD7E">
        <w:tblPrEx>
          <w:tblCellMar>
            <w:top w:w="0" w:type="dxa"/>
            <w:left w:w="108" w:type="dxa"/>
            <w:bottom w:w="0" w:type="dxa"/>
            <w:right w:w="108" w:type="dxa"/>
          </w:tblCellMar>
        </w:tblPrEx>
        <w:trPr>
          <w:cantSplit/>
        </w:trPr>
        <w:tc>
          <w:p w14:paraId="2AEEE577">
            <w:pPr>
              <w:pStyle w:val="26"/>
              <w:spacing w:before="20" w:after="20" w:line="276" w:lineRule="auto"/>
            </w:pPr>
            <w:r>
              <w:rPr>
                <w:rFonts w:hint="eastAsia" w:ascii="Times New Roman" w:hAnsi="Times New Roman" w:eastAsia="宋体"/>
                <w:sz w:val="20"/>
              </w:rPr>
              <w:t>定价依据</w:t>
            </w:r>
          </w:p>
        </w:tc>
        <w:tc>
          <w:p w14:paraId="1F606018">
            <w:pPr>
              <w:pStyle w:val="26"/>
              <w:spacing w:before="20" w:after="20" w:line="276" w:lineRule="auto"/>
            </w:pPr>
            <w:r>
              <w:rPr>
                <w:rFonts w:hint="eastAsia" w:ascii="Times New Roman" w:hAnsi="Times New Roman" w:eastAsia="宋体"/>
                <w:sz w:val="20"/>
              </w:rPr>
              <w:t>统计模型（VaR/ES）</w:t>
            </w:r>
          </w:p>
        </w:tc>
        <w:tc>
          <w:p w14:paraId="2D4EB519">
            <w:pPr>
              <w:pStyle w:val="26"/>
              <w:spacing w:before="20" w:after="20" w:line="276" w:lineRule="auto"/>
            </w:pPr>
            <w:r>
              <w:rPr>
                <w:rFonts w:hint="eastAsia" w:ascii="Times New Roman" w:hAnsi="Times New Roman" w:eastAsia="宋体"/>
                <w:sz w:val="20"/>
              </w:rPr>
              <w:t>会计估计激进度×资产敞口</w:t>
            </w:r>
          </w:p>
        </w:tc>
      </w:tr>
      <w:tr w14:paraId="41993273">
        <w:tblPrEx>
          <w:tblCellMar>
            <w:top w:w="0" w:type="dxa"/>
            <w:left w:w="108" w:type="dxa"/>
            <w:bottom w:w="0" w:type="dxa"/>
            <w:right w:w="108" w:type="dxa"/>
          </w:tblCellMar>
        </w:tblPrEx>
        <w:trPr>
          <w:cantSplit/>
        </w:trPr>
        <w:tc>
          <w:p w14:paraId="7D969456">
            <w:pPr>
              <w:pStyle w:val="26"/>
              <w:spacing w:before="20" w:after="20" w:line="276" w:lineRule="auto"/>
            </w:pPr>
            <w:r>
              <w:rPr>
                <w:rFonts w:hint="eastAsia" w:ascii="Times New Roman" w:hAnsi="Times New Roman" w:eastAsia="宋体"/>
                <w:sz w:val="20"/>
              </w:rPr>
              <w:t>风险来源</w:t>
            </w:r>
          </w:p>
        </w:tc>
        <w:tc>
          <w:p w14:paraId="5DE36D00">
            <w:pPr>
              <w:pStyle w:val="26"/>
              <w:spacing w:before="20" w:after="20" w:line="276" w:lineRule="auto"/>
            </w:pPr>
            <w:r>
              <w:rPr>
                <w:rFonts w:hint="eastAsia" w:ascii="Times New Roman" w:hAnsi="Times New Roman" w:eastAsia="宋体"/>
                <w:sz w:val="20"/>
              </w:rPr>
              <w:t>不可分散的市场风险</w:t>
            </w:r>
          </w:p>
        </w:tc>
        <w:tc>
          <w:p w14:paraId="3E8E1209">
            <w:pPr>
              <w:pStyle w:val="26"/>
              <w:spacing w:before="20" w:after="20" w:line="276" w:lineRule="auto"/>
            </w:pPr>
            <w:r>
              <w:rPr>
                <w:rFonts w:hint="eastAsia" w:ascii="Times New Roman" w:hAnsi="Times New Roman" w:eastAsia="宋体"/>
                <w:sz w:val="20"/>
              </w:rPr>
              <w:t>可识别的会计计量偏差</w:t>
            </w:r>
          </w:p>
        </w:tc>
      </w:tr>
    </w:tbl>
    <w:p w14:paraId="22743721">
      <w:pPr>
        <w:pStyle w:val="3"/>
        <w:spacing w:before="40" w:after="40" w:line="360" w:lineRule="auto"/>
        <w:ind w:firstLine="480"/>
      </w:pPr>
      <w:r>
        <w:rPr>
          <w:rFonts w:hint="eastAsia" w:ascii="Times New Roman" w:hAnsi="Times New Roman" w:eastAsia="宋体"/>
          <w:b/>
          <w:bCs/>
          <w:sz w:val="24"/>
        </w:rPr>
        <w:t>（2）被保险名单生成机制</w:t>
      </w:r>
    </w:p>
    <w:p w14:paraId="19F0C9B9">
      <w:pPr>
        <w:pStyle w:val="3"/>
        <w:spacing w:before="40" w:after="40" w:line="360" w:lineRule="auto"/>
        <w:ind w:firstLine="480"/>
      </w:pPr>
      <w:r>
        <w:rPr>
          <w:rFonts w:hint="eastAsia" w:ascii="Times New Roman" w:hAnsi="Times New Roman" w:eastAsia="宋体"/>
          <w:sz w:val="24"/>
        </w:rPr>
        <w:t>DMVI的被保险范围不是“全市场科技股”，而是由5D-DRS评分动态生成的</w:t>
      </w:r>
      <w:r>
        <w:rPr>
          <w:rFonts w:hint="eastAsia" w:ascii="Times New Roman" w:hAnsi="Times New Roman" w:eastAsia="宋体"/>
          <w:b/>
          <w:bCs/>
          <w:sz w:val="24"/>
        </w:rPr>
        <w:t>“高折旧风险标的池”</w:t>
      </w:r>
      <w:r>
        <w:rPr>
          <w:rFonts w:hint="eastAsia" w:ascii="Times New Roman" w:hAnsi="Times New Roman" w:eastAsia="宋体"/>
          <w:sz w:val="24"/>
        </w:rPr>
        <w:t>：</w:t>
      </w:r>
    </w:p>
    <w:p w14:paraId="61CC234B">
      <w:pPr>
        <w:pStyle w:val="3"/>
        <w:spacing w:before="40" w:after="40" w:line="360" w:lineRule="auto"/>
        <w:ind w:firstLine="480"/>
      </w:pPr>
      <w:r>
        <w:rPr>
          <w:rFonts w:hint="eastAsia" w:ascii="Times New Roman" w:hAnsi="Times New Roman" w:eastAsia="宋体"/>
          <w:sz w:val="24"/>
        </w:rPr>
        <w:t>入选条件（满足其一）：（1）5D-DRS</w:t>
      </w:r>
      <w:r>
        <w:rPr>
          <w:rFonts w:ascii="Times New Roman" w:hAnsi="Times New Roman" w:eastAsia="宋体"/>
          <w:sz w:val="24"/>
        </w:rPr>
        <w:t xml:space="preserve"> </w:t>
      </w:r>
      <w:r>
        <w:rPr>
          <w:rFonts w:hint="eastAsia" w:ascii="Times New Roman" w:hAnsi="Times New Roman" w:eastAsia="宋体"/>
          <w:sz w:val="24"/>
        </w:rPr>
        <w:t>综合评分</w:t>
      </w:r>
      <w:r>
        <w:rPr>
          <w:rFonts w:ascii="Times New Roman" w:hAnsi="Times New Roman" w:eastAsia="宋体"/>
          <w:sz w:val="24"/>
        </w:rPr>
        <w:t xml:space="preserve"> </w:t>
      </w:r>
      <w:r>
        <w:rPr>
          <w:rFonts w:hint="eastAsia" w:ascii="Times New Roman" w:hAnsi="Times New Roman" w:eastAsia="宋体"/>
          <w:sz w:val="24"/>
        </w:rPr>
        <w:t>≥4.0（高风险）；（2）评分</w:t>
      </w:r>
      <w:r>
        <w:rPr>
          <w:rFonts w:ascii="Times New Roman" w:hAnsi="Times New Roman" w:eastAsia="宋体"/>
          <w:sz w:val="24"/>
        </w:rPr>
        <w:t xml:space="preserve"> 3.5-3.9 </w:t>
      </w:r>
      <w:r>
        <w:rPr>
          <w:rFonts w:hint="eastAsia" w:ascii="Times New Roman" w:hAnsi="Times New Roman" w:eastAsia="宋体"/>
          <w:sz w:val="24"/>
        </w:rPr>
        <w:t>且</w:t>
      </w:r>
      <w:r>
        <w:rPr>
          <w:rFonts w:ascii="Times New Roman" w:hAnsi="Times New Roman" w:eastAsia="宋体"/>
          <w:sz w:val="24"/>
        </w:rPr>
        <w:t xml:space="preserve"> R1 </w:t>
      </w:r>
      <w:r>
        <w:rPr>
          <w:rFonts w:hint="eastAsia" w:ascii="Times New Roman" w:hAnsi="Times New Roman" w:eastAsia="宋体"/>
          <w:sz w:val="24"/>
        </w:rPr>
        <w:t>规则命中（折旧指纹）；（3）评分</w:t>
      </w:r>
      <w:r>
        <w:rPr>
          <w:rFonts w:ascii="Times New Roman" w:hAnsi="Times New Roman" w:eastAsia="宋体"/>
          <w:sz w:val="24"/>
        </w:rPr>
        <w:t xml:space="preserve"> 3.5-3.9 </w:t>
      </w:r>
      <w:r>
        <w:rPr>
          <w:rFonts w:hint="eastAsia" w:ascii="Times New Roman" w:hAnsi="Times New Roman" w:eastAsia="宋体"/>
          <w:sz w:val="24"/>
        </w:rPr>
        <w:t>且为“连续延长者”（历史延长</w:t>
      </w:r>
      <w:r>
        <w:rPr>
          <w:rFonts w:ascii="Times New Roman" w:hAnsi="Times New Roman" w:eastAsia="宋体"/>
          <w:sz w:val="24"/>
        </w:rPr>
        <w:t xml:space="preserve"> ≥2 </w:t>
      </w:r>
      <w:r>
        <w:rPr>
          <w:rFonts w:hint="eastAsia" w:ascii="Times New Roman" w:hAnsi="Times New Roman" w:eastAsia="宋体"/>
          <w:sz w:val="24"/>
        </w:rPr>
        <w:t>次）。</w:t>
      </w:r>
    </w:p>
    <w:p w14:paraId="269C8919">
      <w:pPr>
        <w:pStyle w:val="3"/>
        <w:spacing w:before="40" w:after="40" w:line="360" w:lineRule="auto"/>
        <w:ind w:firstLine="480"/>
      </w:pPr>
      <w:r>
        <w:rPr>
          <w:rFonts w:hint="eastAsia" w:ascii="Times New Roman" w:hAnsi="Times New Roman" w:eastAsia="宋体"/>
          <w:sz w:val="24"/>
        </w:rPr>
        <w:t>动态调整机制：每年</w:t>
      </w:r>
      <w:r>
        <w:rPr>
          <w:rFonts w:ascii="Times New Roman" w:hAnsi="Times New Roman" w:eastAsia="宋体"/>
          <w:sz w:val="24"/>
        </w:rPr>
        <w:t xml:space="preserve"> 10-K </w:t>
      </w:r>
      <w:r>
        <w:rPr>
          <w:rFonts w:hint="eastAsia" w:ascii="Times New Roman" w:hAnsi="Times New Roman" w:eastAsia="宋体"/>
          <w:sz w:val="24"/>
        </w:rPr>
        <w:t>披露季后重算评分、更新标的池；新入选标的</w:t>
      </w:r>
      <w:r>
        <w:rPr>
          <w:rFonts w:ascii="Times New Roman" w:hAnsi="Times New Roman" w:eastAsia="宋体"/>
          <w:sz w:val="24"/>
        </w:rPr>
        <w:t xml:space="preserve"> T+30 </w:t>
      </w:r>
      <w:r>
        <w:rPr>
          <w:rFonts w:hint="eastAsia" w:ascii="Times New Roman" w:hAnsi="Times New Roman" w:eastAsia="宋体"/>
          <w:sz w:val="24"/>
        </w:rPr>
        <w:t>日生效；评分连续两期</w:t>
      </w:r>
      <w:r>
        <w:rPr>
          <w:rFonts w:ascii="Times New Roman" w:hAnsi="Times New Roman" w:eastAsia="宋体"/>
          <w:sz w:val="24"/>
        </w:rPr>
        <w:t xml:space="preserve"> &lt;3.5 </w:t>
      </w:r>
      <w:r>
        <w:rPr>
          <w:rFonts w:hint="eastAsia" w:ascii="Times New Roman" w:hAnsi="Times New Roman" w:eastAsia="宋体"/>
          <w:sz w:val="24"/>
        </w:rPr>
        <w:t>的标的于</w:t>
      </w:r>
      <w:r>
        <w:rPr>
          <w:rFonts w:ascii="Times New Roman" w:hAnsi="Times New Roman" w:eastAsia="宋体"/>
          <w:sz w:val="24"/>
        </w:rPr>
        <w:t xml:space="preserve"> T+90 </w:t>
      </w:r>
      <w:r>
        <w:rPr>
          <w:rFonts w:hint="eastAsia" w:ascii="Times New Roman" w:hAnsi="Times New Roman" w:eastAsia="宋体"/>
          <w:sz w:val="24"/>
        </w:rPr>
        <w:t>日退出。</w:t>
      </w:r>
    </w:p>
    <w:p w14:paraId="6EDA3A79">
      <w:pPr>
        <w:pStyle w:val="3"/>
        <w:spacing w:before="40" w:after="40" w:line="360" w:lineRule="auto"/>
        <w:ind w:firstLine="480"/>
      </w:pPr>
      <w:r>
        <w:rPr>
          <w:rFonts w:hint="eastAsia" w:ascii="Times New Roman" w:hAnsi="Times New Roman" w:eastAsia="宋体"/>
          <w:b/>
          <w:bCs/>
          <w:sz w:val="24"/>
        </w:rPr>
        <w:t>首期标的池（基于本报告面板数据）</w:t>
      </w:r>
      <w:r>
        <w:rPr>
          <w:rFonts w:hint="eastAsia" w:ascii="Times New Roman" w:hAnsi="Times New Roman" w:eastAsia="宋体"/>
          <w:sz w:val="24"/>
        </w:rPr>
        <w:t>：</w:t>
      </w:r>
    </w:p>
    <w:tbl>
      <w:tblPr>
        <w:tblStyle w:val="43"/>
        <w:tblW w:w="5000" w:type="pct"/>
        <w:tblInd w:w="0" w:type="dxa"/>
        <w:tblLayout w:type="autofit"/>
        <w:tblCellMar>
          <w:top w:w="0" w:type="dxa"/>
          <w:left w:w="108" w:type="dxa"/>
          <w:bottom w:w="0" w:type="dxa"/>
          <w:right w:w="108" w:type="dxa"/>
        </w:tblCellMar>
      </w:tblPr>
      <w:tblGrid>
        <w:gridCol w:w="1959"/>
        <w:gridCol w:w="3127"/>
        <w:gridCol w:w="4202"/>
      </w:tblGrid>
      <w:tr w14:paraId="4CC96CB9">
        <w:tblPrEx>
          <w:tblCellMar>
            <w:top w:w="0" w:type="dxa"/>
            <w:left w:w="108" w:type="dxa"/>
            <w:bottom w:w="0" w:type="dxa"/>
            <w:right w:w="108" w:type="dxa"/>
          </w:tblCellMar>
        </w:tblPrEx>
        <w:trPr>
          <w:cantSplit/>
          <w:tblHeader/>
        </w:trPr>
        <w:tc>
          <w:p w14:paraId="65432721">
            <w:pPr>
              <w:pStyle w:val="26"/>
              <w:spacing w:before="20" w:after="20" w:line="276" w:lineRule="auto"/>
            </w:pPr>
            <w:r>
              <w:rPr>
                <w:rFonts w:hint="eastAsia" w:ascii="Times New Roman" w:hAnsi="Times New Roman" w:eastAsia="宋体"/>
                <w:sz w:val="20"/>
              </w:rPr>
              <w:t>公司</w:t>
            </w:r>
          </w:p>
        </w:tc>
        <w:tc>
          <w:p w14:paraId="25D04F56">
            <w:pPr>
              <w:pStyle w:val="26"/>
              <w:spacing w:before="20" w:after="20" w:line="276" w:lineRule="auto"/>
            </w:pPr>
            <w:r>
              <w:rPr>
                <w:rFonts w:hint="eastAsia" w:ascii="Times New Roman" w:hAnsi="Times New Roman" w:eastAsia="宋体"/>
                <w:sz w:val="20"/>
              </w:rPr>
              <w:t>评分</w:t>
            </w:r>
          </w:p>
        </w:tc>
        <w:tc>
          <w:p w14:paraId="77092F1A">
            <w:pPr>
              <w:pStyle w:val="26"/>
              <w:spacing w:before="20" w:after="20" w:line="276" w:lineRule="auto"/>
            </w:pPr>
            <w:r>
              <w:rPr>
                <w:rFonts w:hint="eastAsia" w:ascii="Times New Roman" w:hAnsi="Times New Roman" w:eastAsia="宋体"/>
                <w:sz w:val="20"/>
              </w:rPr>
              <w:t>入选理由</w:t>
            </w:r>
          </w:p>
        </w:tc>
      </w:tr>
      <w:tr w14:paraId="5039CE02">
        <w:tblPrEx>
          <w:tblCellMar>
            <w:top w:w="0" w:type="dxa"/>
            <w:left w:w="108" w:type="dxa"/>
            <w:bottom w:w="0" w:type="dxa"/>
            <w:right w:w="108" w:type="dxa"/>
          </w:tblCellMar>
        </w:tblPrEx>
        <w:trPr>
          <w:cantSplit/>
        </w:trPr>
        <w:tc>
          <w:p w14:paraId="2448136D">
            <w:pPr>
              <w:pStyle w:val="26"/>
              <w:spacing w:before="20" w:after="20" w:line="276" w:lineRule="auto"/>
            </w:pPr>
            <w:r>
              <w:rPr>
                <w:rFonts w:ascii="Times New Roman" w:hAnsi="Times New Roman" w:eastAsia="宋体"/>
                <w:sz w:val="20"/>
              </w:rPr>
              <w:t>Intel</w:t>
            </w:r>
          </w:p>
        </w:tc>
        <w:tc>
          <w:p w14:paraId="5851BF9C">
            <w:pPr>
              <w:pStyle w:val="26"/>
              <w:spacing w:before="20" w:after="20" w:line="276" w:lineRule="auto"/>
            </w:pPr>
            <w:r>
              <w:rPr>
                <w:rFonts w:ascii="Times New Roman" w:hAnsi="Times New Roman" w:eastAsia="宋体"/>
                <w:sz w:val="20"/>
              </w:rPr>
              <w:t>4.55</w:t>
            </w:r>
          </w:p>
        </w:tc>
        <w:tc>
          <w:p w14:paraId="48AAC189">
            <w:pPr>
              <w:pStyle w:val="26"/>
              <w:spacing w:before="20" w:after="20" w:line="276" w:lineRule="auto"/>
            </w:pPr>
            <w:r>
              <w:rPr>
                <w:rFonts w:hint="eastAsia" w:ascii="Times New Roman" w:hAnsi="Times New Roman" w:eastAsia="宋体"/>
                <w:sz w:val="20"/>
              </w:rPr>
              <w:t>评分≥4.0</w:t>
            </w:r>
          </w:p>
        </w:tc>
      </w:tr>
      <w:tr w14:paraId="5F9B0AF2">
        <w:tblPrEx>
          <w:tblCellMar>
            <w:top w:w="0" w:type="dxa"/>
            <w:left w:w="108" w:type="dxa"/>
            <w:bottom w:w="0" w:type="dxa"/>
            <w:right w:w="108" w:type="dxa"/>
          </w:tblCellMar>
        </w:tblPrEx>
        <w:trPr>
          <w:cantSplit/>
        </w:trPr>
        <w:tc>
          <w:p w14:paraId="0990DA50">
            <w:pPr>
              <w:pStyle w:val="26"/>
              <w:spacing w:before="20" w:after="20" w:line="276" w:lineRule="auto"/>
            </w:pPr>
            <w:r>
              <w:rPr>
                <w:rFonts w:ascii="Times New Roman" w:hAnsi="Times New Roman" w:eastAsia="宋体"/>
                <w:sz w:val="20"/>
              </w:rPr>
              <w:t>Google</w:t>
            </w:r>
          </w:p>
        </w:tc>
        <w:tc>
          <w:p w14:paraId="56339F70">
            <w:pPr>
              <w:pStyle w:val="26"/>
              <w:spacing w:before="20" w:after="20" w:line="276" w:lineRule="auto"/>
            </w:pPr>
            <w:r>
              <w:rPr>
                <w:rFonts w:ascii="Times New Roman" w:hAnsi="Times New Roman" w:eastAsia="宋体"/>
                <w:sz w:val="20"/>
              </w:rPr>
              <w:t>4.25</w:t>
            </w:r>
          </w:p>
        </w:tc>
        <w:tc>
          <w:p w14:paraId="7B3A2BAE">
            <w:pPr>
              <w:pStyle w:val="26"/>
              <w:spacing w:before="20" w:after="20" w:line="276" w:lineRule="auto"/>
            </w:pPr>
            <w:r>
              <w:rPr>
                <w:rFonts w:hint="eastAsia" w:ascii="Times New Roman" w:hAnsi="Times New Roman" w:eastAsia="宋体"/>
                <w:sz w:val="20"/>
              </w:rPr>
              <w:t>评分≥4.0</w:t>
            </w:r>
          </w:p>
        </w:tc>
      </w:tr>
      <w:tr w14:paraId="693F67D3">
        <w:tblPrEx>
          <w:tblCellMar>
            <w:top w:w="0" w:type="dxa"/>
            <w:left w:w="108" w:type="dxa"/>
            <w:bottom w:w="0" w:type="dxa"/>
            <w:right w:w="108" w:type="dxa"/>
          </w:tblCellMar>
        </w:tblPrEx>
        <w:trPr>
          <w:cantSplit/>
        </w:trPr>
        <w:tc>
          <w:p w14:paraId="26BB8A3E">
            <w:pPr>
              <w:pStyle w:val="26"/>
              <w:spacing w:before="20" w:after="20" w:line="276" w:lineRule="auto"/>
            </w:pPr>
            <w:r>
              <w:rPr>
                <w:rFonts w:ascii="Times New Roman" w:hAnsi="Times New Roman" w:eastAsia="宋体"/>
                <w:sz w:val="20"/>
              </w:rPr>
              <w:t>Microsoft</w:t>
            </w:r>
          </w:p>
        </w:tc>
        <w:tc>
          <w:p w14:paraId="22855885">
            <w:pPr>
              <w:pStyle w:val="26"/>
              <w:spacing w:before="20" w:after="20" w:line="276" w:lineRule="auto"/>
            </w:pPr>
            <w:r>
              <w:rPr>
                <w:rFonts w:ascii="Times New Roman" w:hAnsi="Times New Roman" w:eastAsia="宋体"/>
                <w:sz w:val="20"/>
              </w:rPr>
              <w:t>4.20</w:t>
            </w:r>
          </w:p>
        </w:tc>
        <w:tc>
          <w:p w14:paraId="731EF8B2">
            <w:pPr>
              <w:pStyle w:val="26"/>
              <w:spacing w:before="20" w:after="20" w:line="276" w:lineRule="auto"/>
            </w:pPr>
            <w:r>
              <w:rPr>
                <w:rFonts w:hint="eastAsia" w:ascii="Times New Roman" w:hAnsi="Times New Roman" w:eastAsia="宋体"/>
                <w:sz w:val="20"/>
              </w:rPr>
              <w:t>评分≥4.0</w:t>
            </w:r>
          </w:p>
        </w:tc>
      </w:tr>
      <w:tr w14:paraId="38686DB1">
        <w:tblPrEx>
          <w:tblCellMar>
            <w:top w:w="0" w:type="dxa"/>
            <w:left w:w="108" w:type="dxa"/>
            <w:bottom w:w="0" w:type="dxa"/>
            <w:right w:w="108" w:type="dxa"/>
          </w:tblCellMar>
        </w:tblPrEx>
        <w:trPr>
          <w:cantSplit/>
        </w:trPr>
        <w:tc>
          <w:p w14:paraId="346281DA">
            <w:pPr>
              <w:pStyle w:val="26"/>
              <w:spacing w:before="20" w:after="20" w:line="276" w:lineRule="auto"/>
            </w:pPr>
            <w:r>
              <w:rPr>
                <w:rFonts w:ascii="Times New Roman" w:hAnsi="Times New Roman" w:eastAsia="宋体"/>
                <w:sz w:val="20"/>
              </w:rPr>
              <w:t>Micron</w:t>
            </w:r>
          </w:p>
        </w:tc>
        <w:tc>
          <w:p w14:paraId="23339034">
            <w:pPr>
              <w:pStyle w:val="26"/>
              <w:spacing w:before="20" w:after="20" w:line="276" w:lineRule="auto"/>
            </w:pPr>
            <w:r>
              <w:rPr>
                <w:rFonts w:ascii="Times New Roman" w:hAnsi="Times New Roman" w:eastAsia="宋体"/>
                <w:sz w:val="20"/>
              </w:rPr>
              <w:t>4.20</w:t>
            </w:r>
          </w:p>
        </w:tc>
        <w:tc>
          <w:p w14:paraId="5006DCF0">
            <w:pPr>
              <w:pStyle w:val="26"/>
              <w:spacing w:before="20" w:after="20" w:line="276" w:lineRule="auto"/>
            </w:pPr>
            <w:r>
              <w:rPr>
                <w:rFonts w:hint="eastAsia" w:ascii="Times New Roman" w:hAnsi="Times New Roman" w:eastAsia="宋体"/>
                <w:sz w:val="20"/>
              </w:rPr>
              <w:t>评分≥4.0</w:t>
            </w:r>
          </w:p>
        </w:tc>
      </w:tr>
      <w:tr w14:paraId="14198EA3">
        <w:tblPrEx>
          <w:tblCellMar>
            <w:top w:w="0" w:type="dxa"/>
            <w:left w:w="108" w:type="dxa"/>
            <w:bottom w:w="0" w:type="dxa"/>
            <w:right w:w="108" w:type="dxa"/>
          </w:tblCellMar>
        </w:tblPrEx>
        <w:trPr>
          <w:cantSplit/>
        </w:trPr>
        <w:tc>
          <w:p w14:paraId="699B74A0">
            <w:pPr>
              <w:pStyle w:val="26"/>
              <w:spacing w:before="20" w:after="20" w:line="276" w:lineRule="auto"/>
            </w:pPr>
            <w:r>
              <w:rPr>
                <w:rFonts w:ascii="Times New Roman" w:hAnsi="Times New Roman" w:eastAsia="宋体"/>
                <w:sz w:val="20"/>
              </w:rPr>
              <w:t>Meta</w:t>
            </w:r>
          </w:p>
        </w:tc>
        <w:tc>
          <w:p w14:paraId="57CEE248">
            <w:pPr>
              <w:pStyle w:val="26"/>
              <w:spacing w:before="20" w:after="20" w:line="276" w:lineRule="auto"/>
            </w:pPr>
            <w:r>
              <w:rPr>
                <w:rFonts w:ascii="Times New Roman" w:hAnsi="Times New Roman" w:eastAsia="宋体"/>
                <w:sz w:val="20"/>
              </w:rPr>
              <w:t>4.00</w:t>
            </w:r>
          </w:p>
        </w:tc>
        <w:tc>
          <w:p w14:paraId="02F0A08E">
            <w:pPr>
              <w:pStyle w:val="26"/>
              <w:spacing w:before="20" w:after="20" w:line="276" w:lineRule="auto"/>
            </w:pPr>
            <w:r>
              <w:rPr>
                <w:rFonts w:hint="eastAsia" w:ascii="Times New Roman" w:hAnsi="Times New Roman" w:eastAsia="宋体"/>
                <w:sz w:val="20"/>
              </w:rPr>
              <w:t>评分≥4.0</w:t>
            </w:r>
          </w:p>
        </w:tc>
      </w:tr>
      <w:tr w14:paraId="200BCB1F">
        <w:tblPrEx>
          <w:tblCellMar>
            <w:top w:w="0" w:type="dxa"/>
            <w:left w:w="108" w:type="dxa"/>
            <w:bottom w:w="0" w:type="dxa"/>
            <w:right w:w="108" w:type="dxa"/>
          </w:tblCellMar>
        </w:tblPrEx>
        <w:trPr>
          <w:cantSplit/>
        </w:trPr>
        <w:tc>
          <w:p w14:paraId="580E6040">
            <w:pPr>
              <w:pStyle w:val="26"/>
              <w:spacing w:before="20" w:after="20" w:line="276" w:lineRule="auto"/>
            </w:pPr>
            <w:r>
              <w:rPr>
                <w:rFonts w:ascii="Times New Roman" w:hAnsi="Times New Roman" w:eastAsia="宋体"/>
                <w:sz w:val="20"/>
              </w:rPr>
              <w:t>Oracle</w:t>
            </w:r>
          </w:p>
        </w:tc>
        <w:tc>
          <w:p w14:paraId="3E8FD5EE">
            <w:pPr>
              <w:pStyle w:val="26"/>
              <w:spacing w:before="20" w:after="20" w:line="276" w:lineRule="auto"/>
            </w:pPr>
            <w:r>
              <w:rPr>
                <w:rFonts w:hint="eastAsia" w:ascii="Times New Roman" w:hAnsi="Times New Roman" w:eastAsia="宋体"/>
                <w:sz w:val="20"/>
              </w:rPr>
              <w:t>4.45（FY2025）</w:t>
            </w:r>
          </w:p>
        </w:tc>
        <w:tc>
          <w:p w14:paraId="6ED2B7D5">
            <w:pPr>
              <w:pStyle w:val="26"/>
              <w:spacing w:before="20" w:after="20" w:line="276" w:lineRule="auto"/>
            </w:pPr>
            <w:r>
              <w:rPr>
                <w:rFonts w:hint="eastAsia" w:ascii="Times New Roman" w:hAnsi="Times New Roman" w:eastAsia="宋体"/>
                <w:sz w:val="20"/>
              </w:rPr>
              <w:t>评分≥4.0+连续延长者</w:t>
            </w:r>
          </w:p>
        </w:tc>
      </w:tr>
      <w:tr w14:paraId="2BF7FA5E">
        <w:tblPrEx>
          <w:tblCellMar>
            <w:top w:w="0" w:type="dxa"/>
            <w:left w:w="108" w:type="dxa"/>
            <w:bottom w:w="0" w:type="dxa"/>
            <w:right w:w="108" w:type="dxa"/>
          </w:tblCellMar>
        </w:tblPrEx>
        <w:trPr>
          <w:cantSplit/>
        </w:trPr>
        <w:tc>
          <w:p w14:paraId="496C5139">
            <w:pPr>
              <w:pStyle w:val="26"/>
              <w:spacing w:before="20" w:after="20" w:line="276" w:lineRule="auto"/>
            </w:pPr>
            <w:r>
              <w:rPr>
                <w:rFonts w:hint="eastAsia" w:ascii="Times New Roman" w:hAnsi="Times New Roman" w:eastAsia="宋体"/>
                <w:sz w:val="20"/>
              </w:rPr>
              <w:t>奥飞数据</w:t>
            </w:r>
          </w:p>
        </w:tc>
        <w:tc>
          <w:p w14:paraId="7C44DBD4">
            <w:pPr>
              <w:pStyle w:val="26"/>
              <w:spacing w:before="20" w:after="20" w:line="276" w:lineRule="auto"/>
            </w:pPr>
            <w:r>
              <w:rPr>
                <w:rFonts w:ascii="Times New Roman" w:hAnsi="Times New Roman" w:eastAsia="宋体"/>
                <w:sz w:val="20"/>
              </w:rPr>
              <w:t>4.45</w:t>
            </w:r>
          </w:p>
        </w:tc>
        <w:tc>
          <w:p w14:paraId="4A5F9456">
            <w:pPr>
              <w:pStyle w:val="26"/>
              <w:spacing w:before="20" w:after="20" w:line="276" w:lineRule="auto"/>
            </w:pPr>
            <w:r>
              <w:rPr>
                <w:rFonts w:hint="eastAsia" w:ascii="Times New Roman" w:hAnsi="Times New Roman" w:eastAsia="宋体"/>
                <w:sz w:val="20"/>
              </w:rPr>
              <w:t>中国验证集最高分</w:t>
            </w:r>
          </w:p>
        </w:tc>
      </w:tr>
    </w:tbl>
    <w:p w14:paraId="7F113DB0">
      <w:pPr>
        <w:pStyle w:val="3"/>
        <w:spacing w:before="40" w:after="40" w:line="360" w:lineRule="auto"/>
        <w:ind w:firstLine="480"/>
      </w:pPr>
      <w:r>
        <w:rPr>
          <w:rFonts w:hint="eastAsia" w:ascii="Times New Roman" w:hAnsi="Times New Roman" w:eastAsia="宋体"/>
          <w:b/>
          <w:bCs/>
          <w:sz w:val="24"/>
        </w:rPr>
        <w:t>（3）触发条件设计</w:t>
      </w:r>
    </w:p>
    <w:p w14:paraId="6EA0CD56">
      <w:pPr>
        <w:pStyle w:val="3"/>
        <w:spacing w:before="40" w:after="40" w:line="360" w:lineRule="auto"/>
        <w:ind w:firstLine="480"/>
      </w:pPr>
      <w:r>
        <w:rPr>
          <w:rFonts w:hint="eastAsia" w:ascii="Times New Roman" w:hAnsi="Times New Roman" w:eastAsia="宋体"/>
          <w:sz w:val="24"/>
        </w:rPr>
        <w:t>DMVI采用“三层触发”机制，兼顾敏感性与特异性：</w:t>
      </w:r>
    </w:p>
    <w:p w14:paraId="2444025B">
      <w:pPr>
        <w:pStyle w:val="3"/>
        <w:spacing w:before="40" w:after="40" w:line="360" w:lineRule="auto"/>
        <w:ind w:firstLine="480"/>
      </w:pPr>
      <w:r>
        <w:rPr>
          <w:rFonts w:hint="eastAsia" w:ascii="Times New Roman" w:hAnsi="Times New Roman" w:eastAsia="宋体"/>
          <w:b/>
          <w:bCs/>
          <w:sz w:val="24"/>
        </w:rPr>
        <w:t>第一层：会计事件触发（硬触发）</w:t>
      </w:r>
    </w:p>
    <w:p w14:paraId="79895A21">
      <w:pPr>
        <w:pStyle w:val="26"/>
        <w:spacing w:before="40" w:after="40" w:line="360" w:lineRule="auto"/>
        <w:ind w:left="420"/>
      </w:pPr>
      <w:r>
        <w:rPr>
          <w:rFonts w:hint="eastAsia" w:ascii="Times New Roman" w:hAnsi="Times New Roman" w:eastAsia="宋体"/>
          <w:sz w:val="24"/>
        </w:rPr>
        <w:t>条件：持仓公司披露折旧年限延长且5D-DRS评分跳升≥0.5分</w:t>
      </w:r>
    </w:p>
    <w:p w14:paraId="6736AD53">
      <w:pPr>
        <w:pStyle w:val="26"/>
        <w:spacing w:before="40" w:after="40" w:line="360" w:lineRule="auto"/>
        <w:ind w:left="420"/>
      </w:pPr>
      <w:r>
        <w:rPr>
          <w:rFonts w:hint="eastAsia" w:ascii="Times New Roman" w:hAnsi="Times New Roman" w:eastAsia="宋体"/>
          <w:sz w:val="24"/>
        </w:rPr>
        <w:t>示例：Meta从4.00跳升至4.60（2024年披露5.5年变更）</w:t>
      </w:r>
    </w:p>
    <w:p w14:paraId="374AD251">
      <w:pPr>
        <w:pStyle w:val="26"/>
        <w:spacing w:before="40" w:after="40" w:line="360" w:lineRule="auto"/>
        <w:ind w:left="420"/>
      </w:pPr>
      <w:r>
        <w:rPr>
          <w:rFonts w:hint="eastAsia" w:ascii="Times New Roman" w:hAnsi="Times New Roman" w:eastAsia="宋体"/>
          <w:sz w:val="24"/>
        </w:rPr>
        <w:t>优势：基于法定披露，无可争议</w:t>
      </w:r>
    </w:p>
    <w:p w14:paraId="117FDAAA">
      <w:pPr>
        <w:pStyle w:val="25"/>
        <w:spacing w:before="40" w:after="40" w:line="360" w:lineRule="auto"/>
        <w:ind w:firstLine="480"/>
      </w:pPr>
      <w:r>
        <w:rPr>
          <w:rFonts w:hint="eastAsia" w:ascii="Times New Roman" w:hAnsi="Times New Roman" w:eastAsia="宋体"/>
          <w:b/>
          <w:bCs/>
          <w:sz w:val="24"/>
        </w:rPr>
        <w:t>第二层：市场反应触发（软触发）</w:t>
      </w:r>
    </w:p>
    <w:p w14:paraId="6E33D6F0">
      <w:pPr>
        <w:pStyle w:val="26"/>
        <w:spacing w:before="40" w:after="40" w:line="360" w:lineRule="auto"/>
        <w:ind w:left="420"/>
      </w:pPr>
      <w:r>
        <w:rPr>
          <w:rFonts w:hint="eastAsia" w:ascii="Times New Roman" w:hAnsi="Times New Roman" w:eastAsia="宋体"/>
          <w:sz w:val="24"/>
        </w:rPr>
        <w:t>条件：持仓公司计提大额资产减值且次日股价跌幅≥10%</w:t>
      </w:r>
    </w:p>
    <w:p w14:paraId="5025F1AE">
      <w:pPr>
        <w:pStyle w:val="26"/>
        <w:spacing w:before="40" w:after="40" w:line="360" w:lineRule="auto"/>
        <w:ind w:left="420"/>
      </w:pPr>
      <w:r>
        <w:rPr>
          <w:rFonts w:hint="eastAsia" w:ascii="Times New Roman" w:hAnsi="Times New Roman" w:eastAsia="宋体"/>
          <w:sz w:val="24"/>
        </w:rPr>
        <w:t>示例：Micron</w:t>
      </w:r>
      <w:r>
        <w:rPr>
          <w:rFonts w:ascii="Times New Roman" w:hAnsi="Times New Roman" w:eastAsia="宋体"/>
          <w:sz w:val="24"/>
        </w:rPr>
        <w:t xml:space="preserve"> </w:t>
      </w:r>
      <w:r>
        <w:rPr>
          <w:rFonts w:hint="eastAsia" w:ascii="Times New Roman" w:hAnsi="Times New Roman" w:eastAsia="宋体"/>
          <w:sz w:val="24"/>
        </w:rPr>
        <w:t>FY2023计提$1.83B存货减记，股价单周下跌12%</w:t>
      </w:r>
    </w:p>
    <w:p w14:paraId="00879045">
      <w:pPr>
        <w:pStyle w:val="26"/>
        <w:spacing w:before="40" w:after="40" w:line="360" w:lineRule="auto"/>
        <w:ind w:left="420"/>
      </w:pPr>
      <w:r>
        <w:rPr>
          <w:rFonts w:hint="eastAsia" w:ascii="Times New Roman" w:hAnsi="Times New Roman" w:eastAsia="宋体"/>
          <w:sz w:val="24"/>
        </w:rPr>
        <w:t>优势：风险已兑现，赔付依据明确</w:t>
      </w:r>
    </w:p>
    <w:p w14:paraId="118CCC94">
      <w:pPr>
        <w:pStyle w:val="25"/>
        <w:spacing w:before="40" w:after="40" w:line="360" w:lineRule="auto"/>
        <w:ind w:firstLine="480"/>
      </w:pPr>
      <w:r>
        <w:rPr>
          <w:rFonts w:hint="eastAsia" w:ascii="Times New Roman" w:hAnsi="Times New Roman" w:eastAsia="宋体"/>
          <w:b/>
          <w:bCs/>
          <w:sz w:val="24"/>
        </w:rPr>
        <w:t>第三层：行业共振触发（宏观触发）</w:t>
      </w:r>
    </w:p>
    <w:p w14:paraId="191CCBF3">
      <w:pPr>
        <w:pStyle w:val="26"/>
        <w:spacing w:before="40" w:after="40" w:line="360" w:lineRule="auto"/>
        <w:ind w:left="420"/>
      </w:pPr>
      <w:r>
        <w:rPr>
          <w:rFonts w:hint="eastAsia" w:ascii="Times New Roman" w:hAnsi="Times New Roman" w:eastAsia="宋体"/>
          <w:sz w:val="24"/>
        </w:rPr>
        <w:t>条件：同行业≥3家公司同步延长折旧年限（估计变更共振）</w:t>
      </w:r>
    </w:p>
    <w:p w14:paraId="07067E2C">
      <w:pPr>
        <w:pStyle w:val="26"/>
        <w:spacing w:before="40" w:after="40" w:line="360" w:lineRule="auto"/>
        <w:ind w:left="420"/>
      </w:pPr>
      <w:r>
        <w:rPr>
          <w:rFonts w:hint="eastAsia" w:ascii="Times New Roman" w:hAnsi="Times New Roman" w:eastAsia="宋体"/>
          <w:sz w:val="24"/>
        </w:rPr>
        <w:t>示例：2022H2-2023H1，6家hyperscaler同步延长</w:t>
      </w:r>
    </w:p>
    <w:p w14:paraId="3AAAD13E">
      <w:pPr>
        <w:pStyle w:val="26"/>
        <w:spacing w:before="40" w:after="40" w:line="360" w:lineRule="auto"/>
        <w:ind w:left="420"/>
      </w:pPr>
      <w:r>
        <w:rPr>
          <w:rFonts w:hint="eastAsia" w:ascii="Times New Roman" w:hAnsi="Times New Roman" w:eastAsia="宋体"/>
          <w:sz w:val="24"/>
        </w:rPr>
        <w:t>优势：捕捉系统性风险，适合行业指数保险</w:t>
      </w:r>
    </w:p>
    <w:p w14:paraId="490ADA3B">
      <w:pPr>
        <w:pStyle w:val="25"/>
        <w:spacing w:before="40" w:after="40" w:line="360" w:lineRule="auto"/>
        <w:ind w:firstLine="480"/>
      </w:pPr>
      <w:r>
        <w:rPr>
          <w:rFonts w:hint="eastAsia" w:ascii="Times New Roman" w:hAnsi="Times New Roman" w:eastAsia="宋体"/>
          <w:b/>
          <w:bCs/>
          <w:sz w:val="24"/>
        </w:rPr>
        <w:t>触发优先级</w:t>
      </w:r>
      <w:r>
        <w:rPr>
          <w:rFonts w:hint="eastAsia" w:ascii="Times New Roman" w:hAnsi="Times New Roman" w:eastAsia="宋体"/>
          <w:sz w:val="24"/>
        </w:rPr>
        <w:t>：第一层&gt;第二层&gt;第三层。第一层触发时立即启动理赔流程；第二层在第一层未触发但风险已兑现时补充；第三层作为行业对冲工具的触发条件。</w:t>
      </w:r>
    </w:p>
    <w:p w14:paraId="598F92D2">
      <w:pPr>
        <w:pStyle w:val="3"/>
        <w:spacing w:before="40" w:after="40" w:line="360" w:lineRule="auto"/>
        <w:ind w:firstLine="480"/>
      </w:pPr>
      <w:r>
        <w:rPr>
          <w:rFonts w:hint="eastAsia" w:ascii="Times New Roman" w:hAnsi="Times New Roman" w:eastAsia="宋体"/>
          <w:b/>
          <w:bCs/>
          <w:sz w:val="24"/>
        </w:rPr>
        <w:t>（4）保额与保费设计</w:t>
      </w:r>
    </w:p>
    <w:p w14:paraId="2968A473">
      <w:pPr>
        <w:pStyle w:val="3"/>
        <w:spacing w:before="40" w:after="40" w:line="360" w:lineRule="auto"/>
        <w:ind w:firstLine="480"/>
      </w:pPr>
      <w:r>
        <w:rPr>
          <w:rFonts w:hint="eastAsia" w:ascii="Times New Roman" w:hAnsi="Times New Roman" w:eastAsia="宋体"/>
          <w:b/>
          <w:bCs/>
          <w:sz w:val="24"/>
        </w:rPr>
        <w:t>保额设计</w:t>
      </w:r>
      <w:r>
        <w:rPr>
          <w:rFonts w:hint="eastAsia" w:ascii="Times New Roman" w:hAnsi="Times New Roman" w:eastAsia="宋体"/>
          <w:sz w:val="24"/>
        </w:rPr>
        <w:t>：</w:t>
      </w:r>
    </w:p>
    <w:p w14:paraId="1AE6DA64">
      <w:pPr>
        <w:pStyle w:val="3"/>
        <w:spacing w:before="40" w:after="40" w:line="360" w:lineRule="auto"/>
        <w:ind w:firstLine="480"/>
      </w:pPr>
      <w:r>
        <w:rPr>
          <w:rFonts w:hint="eastAsia" w:ascii="Times New Roman" w:hAnsi="Times New Roman" w:eastAsia="宋体"/>
          <w:sz w:val="24"/>
        </w:rPr>
        <w:t>保额</w:t>
      </w:r>
      <w:r>
        <w:rPr>
          <w:rFonts w:ascii="Times New Roman" w:hAnsi="Times New Roman" w:eastAsia="宋体"/>
          <w:sz w:val="24"/>
        </w:rPr>
        <w:t xml:space="preserve"> = </w:t>
      </w:r>
      <w:r>
        <w:rPr>
          <w:rFonts w:hint="eastAsia" w:ascii="Times New Roman" w:hAnsi="Times New Roman" w:eastAsia="宋体"/>
          <w:sz w:val="24"/>
        </w:rPr>
        <w:t>持仓市值</w:t>
      </w:r>
      <w:r>
        <w:rPr>
          <w:rFonts w:ascii="Times New Roman" w:hAnsi="Times New Roman" w:eastAsia="宋体"/>
          <w:sz w:val="24"/>
        </w:rPr>
        <w:t xml:space="preserve"> × </w:t>
      </w:r>
      <w:r>
        <w:rPr>
          <w:rFonts w:hint="eastAsia" w:ascii="Times New Roman" w:hAnsi="Times New Roman" w:eastAsia="宋体"/>
          <w:sz w:val="24"/>
        </w:rPr>
        <w:t>折旧风险系数</w:t>
      </w:r>
      <w:r>
        <w:rPr>
          <w:rFonts w:ascii="Times New Roman" w:hAnsi="Times New Roman" w:eastAsia="宋体"/>
          <w:sz w:val="24"/>
        </w:rPr>
        <w:t xml:space="preserve"> × </w:t>
      </w:r>
      <w:r>
        <w:rPr>
          <w:rFonts w:hint="eastAsia" w:ascii="Times New Roman" w:hAnsi="Times New Roman" w:eastAsia="宋体"/>
          <w:sz w:val="24"/>
        </w:rPr>
        <w:t>保障比例。其中：折旧风险系数</w:t>
      </w:r>
      <w:r>
        <w:rPr>
          <w:rFonts w:ascii="Times New Roman" w:hAnsi="Times New Roman" w:eastAsia="宋体"/>
          <w:sz w:val="24"/>
        </w:rPr>
        <w:t xml:space="preserve"> = 5D-DRS </w:t>
      </w:r>
      <w:r>
        <w:rPr>
          <w:rFonts w:hint="eastAsia" w:ascii="Times New Roman" w:hAnsi="Times New Roman" w:eastAsia="宋体"/>
          <w:sz w:val="24"/>
        </w:rPr>
        <w:t>评分</w:t>
      </w:r>
      <w:r>
        <w:rPr>
          <w:rFonts w:ascii="Times New Roman" w:hAnsi="Times New Roman" w:eastAsia="宋体"/>
          <w:sz w:val="24"/>
        </w:rPr>
        <w:t xml:space="preserve"> ÷ </w:t>
      </w:r>
      <w:r>
        <w:rPr>
          <w:rFonts w:hint="eastAsia" w:ascii="Times New Roman" w:hAnsi="Times New Roman" w:eastAsia="宋体"/>
          <w:sz w:val="24"/>
        </w:rPr>
        <w:t>5.0（评分</w:t>
      </w:r>
      <w:r>
        <w:rPr>
          <w:rFonts w:ascii="Times New Roman" w:hAnsi="Times New Roman" w:eastAsia="宋体"/>
          <w:sz w:val="24"/>
        </w:rPr>
        <w:t xml:space="preserve"> 4.0 </w:t>
      </w:r>
      <w:r>
        <w:rPr>
          <w:rFonts w:hint="eastAsia" w:ascii="Times New Roman" w:hAnsi="Times New Roman" w:eastAsia="宋体"/>
          <w:sz w:val="24"/>
        </w:rPr>
        <w:t>对应系数</w:t>
      </w:r>
      <w:r>
        <w:rPr>
          <w:rFonts w:ascii="Times New Roman" w:hAnsi="Times New Roman" w:eastAsia="宋体"/>
          <w:sz w:val="24"/>
        </w:rPr>
        <w:t xml:space="preserve"> </w:t>
      </w:r>
      <w:r>
        <w:rPr>
          <w:rFonts w:hint="eastAsia" w:ascii="Times New Roman" w:hAnsi="Times New Roman" w:eastAsia="宋体"/>
          <w:sz w:val="24"/>
        </w:rPr>
        <w:t>0.8，4.5</w:t>
      </w:r>
      <w:r>
        <w:rPr>
          <w:rFonts w:ascii="Times New Roman" w:hAnsi="Times New Roman" w:eastAsia="宋体"/>
          <w:sz w:val="24"/>
        </w:rPr>
        <w:t xml:space="preserve"> </w:t>
      </w:r>
      <w:r>
        <w:rPr>
          <w:rFonts w:hint="eastAsia" w:ascii="Times New Roman" w:hAnsi="Times New Roman" w:eastAsia="宋体"/>
          <w:sz w:val="24"/>
        </w:rPr>
        <w:t>对应</w:t>
      </w:r>
      <w:r>
        <w:rPr>
          <w:rFonts w:ascii="Times New Roman" w:hAnsi="Times New Roman" w:eastAsia="宋体"/>
          <w:sz w:val="24"/>
        </w:rPr>
        <w:t xml:space="preserve"> </w:t>
      </w:r>
      <w:r>
        <w:rPr>
          <w:rFonts w:hint="eastAsia" w:ascii="Times New Roman" w:hAnsi="Times New Roman" w:eastAsia="宋体"/>
          <w:sz w:val="24"/>
        </w:rPr>
        <w:t>0.9，5.0</w:t>
      </w:r>
      <w:r>
        <w:rPr>
          <w:rFonts w:ascii="Times New Roman" w:hAnsi="Times New Roman" w:eastAsia="宋体"/>
          <w:sz w:val="24"/>
        </w:rPr>
        <w:t xml:space="preserve"> </w:t>
      </w:r>
      <w:r>
        <w:rPr>
          <w:rFonts w:hint="eastAsia" w:ascii="Times New Roman" w:hAnsi="Times New Roman" w:eastAsia="宋体"/>
          <w:sz w:val="24"/>
        </w:rPr>
        <w:t>对应</w:t>
      </w:r>
      <w:r>
        <w:rPr>
          <w:rFonts w:ascii="Times New Roman" w:hAnsi="Times New Roman" w:eastAsia="宋体"/>
          <w:sz w:val="24"/>
        </w:rPr>
        <w:t xml:space="preserve"> </w:t>
      </w:r>
      <w:r>
        <w:rPr>
          <w:rFonts w:hint="eastAsia" w:ascii="Times New Roman" w:hAnsi="Times New Roman" w:eastAsia="宋体"/>
          <w:sz w:val="24"/>
        </w:rPr>
        <w:t>1.0）；保障比例由投保人选择，可选</w:t>
      </w:r>
      <w:r>
        <w:rPr>
          <w:rFonts w:ascii="Times New Roman" w:hAnsi="Times New Roman" w:eastAsia="宋体"/>
          <w:sz w:val="24"/>
        </w:rPr>
        <w:t xml:space="preserve"> 10%/15%/20%。</w:t>
      </w:r>
    </w:p>
    <w:p w14:paraId="3BAD92C9">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Meta </w:t>
      </w:r>
      <w:r>
        <w:rPr>
          <w:rFonts w:hint="eastAsia" w:ascii="Times New Roman" w:hAnsi="Times New Roman" w:eastAsia="宋体"/>
          <w:sz w:val="24"/>
        </w:rPr>
        <w:t>为例：某基金持仓</w:t>
      </w:r>
      <w:r>
        <w:rPr>
          <w:rFonts w:ascii="Times New Roman" w:hAnsi="Times New Roman" w:eastAsia="宋体"/>
          <w:sz w:val="24"/>
        </w:rPr>
        <w:t xml:space="preserve"> Meta </w:t>
      </w:r>
      <w:r>
        <w:rPr>
          <w:rFonts w:hint="eastAsia" w:ascii="Times New Roman" w:hAnsi="Times New Roman" w:eastAsia="宋体"/>
          <w:sz w:val="24"/>
        </w:rPr>
        <w:t>市值</w:t>
      </w:r>
      <w:r>
        <w:rPr>
          <w:rFonts w:ascii="Times New Roman" w:hAnsi="Times New Roman" w:eastAsia="宋体"/>
          <w:sz w:val="24"/>
        </w:rPr>
        <w:t xml:space="preserve"> 1 </w:t>
      </w:r>
      <w:r>
        <w:rPr>
          <w:rFonts w:hint="eastAsia" w:ascii="Times New Roman" w:hAnsi="Times New Roman" w:eastAsia="宋体"/>
          <w:sz w:val="24"/>
        </w:rPr>
        <w:t>亿元，Meta</w:t>
      </w:r>
      <w:r>
        <w:rPr>
          <w:rFonts w:ascii="Times New Roman" w:hAnsi="Times New Roman" w:eastAsia="宋体"/>
          <w:sz w:val="24"/>
        </w:rPr>
        <w:t xml:space="preserve"> </w:t>
      </w:r>
      <w:r>
        <w:rPr>
          <w:rFonts w:hint="eastAsia" w:ascii="Times New Roman" w:hAnsi="Times New Roman" w:eastAsia="宋体"/>
          <w:sz w:val="24"/>
        </w:rPr>
        <w:t>评分</w:t>
      </w:r>
      <w:r>
        <w:rPr>
          <w:rFonts w:ascii="Times New Roman" w:hAnsi="Times New Roman" w:eastAsia="宋体"/>
          <w:sz w:val="24"/>
        </w:rPr>
        <w:t xml:space="preserve"> </w:t>
      </w:r>
      <w:r>
        <w:rPr>
          <w:rFonts w:hint="eastAsia" w:ascii="Times New Roman" w:hAnsi="Times New Roman" w:eastAsia="宋体"/>
          <w:sz w:val="24"/>
        </w:rPr>
        <w:t>4.60，折旧风险系数</w:t>
      </w:r>
      <w:r>
        <w:rPr>
          <w:rFonts w:ascii="Times New Roman" w:hAnsi="Times New Roman" w:eastAsia="宋体"/>
          <w:sz w:val="24"/>
        </w:rPr>
        <w:t xml:space="preserve"> = 4.60 ÷ 5.0 = </w:t>
      </w:r>
      <w:r>
        <w:rPr>
          <w:rFonts w:hint="eastAsia" w:ascii="Times New Roman" w:hAnsi="Times New Roman" w:eastAsia="宋体"/>
          <w:sz w:val="24"/>
        </w:rPr>
        <w:t>0.92，选择保障比例</w:t>
      </w:r>
      <w:r>
        <w:rPr>
          <w:rFonts w:ascii="Times New Roman" w:hAnsi="Times New Roman" w:eastAsia="宋体"/>
          <w:sz w:val="24"/>
        </w:rPr>
        <w:t xml:space="preserve"> </w:t>
      </w:r>
      <w:r>
        <w:rPr>
          <w:rFonts w:hint="eastAsia" w:ascii="Times New Roman" w:hAnsi="Times New Roman" w:eastAsia="宋体"/>
          <w:sz w:val="24"/>
        </w:rPr>
        <w:t>15%，则保额</w:t>
      </w:r>
      <w:r>
        <w:rPr>
          <w:rFonts w:ascii="Times New Roman" w:hAnsi="Times New Roman" w:eastAsia="宋体"/>
          <w:sz w:val="24"/>
        </w:rPr>
        <w:t xml:space="preserve"> = 1 </w:t>
      </w:r>
      <w:r>
        <w:rPr>
          <w:rFonts w:hint="eastAsia" w:ascii="Times New Roman" w:hAnsi="Times New Roman" w:eastAsia="宋体"/>
          <w:sz w:val="24"/>
        </w:rPr>
        <w:t>亿</w:t>
      </w:r>
      <w:r>
        <w:rPr>
          <w:rFonts w:ascii="Times New Roman" w:hAnsi="Times New Roman" w:eastAsia="宋体"/>
          <w:sz w:val="24"/>
        </w:rPr>
        <w:t xml:space="preserve"> × 0.92 × 0.15 = </w:t>
      </w:r>
      <w:r>
        <w:rPr>
          <w:rFonts w:ascii="Times New Roman" w:hAnsi="Times New Roman" w:eastAsia="宋体"/>
          <w:b/>
          <w:bCs/>
          <w:sz w:val="24"/>
        </w:rPr>
        <w:t xml:space="preserve">1,380 </w:t>
      </w:r>
      <w:r>
        <w:rPr>
          <w:rFonts w:hint="eastAsia" w:ascii="Times New Roman" w:hAnsi="Times New Roman" w:eastAsia="宋体"/>
          <w:b/>
          <w:bCs/>
          <w:sz w:val="24"/>
        </w:rPr>
        <w:t>万元</w:t>
      </w:r>
      <w:r>
        <w:rPr>
          <w:rFonts w:ascii="Times New Roman" w:hAnsi="Times New Roman" w:eastAsia="宋体"/>
          <w:sz w:val="24"/>
        </w:rPr>
        <w:t>。</w:t>
      </w:r>
    </w:p>
    <w:p w14:paraId="052DD931">
      <w:pPr>
        <w:pStyle w:val="3"/>
        <w:spacing w:before="40" w:after="40" w:line="360" w:lineRule="auto"/>
        <w:ind w:firstLine="480"/>
      </w:pPr>
      <w:r>
        <w:rPr>
          <w:rFonts w:hint="eastAsia" w:ascii="Times New Roman" w:hAnsi="Times New Roman" w:eastAsia="宋体"/>
          <w:b/>
          <w:bCs/>
          <w:sz w:val="24"/>
        </w:rPr>
        <w:t>保费测算（示意性）</w:t>
      </w:r>
      <w:r>
        <w:rPr>
          <w:rFonts w:hint="eastAsia" w:ascii="Times New Roman" w:hAnsi="Times New Roman" w:eastAsia="宋体"/>
          <w:sz w:val="24"/>
        </w:rPr>
        <w:t>：</w:t>
      </w:r>
    </w:p>
    <w:p w14:paraId="1B9522AC">
      <w:pPr>
        <w:pStyle w:val="3"/>
        <w:spacing w:before="40" w:after="40" w:line="360" w:lineRule="auto"/>
        <w:ind w:firstLine="480"/>
      </w:pPr>
      <w:r>
        <w:rPr>
          <w:rFonts w:hint="eastAsia" w:ascii="Times New Roman" w:hAnsi="Times New Roman" w:eastAsia="宋体"/>
          <w:sz w:val="24"/>
        </w:rPr>
        <w:t>年保费</w:t>
      </w:r>
      <w:r>
        <w:rPr>
          <w:rFonts w:ascii="Times New Roman" w:hAnsi="Times New Roman" w:eastAsia="宋体"/>
          <w:sz w:val="24"/>
        </w:rPr>
        <w:t xml:space="preserve"> = </w:t>
      </w:r>
      <w:r>
        <w:rPr>
          <w:rFonts w:hint="eastAsia" w:ascii="Times New Roman" w:hAnsi="Times New Roman" w:eastAsia="宋体"/>
          <w:sz w:val="24"/>
        </w:rPr>
        <w:t>保额</w:t>
      </w:r>
      <w:r>
        <w:rPr>
          <w:rFonts w:ascii="Times New Roman" w:hAnsi="Times New Roman" w:eastAsia="宋体"/>
          <w:sz w:val="24"/>
        </w:rPr>
        <w:t xml:space="preserve"> × </w:t>
      </w:r>
      <w:r>
        <w:rPr>
          <w:rFonts w:hint="eastAsia" w:ascii="Times New Roman" w:hAnsi="Times New Roman" w:eastAsia="宋体"/>
          <w:sz w:val="24"/>
        </w:rPr>
        <w:t>基础费率</w:t>
      </w:r>
      <w:r>
        <w:rPr>
          <w:rFonts w:ascii="Times New Roman" w:hAnsi="Times New Roman" w:eastAsia="宋体"/>
          <w:sz w:val="24"/>
        </w:rPr>
        <w:t xml:space="preserve"> × </w:t>
      </w:r>
      <w:r>
        <w:rPr>
          <w:rFonts w:hint="eastAsia" w:ascii="Times New Roman" w:hAnsi="Times New Roman" w:eastAsia="宋体"/>
          <w:sz w:val="24"/>
        </w:rPr>
        <w:t>评分调整因子</w:t>
      </w:r>
      <w:r>
        <w:rPr>
          <w:rFonts w:ascii="Times New Roman" w:hAnsi="Times New Roman" w:eastAsia="宋体"/>
          <w:sz w:val="24"/>
        </w:rPr>
        <w:t xml:space="preserve"> × </w:t>
      </w:r>
      <w:r>
        <w:rPr>
          <w:rFonts w:hint="eastAsia" w:ascii="Times New Roman" w:hAnsi="Times New Roman" w:eastAsia="宋体"/>
          <w:sz w:val="24"/>
        </w:rPr>
        <w:t>期限因子。参数设定（概念设计阶段）：</w:t>
      </w:r>
    </w:p>
    <w:tbl>
      <w:tblPr>
        <w:tblStyle w:val="43"/>
        <w:tblW w:w="5000" w:type="pct"/>
        <w:tblInd w:w="0" w:type="dxa"/>
        <w:tblLayout w:type="fixed"/>
        <w:tblCellMar>
          <w:top w:w="0" w:type="dxa"/>
          <w:left w:w="108" w:type="dxa"/>
          <w:bottom w:w="0" w:type="dxa"/>
          <w:right w:w="108" w:type="dxa"/>
        </w:tblCellMar>
      </w:tblPr>
      <w:tblGrid>
        <w:gridCol w:w="2533"/>
        <w:gridCol w:w="2533"/>
        <w:gridCol w:w="4222"/>
      </w:tblGrid>
      <w:tr w14:paraId="6C91E18E">
        <w:tblPrEx>
          <w:tblCellMar>
            <w:top w:w="0" w:type="dxa"/>
            <w:left w:w="108" w:type="dxa"/>
            <w:bottom w:w="0" w:type="dxa"/>
            <w:right w:w="108" w:type="dxa"/>
          </w:tblCellMar>
        </w:tblPrEx>
        <w:trPr>
          <w:cantSplit/>
          <w:tblHeader/>
        </w:trPr>
        <w:tc>
          <w:p w14:paraId="7EE28680">
            <w:pPr>
              <w:pStyle w:val="26"/>
              <w:spacing w:before="20" w:after="20" w:line="276" w:lineRule="auto"/>
            </w:pPr>
            <w:r>
              <w:rPr>
                <w:rFonts w:hint="eastAsia" w:ascii="Times New Roman" w:hAnsi="Times New Roman" w:eastAsia="宋体"/>
                <w:sz w:val="20"/>
              </w:rPr>
              <w:t>参数</w:t>
            </w:r>
          </w:p>
        </w:tc>
        <w:tc>
          <w:p w14:paraId="7F6E2B46">
            <w:pPr>
              <w:pStyle w:val="26"/>
              <w:spacing w:before="20" w:after="20" w:line="276" w:lineRule="auto"/>
            </w:pPr>
            <w:r>
              <w:rPr>
                <w:rFonts w:hint="eastAsia" w:ascii="Times New Roman" w:hAnsi="Times New Roman" w:eastAsia="宋体"/>
                <w:sz w:val="20"/>
              </w:rPr>
              <w:t>取值</w:t>
            </w:r>
          </w:p>
        </w:tc>
        <w:tc>
          <w:p w14:paraId="51F2D0DB">
            <w:pPr>
              <w:pStyle w:val="26"/>
              <w:spacing w:before="20" w:after="20" w:line="276" w:lineRule="auto"/>
            </w:pPr>
            <w:r>
              <w:rPr>
                <w:rFonts w:hint="eastAsia" w:ascii="Times New Roman" w:hAnsi="Times New Roman" w:eastAsia="宋体"/>
                <w:sz w:val="20"/>
              </w:rPr>
              <w:t>设定依据</w:t>
            </w:r>
          </w:p>
        </w:tc>
      </w:tr>
      <w:tr w14:paraId="772B5FD8">
        <w:tblPrEx>
          <w:tblCellMar>
            <w:top w:w="0" w:type="dxa"/>
            <w:left w:w="108" w:type="dxa"/>
            <w:bottom w:w="0" w:type="dxa"/>
            <w:right w:w="108" w:type="dxa"/>
          </w:tblCellMar>
        </w:tblPrEx>
        <w:trPr>
          <w:cantSplit/>
        </w:trPr>
        <w:tc>
          <w:p w14:paraId="4EF5EC93">
            <w:pPr>
              <w:pStyle w:val="26"/>
              <w:spacing w:before="20" w:after="20" w:line="276" w:lineRule="auto"/>
            </w:pPr>
            <w:r>
              <w:rPr>
                <w:rFonts w:hint="eastAsia" w:ascii="Times New Roman" w:hAnsi="Times New Roman" w:eastAsia="宋体"/>
                <w:sz w:val="20"/>
              </w:rPr>
              <w:t>基础费率</w:t>
            </w:r>
          </w:p>
        </w:tc>
        <w:tc>
          <w:p w14:paraId="42C4FA01">
            <w:pPr>
              <w:pStyle w:val="26"/>
              <w:spacing w:before="20" w:after="20" w:line="276" w:lineRule="auto"/>
            </w:pPr>
            <w:r>
              <w:rPr>
                <w:rFonts w:ascii="Times New Roman" w:hAnsi="Times New Roman" w:eastAsia="宋体"/>
                <w:sz w:val="20"/>
              </w:rPr>
              <w:t>3.0%</w:t>
            </w:r>
          </w:p>
        </w:tc>
        <w:tc>
          <w:p w14:paraId="4E3394F8">
            <w:pPr>
              <w:pStyle w:val="26"/>
              <w:spacing w:before="20" w:after="20" w:line="276" w:lineRule="auto"/>
            </w:pPr>
            <w:r>
              <w:rPr>
                <w:rFonts w:hint="eastAsia" w:ascii="Times New Roman" w:hAnsi="Times New Roman" w:eastAsia="宋体"/>
                <w:sz w:val="20"/>
              </w:rPr>
              <w:t>参考科技行业股价波动率</w:t>
            </w:r>
            <w:r>
              <w:rPr>
                <w:rFonts w:ascii="Times New Roman" w:hAnsi="Times New Roman" w:eastAsia="宋体"/>
                <w:sz w:val="20"/>
              </w:rPr>
              <w:t xml:space="preserve"> + </w:t>
            </w:r>
            <w:r>
              <w:rPr>
                <w:rFonts w:hint="eastAsia" w:ascii="Times New Roman" w:hAnsi="Times New Roman" w:eastAsia="宋体"/>
                <w:sz w:val="20"/>
              </w:rPr>
              <w:t>信用风险溢价</w:t>
            </w:r>
          </w:p>
        </w:tc>
      </w:tr>
      <w:tr w14:paraId="7FF10A04">
        <w:tblPrEx>
          <w:tblCellMar>
            <w:top w:w="0" w:type="dxa"/>
            <w:left w:w="108" w:type="dxa"/>
            <w:bottom w:w="0" w:type="dxa"/>
            <w:right w:w="108" w:type="dxa"/>
          </w:tblCellMar>
        </w:tblPrEx>
        <w:trPr>
          <w:cantSplit/>
        </w:trPr>
        <w:tc>
          <w:p w14:paraId="72674E65">
            <w:pPr>
              <w:pStyle w:val="26"/>
              <w:spacing w:before="20" w:after="20" w:line="276" w:lineRule="auto"/>
            </w:pPr>
            <w:r>
              <w:rPr>
                <w:rFonts w:hint="eastAsia" w:ascii="Times New Roman" w:hAnsi="Times New Roman" w:eastAsia="宋体"/>
                <w:sz w:val="20"/>
              </w:rPr>
              <w:t>评分调整因子</w:t>
            </w:r>
          </w:p>
        </w:tc>
        <w:tc>
          <w:p w14:paraId="05CC7CDD">
            <w:pPr>
              <w:pStyle w:val="26"/>
              <w:spacing w:before="20" w:after="20" w:line="276" w:lineRule="auto"/>
            </w:pPr>
            <w:r>
              <w:rPr>
                <w:rFonts w:hint="eastAsia" w:ascii="Times New Roman" w:hAnsi="Times New Roman" w:eastAsia="宋体"/>
                <w:sz w:val="20"/>
              </w:rPr>
              <w:t>评分</w:t>
            </w:r>
            <w:r>
              <w:rPr>
                <w:rFonts w:ascii="Times New Roman" w:hAnsi="Times New Roman" w:eastAsia="宋体"/>
                <w:sz w:val="20"/>
              </w:rPr>
              <w:t xml:space="preserve"> </w:t>
            </w:r>
            <w:r>
              <w:rPr>
                <w:rFonts w:hint="eastAsia" w:ascii="Times New Roman" w:hAnsi="Times New Roman" w:eastAsia="宋体"/>
                <w:sz w:val="20"/>
              </w:rPr>
              <w:t>4.0-4.2：1.3；4.3-4.6：1.6；4.7-5.0：2.0</w:t>
            </w:r>
          </w:p>
        </w:tc>
        <w:tc>
          <w:p w14:paraId="0C942FD4">
            <w:pPr>
              <w:pStyle w:val="26"/>
              <w:spacing w:before="20" w:after="20" w:line="276" w:lineRule="auto"/>
            </w:pPr>
            <w:r>
              <w:rPr>
                <w:rFonts w:hint="eastAsia" w:ascii="Times New Roman" w:hAnsi="Times New Roman" w:eastAsia="宋体"/>
                <w:sz w:val="20"/>
              </w:rPr>
              <w:t>风险越高、费率越高</w:t>
            </w:r>
          </w:p>
        </w:tc>
      </w:tr>
      <w:tr w14:paraId="05F7C3C2">
        <w:tblPrEx>
          <w:tblCellMar>
            <w:top w:w="0" w:type="dxa"/>
            <w:left w:w="108" w:type="dxa"/>
            <w:bottom w:w="0" w:type="dxa"/>
            <w:right w:w="108" w:type="dxa"/>
          </w:tblCellMar>
        </w:tblPrEx>
        <w:trPr>
          <w:cantSplit/>
        </w:trPr>
        <w:tc>
          <w:p w14:paraId="01C4CB18">
            <w:pPr>
              <w:pStyle w:val="26"/>
              <w:spacing w:before="20" w:after="20" w:line="276" w:lineRule="auto"/>
            </w:pPr>
            <w:r>
              <w:rPr>
                <w:rFonts w:hint="eastAsia" w:ascii="Times New Roman" w:hAnsi="Times New Roman" w:eastAsia="宋体"/>
                <w:sz w:val="20"/>
              </w:rPr>
              <w:t>期限因子</w:t>
            </w:r>
          </w:p>
        </w:tc>
        <w:tc>
          <w:p w14:paraId="4530BA46">
            <w:pPr>
              <w:pStyle w:val="26"/>
              <w:spacing w:before="20" w:after="20" w:line="276" w:lineRule="auto"/>
            </w:pPr>
            <w:r>
              <w:rPr>
                <w:rFonts w:ascii="Times New Roman" w:hAnsi="Times New Roman" w:eastAsia="宋体"/>
                <w:sz w:val="20"/>
              </w:rPr>
              <w:t xml:space="preserve">1 </w:t>
            </w:r>
            <w:r>
              <w:rPr>
                <w:rFonts w:hint="eastAsia" w:ascii="Times New Roman" w:hAnsi="Times New Roman" w:eastAsia="宋体"/>
                <w:sz w:val="20"/>
              </w:rPr>
              <w:t>年期</w:t>
            </w:r>
            <w:r>
              <w:rPr>
                <w:rFonts w:ascii="Times New Roman" w:hAnsi="Times New Roman" w:eastAsia="宋体"/>
                <w:sz w:val="20"/>
              </w:rPr>
              <w:t xml:space="preserve"> </w:t>
            </w:r>
            <w:r>
              <w:rPr>
                <w:rFonts w:hint="eastAsia" w:ascii="Times New Roman" w:hAnsi="Times New Roman" w:eastAsia="宋体"/>
                <w:sz w:val="20"/>
              </w:rPr>
              <w:t>1.0；2</w:t>
            </w:r>
            <w:r>
              <w:rPr>
                <w:rFonts w:ascii="Times New Roman" w:hAnsi="Times New Roman" w:eastAsia="宋体"/>
                <w:sz w:val="20"/>
              </w:rPr>
              <w:t xml:space="preserve"> </w:t>
            </w:r>
            <w:r>
              <w:rPr>
                <w:rFonts w:hint="eastAsia" w:ascii="Times New Roman" w:hAnsi="Times New Roman" w:eastAsia="宋体"/>
                <w:sz w:val="20"/>
              </w:rPr>
              <w:t>年期</w:t>
            </w:r>
            <w:r>
              <w:rPr>
                <w:rFonts w:ascii="Times New Roman" w:hAnsi="Times New Roman" w:eastAsia="宋体"/>
                <w:sz w:val="20"/>
              </w:rPr>
              <w:t xml:space="preserve"> </w:t>
            </w:r>
            <w:r>
              <w:rPr>
                <w:rFonts w:hint="eastAsia" w:ascii="Times New Roman" w:hAnsi="Times New Roman" w:eastAsia="宋体"/>
                <w:sz w:val="20"/>
              </w:rPr>
              <w:t>0.95；3</w:t>
            </w:r>
            <w:r>
              <w:rPr>
                <w:rFonts w:ascii="Times New Roman" w:hAnsi="Times New Roman" w:eastAsia="宋体"/>
                <w:sz w:val="20"/>
              </w:rPr>
              <w:t xml:space="preserve"> </w:t>
            </w:r>
            <w:r>
              <w:rPr>
                <w:rFonts w:hint="eastAsia" w:ascii="Times New Roman" w:hAnsi="Times New Roman" w:eastAsia="宋体"/>
                <w:sz w:val="20"/>
              </w:rPr>
              <w:t>年期</w:t>
            </w:r>
            <w:r>
              <w:rPr>
                <w:rFonts w:ascii="Times New Roman" w:hAnsi="Times New Roman" w:eastAsia="宋体"/>
                <w:sz w:val="20"/>
              </w:rPr>
              <w:t xml:space="preserve"> 0.90</w:t>
            </w:r>
          </w:p>
        </w:tc>
        <w:tc>
          <w:p w14:paraId="70F5347D">
            <w:pPr>
              <w:pStyle w:val="26"/>
              <w:spacing w:before="20" w:after="20" w:line="276" w:lineRule="auto"/>
            </w:pPr>
            <w:r>
              <w:rPr>
                <w:rFonts w:hint="eastAsia" w:ascii="Times New Roman" w:hAnsi="Times New Roman" w:eastAsia="宋体"/>
                <w:sz w:val="20"/>
              </w:rPr>
              <w:t>长期保单费率递减</w:t>
            </w:r>
          </w:p>
        </w:tc>
      </w:tr>
    </w:tbl>
    <w:p w14:paraId="22DFC478">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Meta </w:t>
      </w:r>
      <w:r>
        <w:rPr>
          <w:rFonts w:hint="eastAsia" w:ascii="Times New Roman" w:hAnsi="Times New Roman" w:eastAsia="宋体"/>
          <w:sz w:val="24"/>
        </w:rPr>
        <w:t>为例（保额</w:t>
      </w:r>
      <w:r>
        <w:rPr>
          <w:rFonts w:ascii="Times New Roman" w:hAnsi="Times New Roman" w:eastAsia="宋体"/>
          <w:sz w:val="24"/>
        </w:rPr>
        <w:t xml:space="preserve"> 1,380 </w:t>
      </w:r>
      <w:r>
        <w:rPr>
          <w:rFonts w:hint="eastAsia" w:ascii="Times New Roman" w:hAnsi="Times New Roman" w:eastAsia="宋体"/>
          <w:sz w:val="24"/>
        </w:rPr>
        <w:t>万元，1</w:t>
      </w:r>
      <w:r>
        <w:rPr>
          <w:rFonts w:ascii="Times New Roman" w:hAnsi="Times New Roman" w:eastAsia="宋体"/>
          <w:sz w:val="24"/>
        </w:rPr>
        <w:t xml:space="preserve"> </w:t>
      </w:r>
      <w:r>
        <w:rPr>
          <w:rFonts w:hint="eastAsia" w:ascii="Times New Roman" w:hAnsi="Times New Roman" w:eastAsia="宋体"/>
          <w:sz w:val="24"/>
        </w:rPr>
        <w:t>年期）：年保费</w:t>
      </w:r>
      <w:r>
        <w:rPr>
          <w:rFonts w:ascii="Times New Roman" w:hAnsi="Times New Roman" w:eastAsia="宋体"/>
          <w:sz w:val="24"/>
        </w:rPr>
        <w:t xml:space="preserve"> = 1,380 </w:t>
      </w:r>
      <w:r>
        <w:rPr>
          <w:rFonts w:hint="eastAsia" w:ascii="Times New Roman" w:hAnsi="Times New Roman" w:eastAsia="宋体"/>
          <w:sz w:val="24"/>
        </w:rPr>
        <w:t>万</w:t>
      </w:r>
      <w:r>
        <w:rPr>
          <w:rFonts w:ascii="Times New Roman" w:hAnsi="Times New Roman" w:eastAsia="宋体"/>
          <w:sz w:val="24"/>
        </w:rPr>
        <w:t xml:space="preserve"> × 3.0% × 1.6 × 1.0 = </w:t>
      </w:r>
      <w:r>
        <w:rPr>
          <w:rFonts w:ascii="Times New Roman" w:hAnsi="Times New Roman" w:eastAsia="宋体"/>
          <w:b/>
          <w:bCs/>
          <w:sz w:val="24"/>
        </w:rPr>
        <w:t xml:space="preserve">66.24 </w:t>
      </w:r>
      <w:r>
        <w:rPr>
          <w:rFonts w:hint="eastAsia" w:ascii="Times New Roman" w:hAnsi="Times New Roman" w:eastAsia="宋体"/>
          <w:b/>
          <w:bCs/>
          <w:sz w:val="24"/>
        </w:rPr>
        <w:t>万元</w:t>
      </w:r>
      <w:r>
        <w:rPr>
          <w:rFonts w:hint="eastAsia" w:ascii="Times New Roman" w:hAnsi="Times New Roman" w:eastAsia="宋体"/>
          <w:sz w:val="24"/>
        </w:rPr>
        <w:t>，保费/保额比为</w:t>
      </w:r>
      <w:r>
        <w:rPr>
          <w:rFonts w:ascii="Times New Roman" w:hAnsi="Times New Roman" w:eastAsia="宋体"/>
          <w:sz w:val="24"/>
        </w:rPr>
        <w:t xml:space="preserve"> 4.8%。</w:t>
      </w:r>
    </w:p>
    <w:p w14:paraId="635414D9">
      <w:pPr>
        <w:pStyle w:val="3"/>
        <w:spacing w:before="40" w:after="40" w:line="360" w:lineRule="auto"/>
        <w:ind w:firstLine="480"/>
      </w:pPr>
      <w:r>
        <w:rPr>
          <w:rFonts w:hint="eastAsia" w:ascii="Times New Roman" w:hAnsi="Times New Roman" w:eastAsia="宋体"/>
          <w:b/>
          <w:bCs/>
          <w:sz w:val="24"/>
        </w:rPr>
        <w:t>诚实声明</w:t>
      </w:r>
      <w:r>
        <w:rPr>
          <w:rFonts w:hint="eastAsia" w:ascii="Times New Roman" w:hAnsi="Times New Roman" w:eastAsia="宋体"/>
          <w:sz w:val="24"/>
        </w:rPr>
        <w:t>：上述费率为概念设计阶段的示意性参数，未经过历史理赔数据的校准验证。实际定价需积累3-5年理赔经验后，由精算师根据损失分布重新测算。</w:t>
      </w:r>
    </w:p>
    <w:p w14:paraId="2C1F4E3B">
      <w:pPr>
        <w:pStyle w:val="3"/>
        <w:spacing w:before="40" w:after="40" w:line="360" w:lineRule="auto"/>
        <w:ind w:firstLine="480"/>
      </w:pPr>
      <w:r>
        <w:rPr>
          <w:rFonts w:hint="eastAsia" w:ascii="Times New Roman" w:hAnsi="Times New Roman" w:eastAsia="宋体"/>
          <w:b/>
          <w:bCs/>
          <w:sz w:val="24"/>
        </w:rPr>
        <w:t>（5）赔付机制</w:t>
      </w:r>
    </w:p>
    <w:p w14:paraId="43A3708F">
      <w:pPr>
        <w:pStyle w:val="3"/>
        <w:spacing w:before="40" w:after="40" w:line="360" w:lineRule="auto"/>
        <w:ind w:firstLine="480"/>
      </w:pPr>
      <w:r>
        <w:rPr>
          <w:rFonts w:hint="eastAsia" w:ascii="Times New Roman" w:hAnsi="Times New Roman" w:eastAsia="宋体"/>
          <w:b/>
          <w:bCs/>
          <w:sz w:val="24"/>
        </w:rPr>
        <w:t>赔付金额</w:t>
      </w:r>
      <w:r>
        <w:rPr>
          <w:rFonts w:ascii="Times New Roman" w:hAnsi="Times New Roman" w:eastAsia="宋体"/>
          <w:b/>
          <w:bCs/>
          <w:sz w:val="24"/>
        </w:rPr>
        <w:t xml:space="preserve"> = </w:t>
      </w:r>
      <w:r>
        <w:rPr>
          <w:rFonts w:hint="eastAsia" w:ascii="Times New Roman" w:hAnsi="Times New Roman" w:eastAsia="宋体"/>
          <w:b/>
          <w:bCs/>
          <w:sz w:val="24"/>
        </w:rPr>
        <w:t>min(保额,</w:t>
      </w:r>
      <w:r>
        <w:rPr>
          <w:rFonts w:ascii="Times New Roman" w:hAnsi="Times New Roman" w:eastAsia="宋体"/>
          <w:b/>
          <w:bCs/>
          <w:sz w:val="24"/>
        </w:rPr>
        <w:t xml:space="preserve"> </w:t>
      </w:r>
      <w:r>
        <w:rPr>
          <w:rFonts w:hint="eastAsia" w:ascii="Times New Roman" w:hAnsi="Times New Roman" w:eastAsia="宋体"/>
          <w:b/>
          <w:bCs/>
          <w:sz w:val="24"/>
        </w:rPr>
        <w:t>实际损失</w:t>
      </w:r>
      <w:r>
        <w:rPr>
          <w:rFonts w:ascii="Times New Roman" w:hAnsi="Times New Roman" w:eastAsia="宋体"/>
          <w:b/>
          <w:bCs/>
          <w:sz w:val="24"/>
        </w:rPr>
        <w:t xml:space="preserve"> × </w:t>
      </w:r>
      <w:r>
        <w:rPr>
          <w:rFonts w:hint="eastAsia" w:ascii="Times New Roman" w:hAnsi="Times New Roman" w:eastAsia="宋体"/>
          <w:b/>
          <w:bCs/>
          <w:sz w:val="24"/>
        </w:rPr>
        <w:t>赔付比例)</w:t>
      </w:r>
    </w:p>
    <w:p w14:paraId="2A581644">
      <w:pPr>
        <w:pStyle w:val="3"/>
        <w:spacing w:before="40" w:after="40" w:line="360" w:lineRule="auto"/>
        <w:ind w:firstLine="480"/>
      </w:pPr>
      <w:r>
        <w:rPr>
          <w:rFonts w:hint="eastAsia" w:ascii="Times New Roman" w:hAnsi="Times New Roman" w:eastAsia="宋体"/>
          <w:sz w:val="24"/>
        </w:rPr>
        <w:t>其中实际损失的计算：</w:t>
      </w:r>
    </w:p>
    <w:p w14:paraId="34A78696">
      <w:pPr>
        <w:pStyle w:val="3"/>
        <w:spacing w:before="40" w:after="40" w:line="360" w:lineRule="auto"/>
        <w:ind w:firstLine="480"/>
      </w:pPr>
      <w:r>
        <w:rPr>
          <w:rFonts w:hint="eastAsia" w:ascii="Times New Roman" w:hAnsi="Times New Roman" w:eastAsia="宋体"/>
          <w:sz w:val="24"/>
        </w:rPr>
        <w:t>实际损失</w:t>
      </w:r>
      <w:r>
        <w:rPr>
          <w:rFonts w:ascii="Times New Roman" w:hAnsi="Times New Roman" w:eastAsia="宋体"/>
          <w:sz w:val="24"/>
        </w:rPr>
        <w:t xml:space="preserve"> = </w:t>
      </w:r>
      <w:r>
        <w:rPr>
          <w:rFonts w:hint="eastAsia" w:ascii="Times New Roman" w:hAnsi="Times New Roman" w:eastAsia="宋体"/>
          <w:sz w:val="24"/>
        </w:rPr>
        <w:t>持仓市值</w:t>
      </w:r>
      <w:r>
        <w:rPr>
          <w:rFonts w:ascii="Times New Roman" w:hAnsi="Times New Roman" w:eastAsia="宋体"/>
          <w:sz w:val="24"/>
        </w:rPr>
        <w:t xml:space="preserve"> × </w:t>
      </w:r>
      <w:r>
        <w:rPr>
          <w:rFonts w:hint="eastAsia" w:ascii="Times New Roman" w:hAnsi="Times New Roman" w:eastAsia="宋体"/>
          <w:sz w:val="24"/>
        </w:rPr>
        <w:t>max（0,</w:t>
      </w:r>
      <w:r>
        <w:rPr>
          <w:rFonts w:ascii="Times New Roman" w:hAnsi="Times New Roman" w:eastAsia="宋体"/>
          <w:sz w:val="24"/>
        </w:rPr>
        <w:t xml:space="preserve"> </w:t>
      </w:r>
      <w:r>
        <w:rPr>
          <w:rFonts w:hint="eastAsia" w:ascii="Times New Roman" w:hAnsi="Times New Roman" w:eastAsia="宋体"/>
          <w:sz w:val="24"/>
        </w:rPr>
        <w:t>股价跌幅</w:t>
      </w:r>
      <w:r>
        <w:rPr>
          <w:rFonts w:ascii="Times New Roman" w:hAnsi="Times New Roman" w:eastAsia="宋体"/>
          <w:sz w:val="24"/>
        </w:rPr>
        <w:t xml:space="preserve"> − </w:t>
      </w:r>
      <w:r>
        <w:rPr>
          <w:rFonts w:hint="eastAsia" w:ascii="Times New Roman" w:hAnsi="Times New Roman" w:eastAsia="宋体"/>
          <w:sz w:val="24"/>
        </w:rPr>
        <w:t>免赔额）。</w:t>
      </w:r>
    </w:p>
    <w:p w14:paraId="3DA370AA">
      <w:pPr>
        <w:pStyle w:val="3"/>
        <w:spacing w:before="40" w:after="40" w:line="360" w:lineRule="auto"/>
        <w:ind w:firstLine="480"/>
      </w:pPr>
      <w:r>
        <w:rPr>
          <w:rFonts w:hint="eastAsia" w:ascii="Times New Roman" w:hAnsi="Times New Roman" w:eastAsia="宋体"/>
          <w:sz w:val="24"/>
        </w:rPr>
        <w:t>免赔额按触发层级差异化设计：第一层触发（会计事件）免赔额</w:t>
      </w:r>
      <w:r>
        <w:rPr>
          <w:rFonts w:ascii="Times New Roman" w:hAnsi="Times New Roman" w:eastAsia="宋体"/>
          <w:sz w:val="24"/>
        </w:rPr>
        <w:t xml:space="preserve"> </w:t>
      </w:r>
      <w:r>
        <w:rPr>
          <w:rFonts w:hint="eastAsia" w:ascii="Times New Roman" w:hAnsi="Times New Roman" w:eastAsia="宋体"/>
          <w:sz w:val="24"/>
        </w:rPr>
        <w:t>5%，降低小额赔付频率；第二层触发（减值兑现）免赔额</w:t>
      </w:r>
      <w:r>
        <w:rPr>
          <w:rFonts w:ascii="Times New Roman" w:hAnsi="Times New Roman" w:eastAsia="宋体"/>
          <w:sz w:val="24"/>
        </w:rPr>
        <w:t xml:space="preserve"> </w:t>
      </w:r>
      <w:r>
        <w:rPr>
          <w:rFonts w:hint="eastAsia" w:ascii="Times New Roman" w:hAnsi="Times New Roman" w:eastAsia="宋体"/>
          <w:sz w:val="24"/>
        </w:rPr>
        <w:t>0%，因风险已确认；第三层触发（行业共振）免赔额</w:t>
      </w:r>
      <w:r>
        <w:rPr>
          <w:rFonts w:ascii="Times New Roman" w:hAnsi="Times New Roman" w:eastAsia="宋体"/>
          <w:sz w:val="24"/>
        </w:rPr>
        <w:t xml:space="preserve"> </w:t>
      </w:r>
      <w:r>
        <w:rPr>
          <w:rFonts w:hint="eastAsia" w:ascii="Times New Roman" w:hAnsi="Times New Roman" w:eastAsia="宋体"/>
          <w:sz w:val="24"/>
        </w:rPr>
        <w:t>8%，体现系统性风险分散原则。</w:t>
      </w:r>
    </w:p>
    <w:p w14:paraId="51F213A6">
      <w:pPr>
        <w:pStyle w:val="3"/>
        <w:spacing w:before="40" w:after="40" w:line="360" w:lineRule="auto"/>
        <w:ind w:firstLine="480"/>
      </w:pPr>
      <w:r>
        <w:rPr>
          <w:rFonts w:hint="eastAsia" w:ascii="Times New Roman" w:hAnsi="Times New Roman" w:eastAsia="宋体"/>
          <w:sz w:val="24"/>
        </w:rPr>
        <w:t>赔付比例按跌幅分档：跌幅</w:t>
      </w:r>
      <w:r>
        <w:rPr>
          <w:rFonts w:ascii="Times New Roman" w:hAnsi="Times New Roman" w:eastAsia="宋体"/>
          <w:sz w:val="24"/>
        </w:rPr>
        <w:t xml:space="preserve"> 5-15% </w:t>
      </w:r>
      <w:r>
        <w:rPr>
          <w:rFonts w:hint="eastAsia" w:ascii="Times New Roman" w:hAnsi="Times New Roman" w:eastAsia="宋体"/>
          <w:sz w:val="24"/>
        </w:rPr>
        <w:t>赔付</w:t>
      </w:r>
      <w:r>
        <w:rPr>
          <w:rFonts w:ascii="Times New Roman" w:hAnsi="Times New Roman" w:eastAsia="宋体"/>
          <w:sz w:val="24"/>
        </w:rPr>
        <w:t xml:space="preserve"> </w:t>
      </w:r>
      <w:r>
        <w:rPr>
          <w:rFonts w:hint="eastAsia" w:ascii="Times New Roman" w:hAnsi="Times New Roman" w:eastAsia="宋体"/>
          <w:sz w:val="24"/>
        </w:rPr>
        <w:t>60%；跌幅</w:t>
      </w:r>
      <w:r>
        <w:rPr>
          <w:rFonts w:ascii="Times New Roman" w:hAnsi="Times New Roman" w:eastAsia="宋体"/>
          <w:sz w:val="24"/>
        </w:rPr>
        <w:t xml:space="preserve"> 15-25% </w:t>
      </w:r>
      <w:r>
        <w:rPr>
          <w:rFonts w:hint="eastAsia" w:ascii="Times New Roman" w:hAnsi="Times New Roman" w:eastAsia="宋体"/>
          <w:sz w:val="24"/>
        </w:rPr>
        <w:t>赔付</w:t>
      </w:r>
      <w:r>
        <w:rPr>
          <w:rFonts w:ascii="Times New Roman" w:hAnsi="Times New Roman" w:eastAsia="宋体"/>
          <w:sz w:val="24"/>
        </w:rPr>
        <w:t xml:space="preserve"> </w:t>
      </w:r>
      <w:r>
        <w:rPr>
          <w:rFonts w:hint="eastAsia" w:ascii="Times New Roman" w:hAnsi="Times New Roman" w:eastAsia="宋体"/>
          <w:sz w:val="24"/>
        </w:rPr>
        <w:t>80%；跌幅</w:t>
      </w:r>
      <w:r>
        <w:rPr>
          <w:rFonts w:ascii="Times New Roman" w:hAnsi="Times New Roman" w:eastAsia="宋体"/>
          <w:sz w:val="24"/>
        </w:rPr>
        <w:t xml:space="preserve"> &gt;25% </w:t>
      </w:r>
      <w:r>
        <w:rPr>
          <w:rFonts w:hint="eastAsia" w:ascii="Times New Roman" w:hAnsi="Times New Roman" w:eastAsia="宋体"/>
          <w:sz w:val="24"/>
        </w:rPr>
        <w:t>赔付</w:t>
      </w:r>
      <w:r>
        <w:rPr>
          <w:rFonts w:ascii="Times New Roman" w:hAnsi="Times New Roman" w:eastAsia="宋体"/>
          <w:sz w:val="24"/>
        </w:rPr>
        <w:t xml:space="preserve"> 100%。</w:t>
      </w:r>
    </w:p>
    <w:p w14:paraId="2F406A38">
      <w:pPr>
        <w:pStyle w:val="3"/>
        <w:spacing w:before="40" w:after="40" w:line="360" w:lineRule="auto"/>
        <w:ind w:firstLine="480"/>
      </w:pPr>
      <w:r>
        <w:rPr>
          <w:rFonts w:hint="eastAsia" w:ascii="Times New Roman" w:hAnsi="Times New Roman" w:eastAsia="宋体"/>
          <w:b/>
          <w:bCs/>
          <w:sz w:val="24"/>
        </w:rPr>
        <w:t>示例</w:t>
      </w:r>
      <w:r>
        <w:rPr>
          <w:rFonts w:hint="eastAsia" w:ascii="Times New Roman" w:hAnsi="Times New Roman" w:eastAsia="宋体"/>
          <w:sz w:val="24"/>
        </w:rPr>
        <w:t>：某基金持仓</w:t>
      </w:r>
      <w:r>
        <w:rPr>
          <w:rFonts w:ascii="Times New Roman" w:hAnsi="Times New Roman" w:eastAsia="宋体"/>
          <w:sz w:val="24"/>
        </w:rPr>
        <w:t xml:space="preserve"> Meta 1 </w:t>
      </w:r>
      <w:r>
        <w:rPr>
          <w:rFonts w:hint="eastAsia" w:ascii="Times New Roman" w:hAnsi="Times New Roman" w:eastAsia="宋体"/>
          <w:sz w:val="24"/>
        </w:rPr>
        <w:t>亿元，第一层触发（披露</w:t>
      </w:r>
      <w:r>
        <w:rPr>
          <w:rFonts w:ascii="Times New Roman" w:hAnsi="Times New Roman" w:eastAsia="宋体"/>
          <w:sz w:val="24"/>
        </w:rPr>
        <w:t xml:space="preserve"> 5.5 </w:t>
      </w:r>
      <w:r>
        <w:rPr>
          <w:rFonts w:hint="eastAsia" w:ascii="Times New Roman" w:hAnsi="Times New Roman" w:eastAsia="宋体"/>
          <w:sz w:val="24"/>
        </w:rPr>
        <w:t>年变更），次日股价下跌</w:t>
      </w:r>
      <w:r>
        <w:rPr>
          <w:rFonts w:ascii="Times New Roman" w:hAnsi="Times New Roman" w:eastAsia="宋体"/>
          <w:sz w:val="24"/>
        </w:rPr>
        <w:t xml:space="preserve"> </w:t>
      </w:r>
      <w:r>
        <w:rPr>
          <w:rFonts w:hint="eastAsia" w:ascii="Times New Roman" w:hAnsi="Times New Roman" w:eastAsia="宋体"/>
          <w:sz w:val="24"/>
        </w:rPr>
        <w:t>18%。实际损失</w:t>
      </w:r>
      <w:r>
        <w:rPr>
          <w:rFonts w:ascii="Times New Roman" w:hAnsi="Times New Roman" w:eastAsia="宋体"/>
          <w:sz w:val="24"/>
        </w:rPr>
        <w:t xml:space="preserve"> = 1 </w:t>
      </w:r>
      <w:r>
        <w:rPr>
          <w:rFonts w:hint="eastAsia" w:ascii="Times New Roman" w:hAnsi="Times New Roman" w:eastAsia="宋体"/>
          <w:sz w:val="24"/>
        </w:rPr>
        <w:t>亿</w:t>
      </w:r>
      <w:r>
        <w:rPr>
          <w:rFonts w:ascii="Times New Roman" w:hAnsi="Times New Roman" w:eastAsia="宋体"/>
          <w:sz w:val="24"/>
        </w:rPr>
        <w:t xml:space="preserve"> </w:t>
      </w:r>
      <w:r>
        <w:rPr>
          <w:rFonts w:hint="eastAsia" w:ascii="Times New Roman" w:hAnsi="Times New Roman" w:eastAsia="宋体"/>
          <w:sz w:val="24"/>
        </w:rPr>
        <w:t>×（18%</w:t>
      </w:r>
      <w:r>
        <w:rPr>
          <w:rFonts w:ascii="Times New Roman" w:hAnsi="Times New Roman" w:eastAsia="宋体"/>
          <w:sz w:val="24"/>
        </w:rPr>
        <w:t xml:space="preserve"> − </w:t>
      </w:r>
      <w:r>
        <w:rPr>
          <w:rFonts w:hint="eastAsia" w:ascii="Times New Roman" w:hAnsi="Times New Roman" w:eastAsia="宋体"/>
          <w:sz w:val="24"/>
        </w:rPr>
        <w:t>5%）=</w:t>
      </w:r>
      <w:r>
        <w:rPr>
          <w:rFonts w:ascii="Times New Roman" w:hAnsi="Times New Roman" w:eastAsia="宋体"/>
          <w:sz w:val="24"/>
        </w:rPr>
        <w:t xml:space="preserve"> 1,300 </w:t>
      </w:r>
      <w:r>
        <w:rPr>
          <w:rFonts w:hint="eastAsia" w:ascii="Times New Roman" w:hAnsi="Times New Roman" w:eastAsia="宋体"/>
          <w:sz w:val="24"/>
        </w:rPr>
        <w:t>万元；赔付金额</w:t>
      </w:r>
      <w:r>
        <w:rPr>
          <w:rFonts w:ascii="Times New Roman" w:hAnsi="Times New Roman" w:eastAsia="宋体"/>
          <w:sz w:val="24"/>
        </w:rPr>
        <w:t xml:space="preserve"> = </w:t>
      </w:r>
      <w:r>
        <w:rPr>
          <w:rFonts w:hint="eastAsia" w:ascii="Times New Roman" w:hAnsi="Times New Roman" w:eastAsia="宋体"/>
          <w:sz w:val="24"/>
        </w:rPr>
        <w:t>min（1,380</w:t>
      </w:r>
      <w:r>
        <w:rPr>
          <w:rFonts w:ascii="Times New Roman" w:hAnsi="Times New Roman" w:eastAsia="宋体"/>
          <w:sz w:val="24"/>
        </w:rPr>
        <w:t xml:space="preserve"> </w:t>
      </w:r>
      <w:r>
        <w:rPr>
          <w:rFonts w:hint="eastAsia" w:ascii="Times New Roman" w:hAnsi="Times New Roman" w:eastAsia="宋体"/>
          <w:sz w:val="24"/>
        </w:rPr>
        <w:t>万,</w:t>
      </w:r>
      <w:r>
        <w:rPr>
          <w:rFonts w:ascii="Times New Roman" w:hAnsi="Times New Roman" w:eastAsia="宋体"/>
          <w:sz w:val="24"/>
        </w:rPr>
        <w:t xml:space="preserve"> 1,300 </w:t>
      </w:r>
      <w:r>
        <w:rPr>
          <w:rFonts w:hint="eastAsia" w:ascii="Times New Roman" w:hAnsi="Times New Roman" w:eastAsia="宋体"/>
          <w:sz w:val="24"/>
        </w:rPr>
        <w:t>万</w:t>
      </w:r>
      <w:r>
        <w:rPr>
          <w:rFonts w:ascii="Times New Roman" w:hAnsi="Times New Roman" w:eastAsia="宋体"/>
          <w:sz w:val="24"/>
        </w:rPr>
        <w:t xml:space="preserve"> × </w:t>
      </w:r>
      <w:r>
        <w:rPr>
          <w:rFonts w:hint="eastAsia" w:ascii="Times New Roman" w:hAnsi="Times New Roman" w:eastAsia="宋体"/>
          <w:sz w:val="24"/>
        </w:rPr>
        <w:t>80%）=</w:t>
      </w:r>
      <w:r>
        <w:rPr>
          <w:rFonts w:ascii="Times New Roman" w:hAnsi="Times New Roman" w:eastAsia="宋体"/>
          <w:sz w:val="24"/>
        </w:rPr>
        <w:t xml:space="preserve"> </w:t>
      </w:r>
      <w:r>
        <w:rPr>
          <w:rFonts w:hint="eastAsia" w:ascii="Times New Roman" w:hAnsi="Times New Roman" w:eastAsia="宋体"/>
          <w:sz w:val="24"/>
        </w:rPr>
        <w:t>min（1,380</w:t>
      </w:r>
      <w:r>
        <w:rPr>
          <w:rFonts w:ascii="Times New Roman" w:hAnsi="Times New Roman" w:eastAsia="宋体"/>
          <w:sz w:val="24"/>
        </w:rPr>
        <w:t xml:space="preserve"> </w:t>
      </w:r>
      <w:r>
        <w:rPr>
          <w:rFonts w:hint="eastAsia" w:ascii="Times New Roman" w:hAnsi="Times New Roman" w:eastAsia="宋体"/>
          <w:sz w:val="24"/>
        </w:rPr>
        <w:t>万,</w:t>
      </w:r>
      <w:r>
        <w:rPr>
          <w:rFonts w:ascii="Times New Roman" w:hAnsi="Times New Roman" w:eastAsia="宋体"/>
          <w:sz w:val="24"/>
        </w:rPr>
        <w:t xml:space="preserve"> 1,040 </w:t>
      </w:r>
      <w:r>
        <w:rPr>
          <w:rFonts w:hint="eastAsia" w:ascii="Times New Roman" w:hAnsi="Times New Roman" w:eastAsia="宋体"/>
          <w:sz w:val="24"/>
        </w:rPr>
        <w:t>万）=</w:t>
      </w:r>
      <w:r>
        <w:rPr>
          <w:rFonts w:ascii="Times New Roman" w:hAnsi="Times New Roman" w:eastAsia="宋体"/>
          <w:sz w:val="24"/>
        </w:rPr>
        <w:t xml:space="preserve"> </w:t>
      </w:r>
      <w:r>
        <w:rPr>
          <w:rFonts w:ascii="Times New Roman" w:hAnsi="Times New Roman" w:eastAsia="宋体"/>
          <w:b/>
          <w:bCs/>
          <w:sz w:val="24"/>
        </w:rPr>
        <w:t xml:space="preserve">1,040 </w:t>
      </w:r>
      <w:r>
        <w:rPr>
          <w:rFonts w:hint="eastAsia" w:ascii="Times New Roman" w:hAnsi="Times New Roman" w:eastAsia="宋体"/>
          <w:b/>
          <w:bCs/>
          <w:sz w:val="24"/>
        </w:rPr>
        <w:t>万元</w:t>
      </w:r>
      <w:r>
        <w:rPr>
          <w:rFonts w:ascii="Times New Roman" w:hAnsi="Times New Roman" w:eastAsia="宋体"/>
          <w:sz w:val="24"/>
        </w:rPr>
        <w:t>。</w:t>
      </w:r>
    </w:p>
    <w:p w14:paraId="430FE181">
      <w:pPr>
        <w:pStyle w:val="25"/>
        <w:spacing w:before="40" w:after="40" w:line="360" w:lineRule="auto"/>
        <w:ind w:firstLine="480"/>
      </w:pPr>
      <w:r>
        <w:rPr>
          <w:rFonts w:hint="eastAsia" w:ascii="Times New Roman" w:hAnsi="Times New Roman" w:eastAsia="宋体"/>
          <w:b/>
          <w:bCs/>
          <w:sz w:val="24"/>
        </w:rPr>
        <w:t>二、产品二：科创资产置换保险（Equity</w:t>
      </w:r>
      <w:r>
        <w:rPr>
          <w:rFonts w:ascii="Times New Roman" w:hAnsi="Times New Roman" w:eastAsia="宋体"/>
          <w:b/>
          <w:bCs/>
          <w:sz w:val="24"/>
        </w:rPr>
        <w:t xml:space="preserve"> Swap Insurance, </w:t>
      </w:r>
      <w:r>
        <w:rPr>
          <w:rFonts w:hint="eastAsia" w:ascii="Times New Roman" w:hAnsi="Times New Roman" w:eastAsia="宋体"/>
          <w:b/>
          <w:bCs/>
          <w:sz w:val="24"/>
        </w:rPr>
        <w:t>ESI）——股权交换结构化产品</w:t>
      </w:r>
    </w:p>
    <w:p w14:paraId="14E9C390">
      <w:pPr>
        <w:pStyle w:val="3"/>
        <w:spacing w:before="40" w:after="40" w:line="360" w:lineRule="auto"/>
        <w:ind w:firstLine="480"/>
      </w:pPr>
      <w:r>
        <w:rPr>
          <w:rFonts w:hint="eastAsia" w:ascii="Times New Roman" w:hAnsi="Times New Roman" w:eastAsia="宋体"/>
          <w:b/>
          <w:bCs/>
          <w:sz w:val="24"/>
        </w:rPr>
        <w:t>（1）核心创意来源</w:t>
      </w:r>
    </w:p>
    <w:p w14:paraId="2C2A004D">
      <w:pPr>
        <w:pStyle w:val="3"/>
        <w:spacing w:before="40" w:after="40" w:line="360" w:lineRule="auto"/>
        <w:ind w:firstLine="480"/>
      </w:pPr>
      <w:r>
        <w:rPr>
          <w:rFonts w:hint="eastAsia" w:ascii="Times New Roman" w:hAnsi="Times New Roman" w:eastAsia="宋体"/>
          <w:sz w:val="24"/>
        </w:rPr>
        <w:t>本产品源于对传统现金赔付模式的反思：当AI科技股因折旧错配暴露而暴跌时，传统保险赔付现金，但投资者拿到现金后仍面临“再投资风险”——在市场恐慌中，很难做出理性的资产配置决策。</w:t>
      </w:r>
    </w:p>
    <w:p w14:paraId="768F9CDF">
      <w:pPr>
        <w:pStyle w:val="3"/>
        <w:spacing w:before="40" w:after="40" w:line="360" w:lineRule="auto"/>
        <w:ind w:firstLine="480"/>
      </w:pPr>
      <w:r>
        <w:rPr>
          <w:rFonts w:hint="eastAsia" w:ascii="Times New Roman" w:hAnsi="Times New Roman" w:eastAsia="宋体"/>
          <w:sz w:val="24"/>
        </w:rPr>
        <w:t>本产品的创新在于：</w:t>
      </w:r>
      <w:r>
        <w:rPr>
          <w:rFonts w:hint="eastAsia" w:ascii="Times New Roman" w:hAnsi="Times New Roman" w:eastAsia="宋体"/>
          <w:b/>
          <w:bCs/>
          <w:sz w:val="24"/>
        </w:rPr>
        <w:t>以资产置换替代现金赔付，实现风险转移与资产配置的双赢。</w:t>
      </w:r>
    </w:p>
    <w:p w14:paraId="16D153C1">
      <w:pPr>
        <w:pStyle w:val="3"/>
        <w:spacing w:before="40" w:after="40" w:line="360" w:lineRule="auto"/>
        <w:ind w:firstLine="480"/>
      </w:pPr>
      <w:r>
        <w:rPr>
          <w:rFonts w:hint="eastAsia" w:ascii="Times New Roman" w:hAnsi="Times New Roman" w:eastAsia="宋体"/>
          <w:b/>
          <w:bCs/>
          <w:sz w:val="24"/>
        </w:rPr>
        <w:t>（2）产品结构：三层设计</w:t>
      </w:r>
    </w:p>
    <w:p w14:paraId="2D563D7F">
      <w:pPr>
        <w:pStyle w:val="3"/>
        <w:spacing w:before="40" w:after="40" w:line="360" w:lineRule="auto"/>
        <w:ind w:firstLine="480"/>
      </w:pPr>
      <w:r>
        <w:rPr>
          <w:rFonts w:ascii="Times New Roman" w:hAnsi="Times New Roman" w:eastAsia="宋体"/>
          <w:sz w:val="24"/>
        </w:rPr>
        <w:t xml:space="preserve">ESI </w:t>
      </w:r>
      <w:r>
        <w:rPr>
          <w:rFonts w:hint="eastAsia" w:ascii="Times New Roman" w:hAnsi="Times New Roman" w:eastAsia="宋体"/>
          <w:sz w:val="24"/>
        </w:rPr>
        <w:t>产品采用三层递进结构：</w:t>
      </w:r>
    </w:p>
    <w:tbl>
      <w:tblPr>
        <w:tblStyle w:val="43"/>
        <w:tblW w:w="5000" w:type="pct"/>
        <w:tblInd w:w="0" w:type="dxa"/>
        <w:tblLayout w:type="fixed"/>
        <w:tblCellMar>
          <w:top w:w="0" w:type="dxa"/>
          <w:left w:w="108" w:type="dxa"/>
          <w:bottom w:w="0" w:type="dxa"/>
          <w:right w:w="108" w:type="dxa"/>
        </w:tblCellMar>
      </w:tblPr>
      <w:tblGrid>
        <w:gridCol w:w="1327"/>
        <w:gridCol w:w="1327"/>
        <w:gridCol w:w="2211"/>
        <w:gridCol w:w="2211"/>
        <w:gridCol w:w="2211"/>
      </w:tblGrid>
      <w:tr w14:paraId="3157216B">
        <w:tblPrEx>
          <w:tblCellMar>
            <w:top w:w="0" w:type="dxa"/>
            <w:left w:w="108" w:type="dxa"/>
            <w:bottom w:w="0" w:type="dxa"/>
            <w:right w:w="108" w:type="dxa"/>
          </w:tblCellMar>
        </w:tblPrEx>
        <w:trPr>
          <w:cantSplit/>
          <w:tblHeader/>
        </w:trPr>
        <w:tc>
          <w:p w14:paraId="5DB1FC00">
            <w:pPr>
              <w:pStyle w:val="26"/>
              <w:spacing w:before="20" w:after="20" w:line="276" w:lineRule="auto"/>
            </w:pPr>
            <w:r>
              <w:rPr>
                <w:rFonts w:hint="eastAsia" w:ascii="Times New Roman" w:hAnsi="Times New Roman" w:eastAsia="宋体"/>
                <w:sz w:val="20"/>
              </w:rPr>
              <w:t>层级</w:t>
            </w:r>
          </w:p>
        </w:tc>
        <w:tc>
          <w:p w14:paraId="781B1DE2">
            <w:pPr>
              <w:pStyle w:val="26"/>
              <w:spacing w:before="20" w:after="20" w:line="276" w:lineRule="auto"/>
            </w:pPr>
            <w:r>
              <w:rPr>
                <w:rFonts w:hint="eastAsia" w:ascii="Times New Roman" w:hAnsi="Times New Roman" w:eastAsia="宋体"/>
                <w:sz w:val="20"/>
              </w:rPr>
              <w:t>名称</w:t>
            </w:r>
          </w:p>
        </w:tc>
        <w:tc>
          <w:p w14:paraId="1C808F17">
            <w:pPr>
              <w:pStyle w:val="26"/>
              <w:spacing w:before="20" w:after="20" w:line="276" w:lineRule="auto"/>
            </w:pPr>
            <w:r>
              <w:rPr>
                <w:rFonts w:hint="eastAsia" w:ascii="Times New Roman" w:hAnsi="Times New Roman" w:eastAsia="宋体"/>
                <w:sz w:val="20"/>
              </w:rPr>
              <w:t>触发条件</w:t>
            </w:r>
          </w:p>
        </w:tc>
        <w:tc>
          <w:p w14:paraId="55F53B28">
            <w:pPr>
              <w:pStyle w:val="26"/>
              <w:spacing w:before="20" w:after="20" w:line="276" w:lineRule="auto"/>
            </w:pPr>
            <w:r>
              <w:rPr>
                <w:rFonts w:hint="eastAsia" w:ascii="Times New Roman" w:hAnsi="Times New Roman" w:eastAsia="宋体"/>
                <w:sz w:val="20"/>
              </w:rPr>
              <w:t>核心操作</w:t>
            </w:r>
          </w:p>
        </w:tc>
        <w:tc>
          <w:p w14:paraId="669317B8">
            <w:pPr>
              <w:pStyle w:val="26"/>
              <w:spacing w:before="20" w:after="20" w:line="276" w:lineRule="auto"/>
            </w:pPr>
            <w:r>
              <w:rPr>
                <w:rFonts w:hint="eastAsia" w:ascii="Times New Roman" w:hAnsi="Times New Roman" w:eastAsia="宋体"/>
                <w:sz w:val="20"/>
              </w:rPr>
              <w:t>设计目的</w:t>
            </w:r>
          </w:p>
        </w:tc>
      </w:tr>
      <w:tr w14:paraId="4460EA96">
        <w:tblPrEx>
          <w:tblCellMar>
            <w:top w:w="0" w:type="dxa"/>
            <w:left w:w="108" w:type="dxa"/>
            <w:bottom w:w="0" w:type="dxa"/>
            <w:right w:w="108" w:type="dxa"/>
          </w:tblCellMar>
        </w:tblPrEx>
        <w:trPr>
          <w:cantSplit/>
        </w:trPr>
        <w:tc>
          <w:p w14:paraId="6CDC7A89">
            <w:pPr>
              <w:pStyle w:val="26"/>
              <w:spacing w:before="20" w:after="20" w:line="276" w:lineRule="auto"/>
            </w:pPr>
            <w:r>
              <w:rPr>
                <w:rFonts w:hint="eastAsia" w:ascii="Times New Roman" w:hAnsi="Times New Roman" w:eastAsia="宋体"/>
                <w:sz w:val="20"/>
              </w:rPr>
              <w:t>第一层</w:t>
            </w:r>
          </w:p>
        </w:tc>
        <w:tc>
          <w:p w14:paraId="249ED575">
            <w:pPr>
              <w:pStyle w:val="26"/>
              <w:spacing w:before="20" w:after="20" w:line="276" w:lineRule="auto"/>
            </w:pPr>
            <w:r>
              <w:rPr>
                <w:rFonts w:hint="eastAsia" w:ascii="Times New Roman" w:hAnsi="Times New Roman" w:eastAsia="宋体"/>
                <w:sz w:val="20"/>
              </w:rPr>
              <w:t>保险层（现金保障）</w:t>
            </w:r>
          </w:p>
        </w:tc>
        <w:tc>
          <w:p w14:paraId="246BB7A7">
            <w:pPr>
              <w:pStyle w:val="26"/>
              <w:spacing w:before="20" w:after="20" w:line="276" w:lineRule="auto"/>
            </w:pPr>
            <w:r>
              <w:rPr>
                <w:rFonts w:hint="eastAsia" w:ascii="Times New Roman" w:hAnsi="Times New Roman" w:eastAsia="宋体"/>
                <w:sz w:val="20"/>
              </w:rPr>
              <w:t>股价下跌</w:t>
            </w:r>
            <w:r>
              <w:rPr>
                <w:rFonts w:ascii="Times New Roman" w:hAnsi="Times New Roman" w:eastAsia="宋体"/>
                <w:sz w:val="20"/>
              </w:rPr>
              <w:t xml:space="preserve"> ≥15%</w:t>
            </w:r>
          </w:p>
        </w:tc>
        <w:tc>
          <w:p w14:paraId="6CBDF4BB">
            <w:pPr>
              <w:pStyle w:val="26"/>
              <w:spacing w:before="20" w:after="20" w:line="276" w:lineRule="auto"/>
            </w:pPr>
            <w:r>
              <w:rPr>
                <w:rFonts w:hint="eastAsia" w:ascii="Times New Roman" w:hAnsi="Times New Roman" w:eastAsia="宋体"/>
                <w:sz w:val="20"/>
              </w:rPr>
              <w:t>现金赔付，保额</w:t>
            </w:r>
            <w:r>
              <w:rPr>
                <w:rFonts w:ascii="Times New Roman" w:hAnsi="Times New Roman" w:eastAsia="宋体"/>
                <w:sz w:val="20"/>
              </w:rPr>
              <w:t xml:space="preserve"> × 10%</w:t>
            </w:r>
          </w:p>
        </w:tc>
        <w:tc>
          <w:p w14:paraId="2B8B6231">
            <w:pPr>
              <w:pStyle w:val="26"/>
              <w:spacing w:before="20" w:after="20" w:line="276" w:lineRule="auto"/>
            </w:pPr>
            <w:r>
              <w:rPr>
                <w:rFonts w:hint="eastAsia" w:ascii="Times New Roman" w:hAnsi="Times New Roman" w:eastAsia="宋体"/>
                <w:sz w:val="20"/>
              </w:rPr>
              <w:t>覆盖投资者紧急流动性需求</w:t>
            </w:r>
          </w:p>
        </w:tc>
      </w:tr>
      <w:tr w14:paraId="1CC0608F">
        <w:tblPrEx>
          <w:tblCellMar>
            <w:top w:w="0" w:type="dxa"/>
            <w:left w:w="108" w:type="dxa"/>
            <w:bottom w:w="0" w:type="dxa"/>
            <w:right w:w="108" w:type="dxa"/>
          </w:tblCellMar>
        </w:tblPrEx>
        <w:trPr>
          <w:cantSplit/>
        </w:trPr>
        <w:tc>
          <w:p w14:paraId="1ED55264">
            <w:pPr>
              <w:pStyle w:val="26"/>
              <w:spacing w:before="20" w:after="20" w:line="276" w:lineRule="auto"/>
            </w:pPr>
            <w:r>
              <w:rPr>
                <w:rFonts w:hint="eastAsia" w:ascii="Times New Roman" w:hAnsi="Times New Roman" w:eastAsia="宋体"/>
                <w:sz w:val="20"/>
              </w:rPr>
              <w:t>第二层</w:t>
            </w:r>
          </w:p>
        </w:tc>
        <w:tc>
          <w:p w14:paraId="26DF1024">
            <w:pPr>
              <w:pStyle w:val="26"/>
              <w:spacing w:before="20" w:after="20" w:line="276" w:lineRule="auto"/>
            </w:pPr>
            <w:r>
              <w:rPr>
                <w:rFonts w:hint="eastAsia" w:ascii="Times New Roman" w:hAnsi="Times New Roman" w:eastAsia="宋体"/>
                <w:sz w:val="20"/>
              </w:rPr>
              <w:t>交换层（资产置换）</w:t>
            </w:r>
          </w:p>
        </w:tc>
        <w:tc>
          <w:p w14:paraId="11754214">
            <w:pPr>
              <w:pStyle w:val="26"/>
              <w:spacing w:before="20" w:after="20" w:line="276" w:lineRule="auto"/>
            </w:pPr>
            <w:r>
              <w:rPr>
                <w:rFonts w:hint="eastAsia" w:ascii="Times New Roman" w:hAnsi="Times New Roman" w:eastAsia="宋体"/>
                <w:sz w:val="20"/>
              </w:rPr>
              <w:t>股价下跌</w:t>
            </w:r>
            <w:r>
              <w:rPr>
                <w:rFonts w:ascii="Times New Roman" w:hAnsi="Times New Roman" w:eastAsia="宋体"/>
                <w:sz w:val="20"/>
              </w:rPr>
              <w:t xml:space="preserve"> ≥25%</w:t>
            </w:r>
          </w:p>
        </w:tc>
        <w:tc>
          <w:p w14:paraId="2DADDBDE">
            <w:pPr>
              <w:pStyle w:val="26"/>
              <w:spacing w:before="20" w:after="20" w:line="276" w:lineRule="auto"/>
            </w:pPr>
            <w:r>
              <w:rPr>
                <w:rFonts w:hint="eastAsia" w:ascii="Times New Roman" w:hAnsi="Times New Roman" w:eastAsia="宋体"/>
                <w:sz w:val="20"/>
              </w:rPr>
              <w:t>平安以防御性资产交换投资者科技股，交换比例</w:t>
            </w:r>
            <w:r>
              <w:rPr>
                <w:rFonts w:ascii="Times New Roman" w:hAnsi="Times New Roman" w:eastAsia="宋体"/>
                <w:sz w:val="20"/>
              </w:rPr>
              <w:t xml:space="preserve"> </w:t>
            </w:r>
            <w:r>
              <w:rPr>
                <w:rFonts w:hint="eastAsia" w:ascii="Times New Roman" w:hAnsi="Times New Roman" w:eastAsia="宋体"/>
                <w:sz w:val="20"/>
              </w:rPr>
              <w:t>1:0.8（折价交换）</w:t>
            </w:r>
          </w:p>
        </w:tc>
        <w:tc>
          <w:p w14:paraId="7433EB39">
            <w:pPr>
              <w:pStyle w:val="26"/>
              <w:spacing w:before="20" w:after="20" w:line="276" w:lineRule="auto"/>
            </w:pPr>
            <w:r>
              <w:rPr>
                <w:rFonts w:hint="eastAsia" w:ascii="Times New Roman" w:hAnsi="Times New Roman" w:eastAsia="宋体"/>
                <w:sz w:val="20"/>
              </w:rPr>
              <w:t>投资者止损</w:t>
            </w:r>
            <w:r>
              <w:rPr>
                <w:rFonts w:ascii="Times New Roman" w:hAnsi="Times New Roman" w:eastAsia="宋体"/>
                <w:sz w:val="20"/>
              </w:rPr>
              <w:t xml:space="preserve"> + </w:t>
            </w:r>
            <w:r>
              <w:rPr>
                <w:rFonts w:hint="eastAsia" w:ascii="Times New Roman" w:hAnsi="Times New Roman" w:eastAsia="宋体"/>
                <w:sz w:val="20"/>
              </w:rPr>
              <w:t>平安低价吸筹</w:t>
            </w:r>
          </w:p>
        </w:tc>
      </w:tr>
      <w:tr w14:paraId="796372EF">
        <w:tblPrEx>
          <w:tblCellMar>
            <w:top w:w="0" w:type="dxa"/>
            <w:left w:w="108" w:type="dxa"/>
            <w:bottom w:w="0" w:type="dxa"/>
            <w:right w:w="108" w:type="dxa"/>
          </w:tblCellMar>
        </w:tblPrEx>
        <w:trPr>
          <w:cantSplit/>
        </w:trPr>
        <w:tc>
          <w:p w14:paraId="6C3632C0">
            <w:pPr>
              <w:pStyle w:val="26"/>
              <w:spacing w:before="20" w:after="20" w:line="276" w:lineRule="auto"/>
            </w:pPr>
            <w:r>
              <w:rPr>
                <w:rFonts w:hint="eastAsia" w:ascii="Times New Roman" w:hAnsi="Times New Roman" w:eastAsia="宋体"/>
                <w:sz w:val="20"/>
              </w:rPr>
              <w:t>第三层</w:t>
            </w:r>
          </w:p>
        </w:tc>
        <w:tc>
          <w:p w14:paraId="44560128">
            <w:pPr>
              <w:pStyle w:val="26"/>
              <w:spacing w:before="20" w:after="20" w:line="276" w:lineRule="auto"/>
            </w:pPr>
            <w:r>
              <w:rPr>
                <w:rFonts w:hint="eastAsia" w:ascii="Times New Roman" w:hAnsi="Times New Roman" w:eastAsia="宋体"/>
                <w:sz w:val="20"/>
              </w:rPr>
              <w:t>对赌层（反弹分成）</w:t>
            </w:r>
          </w:p>
        </w:tc>
        <w:tc>
          <w:p w14:paraId="2B104611">
            <w:pPr>
              <w:pStyle w:val="26"/>
              <w:spacing w:before="20" w:after="20" w:line="276" w:lineRule="auto"/>
            </w:pPr>
            <w:r>
              <w:rPr>
                <w:rFonts w:hint="eastAsia" w:ascii="Times New Roman" w:hAnsi="Times New Roman" w:eastAsia="宋体"/>
                <w:sz w:val="20"/>
              </w:rPr>
              <w:t>交换后</w:t>
            </w:r>
            <w:r>
              <w:rPr>
                <w:rFonts w:ascii="Times New Roman" w:hAnsi="Times New Roman" w:eastAsia="宋体"/>
                <w:sz w:val="20"/>
              </w:rPr>
              <w:t xml:space="preserve"> 2 </w:t>
            </w:r>
            <w:r>
              <w:rPr>
                <w:rFonts w:hint="eastAsia" w:ascii="Times New Roman" w:hAnsi="Times New Roman" w:eastAsia="宋体"/>
                <w:sz w:val="20"/>
              </w:rPr>
              <w:t>年内科技股反弹</w:t>
            </w:r>
            <w:r>
              <w:rPr>
                <w:rFonts w:ascii="Times New Roman" w:hAnsi="Times New Roman" w:eastAsia="宋体"/>
                <w:sz w:val="20"/>
              </w:rPr>
              <w:t xml:space="preserve"> ≥30%</w:t>
            </w:r>
          </w:p>
        </w:tc>
        <w:tc>
          <w:p w14:paraId="67A2F530">
            <w:pPr>
              <w:pStyle w:val="26"/>
              <w:spacing w:before="20" w:after="20" w:line="276" w:lineRule="auto"/>
            </w:pPr>
            <w:r>
              <w:rPr>
                <w:rFonts w:hint="eastAsia" w:ascii="Times New Roman" w:hAnsi="Times New Roman" w:eastAsia="宋体"/>
                <w:sz w:val="20"/>
              </w:rPr>
              <w:t>投资者有权以约定价格赎回部分股票</w:t>
            </w:r>
          </w:p>
        </w:tc>
        <w:tc>
          <w:p w14:paraId="16DFF630">
            <w:pPr>
              <w:pStyle w:val="26"/>
              <w:spacing w:before="20" w:after="20" w:line="276" w:lineRule="auto"/>
            </w:pPr>
            <w:r>
              <w:rPr>
                <w:rFonts w:hint="eastAsia" w:ascii="Times New Roman" w:hAnsi="Times New Roman" w:eastAsia="宋体"/>
                <w:sz w:val="20"/>
              </w:rPr>
              <w:t>保留投资者上行空间</w:t>
            </w:r>
            <w:r>
              <w:rPr>
                <w:rFonts w:ascii="Times New Roman" w:hAnsi="Times New Roman" w:eastAsia="宋体"/>
                <w:sz w:val="20"/>
              </w:rPr>
              <w:t xml:space="preserve"> + </w:t>
            </w:r>
            <w:r>
              <w:rPr>
                <w:rFonts w:hint="eastAsia" w:ascii="Times New Roman" w:hAnsi="Times New Roman" w:eastAsia="宋体"/>
                <w:sz w:val="20"/>
              </w:rPr>
              <w:t>平安锁定长期收益</w:t>
            </w:r>
          </w:p>
        </w:tc>
      </w:tr>
    </w:tbl>
    <w:p w14:paraId="7E686E08">
      <w:pPr>
        <w:pStyle w:val="3"/>
        <w:spacing w:before="40" w:after="40" w:line="360" w:lineRule="auto"/>
        <w:ind w:firstLine="480"/>
      </w:pPr>
      <w:r>
        <w:rPr>
          <w:rFonts w:hint="eastAsia" w:ascii="Times New Roman" w:hAnsi="Times New Roman" w:eastAsia="宋体"/>
          <w:b/>
          <w:bCs/>
          <w:sz w:val="24"/>
        </w:rPr>
        <w:t>（3）详细机制设计</w:t>
      </w:r>
    </w:p>
    <w:p w14:paraId="58855FD8">
      <w:pPr>
        <w:pStyle w:val="3"/>
        <w:spacing w:before="40" w:after="40" w:line="360" w:lineRule="auto"/>
        <w:ind w:firstLine="480"/>
      </w:pPr>
      <w:r>
        <w:rPr>
          <w:rFonts w:hint="eastAsia" w:ascii="Times New Roman" w:hAnsi="Times New Roman" w:eastAsia="宋体"/>
          <w:b/>
          <w:bCs/>
          <w:sz w:val="24"/>
        </w:rPr>
        <w:t>第一层：保险层——现金保障</w:t>
      </w:r>
    </w:p>
    <w:p w14:paraId="34BCBEA1">
      <w:pPr>
        <w:pStyle w:val="3"/>
        <w:spacing w:before="40" w:after="40" w:line="360" w:lineRule="auto"/>
        <w:ind w:firstLine="480"/>
      </w:pPr>
      <w:r>
        <w:rPr>
          <w:rFonts w:hint="eastAsia" w:ascii="Times New Roman" w:hAnsi="Times New Roman" w:eastAsia="宋体"/>
          <w:b/>
          <w:bCs/>
          <w:sz w:val="24"/>
        </w:rPr>
        <w:t>功能</w:t>
      </w:r>
      <w:r>
        <w:rPr>
          <w:rFonts w:hint="eastAsia" w:ascii="Times New Roman" w:hAnsi="Times New Roman" w:eastAsia="宋体"/>
          <w:sz w:val="24"/>
        </w:rPr>
        <w:t>：为投资者提供紧急流动性，覆盖短期资金需求。</w:t>
      </w:r>
    </w:p>
    <w:p w14:paraId="51F1AE7D">
      <w:pPr>
        <w:pStyle w:val="3"/>
        <w:spacing w:before="40" w:after="40" w:line="360" w:lineRule="auto"/>
        <w:ind w:firstLine="480"/>
      </w:pPr>
      <w:r>
        <w:rPr>
          <w:rFonts w:hint="eastAsia" w:ascii="Times New Roman" w:hAnsi="Times New Roman" w:eastAsia="宋体"/>
          <w:b/>
          <w:bCs/>
          <w:sz w:val="24"/>
        </w:rPr>
        <w:t>参数</w:t>
      </w:r>
      <w:r>
        <w:rPr>
          <w:rFonts w:hint="eastAsia" w:ascii="Times New Roman" w:hAnsi="Times New Roman" w:eastAsia="宋体"/>
          <w:sz w:val="24"/>
        </w:rPr>
        <w:t>：</w:t>
      </w:r>
    </w:p>
    <w:p w14:paraId="3061B6CE">
      <w:pPr>
        <w:pStyle w:val="26"/>
        <w:spacing w:before="40" w:after="40" w:line="360" w:lineRule="auto"/>
        <w:ind w:left="420"/>
      </w:pPr>
      <w:r>
        <w:rPr>
          <w:rFonts w:hint="eastAsia" w:ascii="Times New Roman" w:hAnsi="Times New Roman" w:eastAsia="宋体"/>
          <w:sz w:val="24"/>
        </w:rPr>
        <w:t>触发条件：持仓公司股价较投保日下跌≥15%</w:t>
      </w:r>
    </w:p>
    <w:p w14:paraId="572AC3FA">
      <w:pPr>
        <w:pStyle w:val="26"/>
        <w:spacing w:before="40" w:after="40" w:line="360" w:lineRule="auto"/>
        <w:ind w:left="420"/>
      </w:pPr>
      <w:r>
        <w:rPr>
          <w:rFonts w:hint="eastAsia" w:ascii="Times New Roman" w:hAnsi="Times New Roman" w:eastAsia="宋体"/>
          <w:sz w:val="24"/>
        </w:rPr>
        <w:t>赔付：现金</w:t>
      </w:r>
      <w:r>
        <w:rPr>
          <w:rFonts w:ascii="Times New Roman" w:hAnsi="Times New Roman" w:eastAsia="宋体"/>
          <w:sz w:val="24"/>
        </w:rPr>
        <w:t xml:space="preserve"> = </w:t>
      </w:r>
      <w:r>
        <w:rPr>
          <w:rFonts w:hint="eastAsia" w:ascii="Times New Roman" w:hAnsi="Times New Roman" w:eastAsia="宋体"/>
          <w:sz w:val="24"/>
        </w:rPr>
        <w:t>保额</w:t>
      </w:r>
      <w:r>
        <w:rPr>
          <w:rFonts w:ascii="Times New Roman" w:hAnsi="Times New Roman" w:eastAsia="宋体"/>
          <w:sz w:val="24"/>
        </w:rPr>
        <w:t xml:space="preserve"> × 10%</w:t>
      </w:r>
    </w:p>
    <w:p w14:paraId="19BA2AC9">
      <w:pPr>
        <w:pStyle w:val="26"/>
        <w:spacing w:before="40" w:after="40" w:line="360" w:lineRule="auto"/>
        <w:ind w:left="420"/>
      </w:pPr>
      <w:r>
        <w:rPr>
          <w:rFonts w:hint="eastAsia" w:ascii="Times New Roman" w:hAnsi="Times New Roman" w:eastAsia="宋体"/>
          <w:sz w:val="24"/>
        </w:rPr>
        <w:t>免赔额：0%</w:t>
      </w:r>
    </w:p>
    <w:p w14:paraId="0783247F">
      <w:pPr>
        <w:pStyle w:val="26"/>
        <w:spacing w:before="40" w:after="40" w:line="360" w:lineRule="auto"/>
        <w:ind w:left="420"/>
      </w:pPr>
      <w:r>
        <w:rPr>
          <w:rFonts w:hint="eastAsia" w:ascii="Times New Roman" w:hAnsi="Times New Roman" w:eastAsia="宋体"/>
          <w:sz w:val="24"/>
        </w:rPr>
        <w:t>用途：不限（投资者可自由支配）</w:t>
      </w:r>
    </w:p>
    <w:p w14:paraId="35A819C9">
      <w:pPr>
        <w:pStyle w:val="25"/>
        <w:spacing w:before="40" w:after="40" w:line="360" w:lineRule="auto"/>
        <w:ind w:firstLine="480"/>
      </w:pPr>
      <w:r>
        <w:rPr>
          <w:rFonts w:hint="eastAsia" w:ascii="Times New Roman" w:hAnsi="Times New Roman" w:eastAsia="宋体"/>
          <w:b/>
          <w:bCs/>
          <w:sz w:val="24"/>
        </w:rPr>
        <w:t>示例</w:t>
      </w:r>
      <w:r>
        <w:rPr>
          <w:rFonts w:hint="eastAsia" w:ascii="Times New Roman" w:hAnsi="Times New Roman" w:eastAsia="宋体"/>
          <w:sz w:val="24"/>
        </w:rPr>
        <w:t>：某基金投保Meta</w:t>
      </w:r>
      <w:r>
        <w:rPr>
          <w:rFonts w:ascii="Times New Roman" w:hAnsi="Times New Roman" w:eastAsia="宋体"/>
          <w:sz w:val="24"/>
        </w:rPr>
        <w:t xml:space="preserve"> </w:t>
      </w:r>
      <w:r>
        <w:rPr>
          <w:rFonts w:hint="eastAsia" w:ascii="Times New Roman" w:hAnsi="Times New Roman" w:eastAsia="宋体"/>
          <w:sz w:val="24"/>
        </w:rPr>
        <w:t>1亿元，股价下跌18%，触发第一层。</w:t>
      </w:r>
    </w:p>
    <w:p w14:paraId="2B0DB3B6">
      <w:pPr>
        <w:pStyle w:val="26"/>
        <w:spacing w:before="40" w:after="40" w:line="360" w:lineRule="auto"/>
        <w:ind w:left="420"/>
      </w:pPr>
      <w:r>
        <w:rPr>
          <w:rFonts w:hint="eastAsia" w:ascii="Times New Roman" w:hAnsi="Times New Roman" w:eastAsia="宋体"/>
          <w:sz w:val="24"/>
        </w:rPr>
        <w:t>现金赔付：1亿</w:t>
      </w:r>
      <w:r>
        <w:rPr>
          <w:rFonts w:ascii="Times New Roman" w:hAnsi="Times New Roman" w:eastAsia="宋体"/>
          <w:sz w:val="24"/>
        </w:rPr>
        <w:t xml:space="preserve"> × 10% = </w:t>
      </w:r>
      <w:r>
        <w:rPr>
          <w:rFonts w:hint="eastAsia" w:ascii="Times New Roman" w:hAnsi="Times New Roman" w:eastAsia="宋体"/>
          <w:sz w:val="24"/>
        </w:rPr>
        <w:t>1,000万元</w:t>
      </w:r>
    </w:p>
    <w:p w14:paraId="67007C24">
      <w:pPr>
        <w:pStyle w:val="26"/>
        <w:spacing w:before="40" w:after="40" w:line="360" w:lineRule="auto"/>
        <w:ind w:left="420"/>
      </w:pPr>
      <w:r>
        <w:rPr>
          <w:rFonts w:hint="eastAsia" w:ascii="Times New Roman" w:hAnsi="Times New Roman" w:eastAsia="宋体"/>
          <w:sz w:val="24"/>
        </w:rPr>
        <w:t>基金仍持有Meta股票，但获得1,000万现金流动性</w:t>
      </w:r>
    </w:p>
    <w:p w14:paraId="6DAC47E7">
      <w:pPr>
        <w:pStyle w:val="25"/>
        <w:spacing w:before="40" w:after="40" w:line="360" w:lineRule="auto"/>
        <w:ind w:firstLine="480"/>
      </w:pPr>
      <w:r>
        <w:rPr>
          <w:rFonts w:hint="eastAsia" w:ascii="Times New Roman" w:hAnsi="Times New Roman" w:eastAsia="宋体"/>
          <w:b/>
          <w:bCs/>
          <w:sz w:val="24"/>
        </w:rPr>
        <w:t>第二层：交换层——资产置换</w:t>
      </w:r>
    </w:p>
    <w:p w14:paraId="17A406B1">
      <w:pPr>
        <w:pStyle w:val="3"/>
        <w:spacing w:before="40" w:after="40" w:line="360" w:lineRule="auto"/>
        <w:ind w:firstLine="480"/>
      </w:pPr>
      <w:r>
        <w:rPr>
          <w:rFonts w:hint="eastAsia" w:ascii="Times New Roman" w:hAnsi="Times New Roman" w:eastAsia="宋体"/>
          <w:b/>
          <w:bCs/>
          <w:sz w:val="24"/>
        </w:rPr>
        <w:t>功能</w:t>
      </w:r>
      <w:r>
        <w:rPr>
          <w:rFonts w:hint="eastAsia" w:ascii="Times New Roman" w:hAnsi="Times New Roman" w:eastAsia="宋体"/>
          <w:sz w:val="24"/>
        </w:rPr>
        <w:t>：当股价跌幅超过阈值时，平安以防御性资产置换投资者的科技股，帮助投资者实现“软着陆”。</w:t>
      </w:r>
    </w:p>
    <w:p w14:paraId="00CEA35C">
      <w:pPr>
        <w:pStyle w:val="3"/>
        <w:spacing w:before="40" w:after="40" w:line="360" w:lineRule="auto"/>
        <w:ind w:firstLine="480"/>
      </w:pPr>
      <w:r>
        <w:rPr>
          <w:rFonts w:hint="eastAsia" w:ascii="Times New Roman" w:hAnsi="Times New Roman" w:eastAsia="宋体"/>
          <w:b/>
          <w:bCs/>
          <w:sz w:val="24"/>
        </w:rPr>
        <w:t>防御性资产白名单</w:t>
      </w:r>
      <w:r>
        <w:rPr>
          <w:rFonts w:hint="eastAsia" w:ascii="Times New Roman" w:hAnsi="Times New Roman" w:eastAsia="宋体"/>
          <w:sz w:val="24"/>
        </w:rPr>
        <w:t>（高流动性、低波动）：</w:t>
      </w:r>
    </w:p>
    <w:p w14:paraId="78ADCC19">
      <w:pPr>
        <w:pStyle w:val="26"/>
        <w:spacing w:before="40" w:after="40" w:line="360" w:lineRule="auto"/>
        <w:ind w:left="420"/>
      </w:pPr>
      <w:r>
        <w:rPr>
          <w:rFonts w:hint="eastAsia" w:ascii="Times New Roman" w:hAnsi="Times New Roman" w:eastAsia="宋体"/>
          <w:sz w:val="24"/>
        </w:rPr>
        <w:t>国债ETF（如10年期国债ETF）</w:t>
      </w:r>
    </w:p>
    <w:p w14:paraId="6C095B79">
      <w:pPr>
        <w:pStyle w:val="26"/>
        <w:spacing w:before="40" w:after="40" w:line="360" w:lineRule="auto"/>
        <w:ind w:left="420"/>
      </w:pPr>
      <w:r>
        <w:rPr>
          <w:rFonts w:hint="eastAsia" w:ascii="Times New Roman" w:hAnsi="Times New Roman" w:eastAsia="宋体"/>
          <w:sz w:val="24"/>
        </w:rPr>
        <w:t>红利指数ETF（如中证红利ETF）</w:t>
      </w:r>
    </w:p>
    <w:p w14:paraId="67B35CF1">
      <w:pPr>
        <w:pStyle w:val="26"/>
        <w:spacing w:before="40" w:after="40" w:line="360" w:lineRule="auto"/>
        <w:ind w:left="420"/>
      </w:pPr>
      <w:r>
        <w:rPr>
          <w:rFonts w:hint="eastAsia" w:ascii="Times New Roman" w:hAnsi="Times New Roman" w:eastAsia="宋体"/>
          <w:sz w:val="24"/>
        </w:rPr>
        <w:t>消费龙头ETF（如中证消费ETF）</w:t>
      </w:r>
    </w:p>
    <w:p w14:paraId="0CF648C6">
      <w:pPr>
        <w:pStyle w:val="26"/>
        <w:spacing w:before="40" w:after="40" w:line="360" w:lineRule="auto"/>
        <w:ind w:left="420"/>
      </w:pPr>
      <w:r>
        <w:rPr>
          <w:rFonts w:hint="eastAsia" w:ascii="Times New Roman" w:hAnsi="Times New Roman" w:eastAsia="宋体"/>
          <w:sz w:val="24"/>
        </w:rPr>
        <w:t>黄金ETF</w:t>
      </w:r>
    </w:p>
    <w:p w14:paraId="1F767BD4">
      <w:pPr>
        <w:pStyle w:val="25"/>
        <w:spacing w:before="40" w:after="40" w:line="360" w:lineRule="auto"/>
        <w:ind w:firstLine="480"/>
      </w:pPr>
      <w:r>
        <w:rPr>
          <w:rFonts w:hint="eastAsia" w:ascii="Times New Roman" w:hAnsi="Times New Roman" w:eastAsia="宋体"/>
          <w:b/>
          <w:bCs/>
          <w:sz w:val="24"/>
        </w:rPr>
        <w:t>交换比例</w:t>
      </w:r>
      <w:r>
        <w:rPr>
          <w:rFonts w:hint="eastAsia" w:ascii="Times New Roman" w:hAnsi="Times New Roman" w:eastAsia="宋体"/>
          <w:sz w:val="24"/>
        </w:rPr>
        <w:t>：科技股</w:t>
      </w:r>
      <w:r>
        <w:rPr>
          <w:rFonts w:ascii="Times New Roman" w:hAnsi="Times New Roman" w:eastAsia="宋体"/>
          <w:sz w:val="24"/>
        </w:rPr>
        <w:t xml:space="preserve"> : </w:t>
      </w:r>
      <w:r>
        <w:rPr>
          <w:rFonts w:hint="eastAsia" w:ascii="Times New Roman" w:hAnsi="Times New Roman" w:eastAsia="宋体"/>
          <w:sz w:val="24"/>
        </w:rPr>
        <w:t>防御性资产</w:t>
      </w:r>
      <w:r>
        <w:rPr>
          <w:rFonts w:ascii="Times New Roman" w:hAnsi="Times New Roman" w:eastAsia="宋体"/>
          <w:sz w:val="24"/>
        </w:rPr>
        <w:t xml:space="preserve"> = 1 : </w:t>
      </w:r>
      <w:r>
        <w:rPr>
          <w:rFonts w:hint="eastAsia" w:ascii="Times New Roman" w:hAnsi="Times New Roman" w:eastAsia="宋体"/>
          <w:sz w:val="24"/>
        </w:rPr>
        <w:t>0.8。即投资者用市值</w:t>
      </w:r>
      <w:r>
        <w:rPr>
          <w:rFonts w:ascii="Times New Roman" w:hAnsi="Times New Roman" w:eastAsia="宋体"/>
          <w:sz w:val="24"/>
        </w:rPr>
        <w:t xml:space="preserve"> 1 </w:t>
      </w:r>
      <w:r>
        <w:rPr>
          <w:rFonts w:hint="eastAsia" w:ascii="Times New Roman" w:hAnsi="Times New Roman" w:eastAsia="宋体"/>
          <w:sz w:val="24"/>
        </w:rPr>
        <w:t>亿元的</w:t>
      </w:r>
      <w:r>
        <w:rPr>
          <w:rFonts w:ascii="Times New Roman" w:hAnsi="Times New Roman" w:eastAsia="宋体"/>
          <w:sz w:val="24"/>
        </w:rPr>
        <w:t xml:space="preserve"> Meta </w:t>
      </w:r>
      <w:r>
        <w:rPr>
          <w:rFonts w:hint="eastAsia" w:ascii="Times New Roman" w:hAnsi="Times New Roman" w:eastAsia="宋体"/>
          <w:sz w:val="24"/>
        </w:rPr>
        <w:t>股票，换取市值</w:t>
      </w:r>
      <w:r>
        <w:rPr>
          <w:rFonts w:ascii="Times New Roman" w:hAnsi="Times New Roman" w:eastAsia="宋体"/>
          <w:sz w:val="24"/>
        </w:rPr>
        <w:t xml:space="preserve"> 8,000 </w:t>
      </w:r>
      <w:r>
        <w:rPr>
          <w:rFonts w:hint="eastAsia" w:ascii="Times New Roman" w:hAnsi="Times New Roman" w:eastAsia="宋体"/>
          <w:sz w:val="24"/>
        </w:rPr>
        <w:t>万元的防御性资产。</w:t>
      </w:r>
    </w:p>
    <w:p w14:paraId="69B25BCB">
      <w:pPr>
        <w:pStyle w:val="3"/>
        <w:spacing w:before="40" w:after="40" w:line="360" w:lineRule="auto"/>
        <w:ind w:firstLine="480"/>
      </w:pPr>
      <w:r>
        <w:rPr>
          <w:rFonts w:hint="eastAsia" w:ascii="Times New Roman" w:hAnsi="Times New Roman" w:eastAsia="宋体"/>
          <w:sz w:val="24"/>
        </w:rPr>
        <w:t>对投资者而言：立即止损</w:t>
      </w:r>
      <w:r>
        <w:rPr>
          <w:rFonts w:ascii="Times New Roman" w:hAnsi="Times New Roman" w:eastAsia="宋体"/>
          <w:sz w:val="24"/>
        </w:rPr>
        <w:t xml:space="preserve"> </w:t>
      </w:r>
      <w:r>
        <w:rPr>
          <w:rFonts w:hint="eastAsia" w:ascii="Times New Roman" w:hAnsi="Times New Roman" w:eastAsia="宋体"/>
          <w:sz w:val="24"/>
        </w:rPr>
        <w:t>20%（避免进一步下跌）、获得高流动性低波动的防御性资产、保留未来赎回权（第三层）。</w:t>
      </w:r>
    </w:p>
    <w:p w14:paraId="096BB1F2">
      <w:pPr>
        <w:pStyle w:val="3"/>
        <w:spacing w:before="40" w:after="40" w:line="360" w:lineRule="auto"/>
        <w:ind w:firstLine="480"/>
      </w:pPr>
      <w:r>
        <w:rPr>
          <w:rFonts w:hint="eastAsia" w:ascii="Times New Roman" w:hAnsi="Times New Roman" w:eastAsia="宋体"/>
          <w:sz w:val="24"/>
        </w:rPr>
        <w:t>对平安而言：以市值</w:t>
      </w:r>
      <w:r>
        <w:rPr>
          <w:rFonts w:ascii="Times New Roman" w:hAnsi="Times New Roman" w:eastAsia="宋体"/>
          <w:sz w:val="24"/>
        </w:rPr>
        <w:t xml:space="preserve"> 80% </w:t>
      </w:r>
      <w:r>
        <w:rPr>
          <w:rFonts w:hint="eastAsia" w:ascii="Times New Roman" w:hAnsi="Times New Roman" w:eastAsia="宋体"/>
          <w:sz w:val="24"/>
        </w:rPr>
        <w:t>的成本获得</w:t>
      </w:r>
      <w:r>
        <w:rPr>
          <w:rFonts w:ascii="Times New Roman" w:hAnsi="Times New Roman" w:eastAsia="宋体"/>
          <w:sz w:val="24"/>
        </w:rPr>
        <w:t xml:space="preserve"> Meta </w:t>
      </w:r>
      <w:r>
        <w:rPr>
          <w:rFonts w:hint="eastAsia" w:ascii="Times New Roman" w:hAnsi="Times New Roman" w:eastAsia="宋体"/>
          <w:sz w:val="24"/>
        </w:rPr>
        <w:t>股票（账面浮亏</w:t>
      </w:r>
      <w:r>
        <w:rPr>
          <w:rFonts w:ascii="Times New Roman" w:hAnsi="Times New Roman" w:eastAsia="宋体"/>
          <w:sz w:val="24"/>
        </w:rPr>
        <w:t xml:space="preserve"> </w:t>
      </w:r>
      <w:r>
        <w:rPr>
          <w:rFonts w:hint="eastAsia" w:ascii="Times New Roman" w:hAnsi="Times New Roman" w:eastAsia="宋体"/>
          <w:sz w:val="24"/>
        </w:rPr>
        <w:t>20%，但长期持有）；若</w:t>
      </w:r>
      <w:r>
        <w:rPr>
          <w:rFonts w:ascii="Times New Roman" w:hAnsi="Times New Roman" w:eastAsia="宋体"/>
          <w:sz w:val="24"/>
        </w:rPr>
        <w:t xml:space="preserve"> Meta </w:t>
      </w:r>
      <w:r>
        <w:rPr>
          <w:rFonts w:hint="eastAsia" w:ascii="Times New Roman" w:hAnsi="Times New Roman" w:eastAsia="宋体"/>
          <w:sz w:val="24"/>
        </w:rPr>
        <w:t>后续反弹，平安获得超额收益。</w:t>
      </w:r>
    </w:p>
    <w:p w14:paraId="06C83F68">
      <w:pPr>
        <w:pStyle w:val="3"/>
        <w:spacing w:before="40" w:after="40" w:line="360" w:lineRule="auto"/>
        <w:ind w:firstLine="480"/>
      </w:pPr>
      <w:r>
        <w:rPr>
          <w:rFonts w:hint="eastAsia" w:ascii="Times New Roman" w:hAnsi="Times New Roman" w:eastAsia="宋体"/>
          <w:b/>
          <w:bCs/>
          <w:sz w:val="24"/>
        </w:rPr>
        <w:t>公允价值评估</w:t>
      </w:r>
      <w:r>
        <w:rPr>
          <w:rFonts w:hint="eastAsia" w:ascii="Times New Roman" w:hAnsi="Times New Roman" w:eastAsia="宋体"/>
          <w:sz w:val="24"/>
        </w:rPr>
        <w:t>：</w:t>
      </w:r>
    </w:p>
    <w:p w14:paraId="09901BD6">
      <w:pPr>
        <w:pStyle w:val="26"/>
        <w:spacing w:before="40" w:after="40" w:line="360" w:lineRule="auto"/>
        <w:ind w:left="420"/>
      </w:pPr>
      <w:r>
        <w:rPr>
          <w:rFonts w:hint="eastAsia" w:ascii="Times New Roman" w:hAnsi="Times New Roman" w:eastAsia="宋体"/>
          <w:sz w:val="24"/>
        </w:rPr>
        <w:t>交换日聘请第三方估值机构（如中企华、中联评估）</w:t>
      </w:r>
    </w:p>
    <w:p w14:paraId="7E84BB36">
      <w:pPr>
        <w:pStyle w:val="26"/>
        <w:spacing w:before="40" w:after="40" w:line="360" w:lineRule="auto"/>
        <w:ind w:left="420"/>
      </w:pPr>
      <w:r>
        <w:rPr>
          <w:rFonts w:hint="eastAsia" w:ascii="Times New Roman" w:hAnsi="Times New Roman" w:eastAsia="宋体"/>
          <w:sz w:val="24"/>
        </w:rPr>
        <w:t>科技股按前20日均价计算，防止单日操纵</w:t>
      </w:r>
    </w:p>
    <w:p w14:paraId="5A3C73D9">
      <w:pPr>
        <w:pStyle w:val="26"/>
        <w:spacing w:before="40" w:after="40" w:line="360" w:lineRule="auto"/>
        <w:ind w:left="420"/>
      </w:pPr>
      <w:r>
        <w:rPr>
          <w:rFonts w:hint="eastAsia" w:ascii="Times New Roman" w:hAnsi="Times New Roman" w:eastAsia="宋体"/>
          <w:sz w:val="24"/>
        </w:rPr>
        <w:t>防御性资产按当日净值计算</w:t>
      </w:r>
    </w:p>
    <w:p w14:paraId="023E66E1">
      <w:pPr>
        <w:pStyle w:val="25"/>
        <w:spacing w:before="40" w:after="40" w:line="360" w:lineRule="auto"/>
        <w:ind w:firstLine="480"/>
      </w:pPr>
      <w:r>
        <w:rPr>
          <w:rFonts w:hint="eastAsia" w:ascii="Times New Roman" w:hAnsi="Times New Roman" w:eastAsia="宋体"/>
          <w:b/>
          <w:bCs/>
          <w:sz w:val="24"/>
        </w:rPr>
        <w:t>流动性保障</w:t>
      </w:r>
      <w:r>
        <w:rPr>
          <w:rFonts w:hint="eastAsia" w:ascii="Times New Roman" w:hAnsi="Times New Roman" w:eastAsia="宋体"/>
          <w:sz w:val="24"/>
        </w:rPr>
        <w:t>：</w:t>
      </w:r>
    </w:p>
    <w:p w14:paraId="5EECE059">
      <w:pPr>
        <w:pStyle w:val="26"/>
        <w:spacing w:before="40" w:after="40" w:line="360" w:lineRule="auto"/>
        <w:ind w:left="420"/>
      </w:pPr>
      <w:r>
        <w:rPr>
          <w:rFonts w:hint="eastAsia" w:ascii="Times New Roman" w:hAnsi="Times New Roman" w:eastAsia="宋体"/>
          <w:sz w:val="24"/>
        </w:rPr>
        <w:t>防御性资产必须是T+0或T+1可赎回</w:t>
      </w:r>
    </w:p>
    <w:p w14:paraId="12F0084F">
      <w:pPr>
        <w:pStyle w:val="26"/>
        <w:spacing w:before="40" w:after="40" w:line="360" w:lineRule="auto"/>
        <w:ind w:left="420"/>
      </w:pPr>
      <w:r>
        <w:rPr>
          <w:rFonts w:hint="eastAsia" w:ascii="Times New Roman" w:hAnsi="Times New Roman" w:eastAsia="宋体"/>
          <w:sz w:val="24"/>
        </w:rPr>
        <w:t>投资者在交换后30日内，有权要求平安以现金回购防御性资产（按当日净值）</w:t>
      </w:r>
    </w:p>
    <w:p w14:paraId="6E4D8FF1">
      <w:pPr>
        <w:pStyle w:val="25"/>
        <w:spacing w:before="40" w:after="40" w:line="360" w:lineRule="auto"/>
        <w:ind w:firstLine="480"/>
      </w:pPr>
      <w:r>
        <w:rPr>
          <w:rFonts w:hint="eastAsia" w:ascii="Times New Roman" w:hAnsi="Times New Roman" w:eastAsia="宋体"/>
          <w:b/>
          <w:bCs/>
          <w:sz w:val="24"/>
        </w:rPr>
        <w:t>第三层：对赌层——反弹分成</w:t>
      </w:r>
    </w:p>
    <w:p w14:paraId="2C1656FD">
      <w:pPr>
        <w:pStyle w:val="3"/>
        <w:spacing w:before="40" w:after="40" w:line="360" w:lineRule="auto"/>
        <w:ind w:firstLine="480"/>
      </w:pPr>
      <w:r>
        <w:rPr>
          <w:rFonts w:hint="eastAsia" w:ascii="Times New Roman" w:hAnsi="Times New Roman" w:eastAsia="宋体"/>
          <w:b/>
          <w:bCs/>
          <w:sz w:val="24"/>
        </w:rPr>
        <w:t>功能</w:t>
      </w:r>
      <w:r>
        <w:rPr>
          <w:rFonts w:hint="eastAsia" w:ascii="Times New Roman" w:hAnsi="Times New Roman" w:eastAsia="宋体"/>
          <w:sz w:val="24"/>
        </w:rPr>
        <w:t>：平衡双方利益——投资者保留部分上行空间，平安锁定长期股权收益。</w:t>
      </w:r>
    </w:p>
    <w:p w14:paraId="2F4AA97B">
      <w:pPr>
        <w:pStyle w:val="3"/>
        <w:spacing w:before="40" w:after="40" w:line="360" w:lineRule="auto"/>
        <w:ind w:firstLine="480"/>
      </w:pPr>
      <w:r>
        <w:rPr>
          <w:rFonts w:hint="eastAsia" w:ascii="Times New Roman" w:hAnsi="Times New Roman" w:eastAsia="宋体"/>
          <w:b/>
          <w:bCs/>
          <w:sz w:val="24"/>
        </w:rPr>
        <w:t>机制</w:t>
      </w:r>
      <w:r>
        <w:rPr>
          <w:rFonts w:hint="eastAsia" w:ascii="Times New Roman" w:hAnsi="Times New Roman" w:eastAsia="宋体"/>
          <w:sz w:val="24"/>
        </w:rPr>
        <w:t>（交换完成后</w:t>
      </w:r>
      <w:r>
        <w:rPr>
          <w:rFonts w:ascii="Times New Roman" w:hAnsi="Times New Roman" w:eastAsia="宋体"/>
          <w:sz w:val="24"/>
        </w:rPr>
        <w:t xml:space="preserve"> 2 </w:t>
      </w:r>
      <w:r>
        <w:rPr>
          <w:rFonts w:hint="eastAsia" w:ascii="Times New Roman" w:hAnsi="Times New Roman" w:eastAsia="宋体"/>
          <w:sz w:val="24"/>
        </w:rPr>
        <w:t>年内）：</w:t>
      </w:r>
    </w:p>
    <w:tbl>
      <w:tblPr>
        <w:tblStyle w:val="43"/>
        <w:tblW w:w="5000" w:type="pct"/>
        <w:tblInd w:w="0" w:type="dxa"/>
        <w:tblLayout w:type="fixed"/>
        <w:tblCellMar>
          <w:top w:w="0" w:type="dxa"/>
          <w:left w:w="108" w:type="dxa"/>
          <w:bottom w:w="0" w:type="dxa"/>
          <w:right w:w="108" w:type="dxa"/>
        </w:tblCellMar>
      </w:tblPr>
      <w:tblGrid>
        <w:gridCol w:w="2996"/>
        <w:gridCol w:w="3296"/>
        <w:gridCol w:w="2996"/>
      </w:tblGrid>
      <w:tr w14:paraId="23A9424C">
        <w:tblPrEx>
          <w:tblCellMar>
            <w:top w:w="0" w:type="dxa"/>
            <w:left w:w="108" w:type="dxa"/>
            <w:bottom w:w="0" w:type="dxa"/>
            <w:right w:w="108" w:type="dxa"/>
          </w:tblCellMar>
        </w:tblPrEx>
        <w:trPr>
          <w:cantSplit/>
          <w:tblHeader/>
        </w:trPr>
        <w:tc>
          <w:p w14:paraId="7F607243">
            <w:pPr>
              <w:pStyle w:val="26"/>
              <w:spacing w:before="20" w:after="20" w:line="276" w:lineRule="auto"/>
            </w:pPr>
            <w:r>
              <w:rPr>
                <w:rFonts w:hint="eastAsia" w:ascii="Times New Roman" w:hAnsi="Times New Roman" w:eastAsia="宋体"/>
                <w:sz w:val="20"/>
              </w:rPr>
              <w:t>股价情形</w:t>
            </w:r>
          </w:p>
        </w:tc>
        <w:tc>
          <w:p w14:paraId="7E5D16AD">
            <w:pPr>
              <w:pStyle w:val="26"/>
              <w:spacing w:before="20" w:after="20" w:line="276" w:lineRule="auto"/>
            </w:pPr>
            <w:r>
              <w:rPr>
                <w:rFonts w:hint="eastAsia" w:ascii="Times New Roman" w:hAnsi="Times New Roman" w:eastAsia="宋体"/>
                <w:sz w:val="20"/>
              </w:rPr>
              <w:t>投资者权利</w:t>
            </w:r>
          </w:p>
        </w:tc>
        <w:tc>
          <w:p w14:paraId="0BD2778B">
            <w:pPr>
              <w:pStyle w:val="26"/>
              <w:spacing w:before="20" w:after="20" w:line="276" w:lineRule="auto"/>
            </w:pPr>
            <w:r>
              <w:rPr>
                <w:rFonts w:hint="eastAsia" w:ascii="Times New Roman" w:hAnsi="Times New Roman" w:eastAsia="宋体"/>
                <w:sz w:val="20"/>
              </w:rPr>
              <w:t>平安保留</w:t>
            </w:r>
          </w:p>
        </w:tc>
      </w:tr>
      <w:tr w14:paraId="2B2C7A38">
        <w:tblPrEx>
          <w:tblCellMar>
            <w:top w:w="0" w:type="dxa"/>
            <w:left w:w="108" w:type="dxa"/>
            <w:bottom w:w="0" w:type="dxa"/>
            <w:right w:w="108" w:type="dxa"/>
          </w:tblCellMar>
        </w:tblPrEx>
        <w:trPr>
          <w:cantSplit/>
        </w:trPr>
        <w:tc>
          <w:p w14:paraId="44F71685">
            <w:pPr>
              <w:pStyle w:val="26"/>
              <w:spacing w:before="20" w:after="20" w:line="276" w:lineRule="auto"/>
            </w:pPr>
            <w:r>
              <w:rPr>
                <w:rFonts w:hint="eastAsia" w:ascii="Times New Roman" w:hAnsi="Times New Roman" w:eastAsia="宋体"/>
                <w:sz w:val="20"/>
              </w:rPr>
              <w:t>自交换价反弹</w:t>
            </w:r>
            <w:r>
              <w:rPr>
                <w:rFonts w:ascii="Times New Roman" w:hAnsi="Times New Roman" w:eastAsia="宋体"/>
                <w:sz w:val="20"/>
              </w:rPr>
              <w:t xml:space="preserve"> ≥30%</w:t>
            </w:r>
          </w:p>
        </w:tc>
        <w:tc>
          <w:p w14:paraId="154EB4D1">
            <w:pPr>
              <w:pStyle w:val="26"/>
              <w:spacing w:before="20" w:after="20" w:line="276" w:lineRule="auto"/>
            </w:pPr>
            <w:r>
              <w:rPr>
                <w:rFonts w:hint="eastAsia" w:ascii="Times New Roman" w:hAnsi="Times New Roman" w:eastAsia="宋体"/>
                <w:sz w:val="20"/>
              </w:rPr>
              <w:t>有权以“交换价</w:t>
            </w:r>
            <w:r>
              <w:rPr>
                <w:rFonts w:ascii="Times New Roman" w:hAnsi="Times New Roman" w:eastAsia="宋体"/>
                <w:sz w:val="20"/>
              </w:rPr>
              <w:t xml:space="preserve"> × </w:t>
            </w:r>
            <w:r>
              <w:rPr>
                <w:rFonts w:hint="eastAsia" w:ascii="Times New Roman" w:hAnsi="Times New Roman" w:eastAsia="宋体"/>
                <w:sz w:val="20"/>
              </w:rPr>
              <w:t>1.0”赎回</w:t>
            </w:r>
            <w:r>
              <w:rPr>
                <w:rFonts w:ascii="Times New Roman" w:hAnsi="Times New Roman" w:eastAsia="宋体"/>
                <w:sz w:val="20"/>
              </w:rPr>
              <w:t xml:space="preserve"> 50% </w:t>
            </w:r>
            <w:r>
              <w:rPr>
                <w:rFonts w:hint="eastAsia" w:ascii="Times New Roman" w:hAnsi="Times New Roman" w:eastAsia="宋体"/>
                <w:sz w:val="20"/>
              </w:rPr>
              <w:t>的股票</w:t>
            </w:r>
          </w:p>
        </w:tc>
        <w:tc>
          <w:p w14:paraId="4215FD49">
            <w:pPr>
              <w:pStyle w:val="26"/>
              <w:spacing w:before="20" w:after="20" w:line="276" w:lineRule="auto"/>
            </w:pPr>
            <w:r>
              <w:rPr>
                <w:rFonts w:hint="eastAsia" w:ascii="Times New Roman" w:hAnsi="Times New Roman" w:eastAsia="宋体"/>
                <w:sz w:val="20"/>
              </w:rPr>
              <w:t>剩余</w:t>
            </w:r>
            <w:r>
              <w:rPr>
                <w:rFonts w:ascii="Times New Roman" w:hAnsi="Times New Roman" w:eastAsia="宋体"/>
                <w:sz w:val="20"/>
              </w:rPr>
              <w:t xml:space="preserve"> 50% </w:t>
            </w:r>
            <w:r>
              <w:rPr>
                <w:rFonts w:hint="eastAsia" w:ascii="Times New Roman" w:hAnsi="Times New Roman" w:eastAsia="宋体"/>
                <w:sz w:val="20"/>
              </w:rPr>
              <w:t>归平安所有</w:t>
            </w:r>
          </w:p>
        </w:tc>
      </w:tr>
      <w:tr w14:paraId="66B6DA3D">
        <w:tblPrEx>
          <w:tblCellMar>
            <w:top w:w="0" w:type="dxa"/>
            <w:left w:w="108" w:type="dxa"/>
            <w:bottom w:w="0" w:type="dxa"/>
            <w:right w:w="108" w:type="dxa"/>
          </w:tblCellMar>
        </w:tblPrEx>
        <w:trPr>
          <w:cantSplit/>
        </w:trPr>
        <w:tc>
          <w:p w14:paraId="7D60639F">
            <w:pPr>
              <w:pStyle w:val="26"/>
              <w:spacing w:before="20" w:after="20" w:line="276" w:lineRule="auto"/>
            </w:pPr>
            <w:r>
              <w:rPr>
                <w:rFonts w:hint="eastAsia" w:ascii="Times New Roman" w:hAnsi="Times New Roman" w:eastAsia="宋体"/>
                <w:sz w:val="20"/>
              </w:rPr>
              <w:t>自交换价反弹</w:t>
            </w:r>
            <w:r>
              <w:rPr>
                <w:rFonts w:ascii="Times New Roman" w:hAnsi="Times New Roman" w:eastAsia="宋体"/>
                <w:sz w:val="20"/>
              </w:rPr>
              <w:t xml:space="preserve"> ≥50%</w:t>
            </w:r>
          </w:p>
        </w:tc>
        <w:tc>
          <w:p w14:paraId="3FE7D122">
            <w:pPr>
              <w:pStyle w:val="26"/>
              <w:spacing w:before="20" w:after="20" w:line="276" w:lineRule="auto"/>
            </w:pPr>
            <w:r>
              <w:rPr>
                <w:rFonts w:hint="eastAsia" w:ascii="Times New Roman" w:hAnsi="Times New Roman" w:eastAsia="宋体"/>
                <w:sz w:val="20"/>
              </w:rPr>
              <w:t>有权以“交换价</w:t>
            </w:r>
            <w:r>
              <w:rPr>
                <w:rFonts w:ascii="Times New Roman" w:hAnsi="Times New Roman" w:eastAsia="宋体"/>
                <w:sz w:val="20"/>
              </w:rPr>
              <w:t xml:space="preserve"> × </w:t>
            </w:r>
            <w:r>
              <w:rPr>
                <w:rFonts w:hint="eastAsia" w:ascii="Times New Roman" w:hAnsi="Times New Roman" w:eastAsia="宋体"/>
                <w:sz w:val="20"/>
              </w:rPr>
              <w:t>1.1”赎回</w:t>
            </w:r>
            <w:r>
              <w:rPr>
                <w:rFonts w:ascii="Times New Roman" w:hAnsi="Times New Roman" w:eastAsia="宋体"/>
                <w:sz w:val="20"/>
              </w:rPr>
              <w:t xml:space="preserve"> 75% </w:t>
            </w:r>
            <w:r>
              <w:rPr>
                <w:rFonts w:hint="eastAsia" w:ascii="Times New Roman" w:hAnsi="Times New Roman" w:eastAsia="宋体"/>
                <w:sz w:val="20"/>
              </w:rPr>
              <w:t>的股票</w:t>
            </w:r>
          </w:p>
        </w:tc>
        <w:tc>
          <w:p w14:paraId="704D4CE7">
            <w:pPr>
              <w:pStyle w:val="26"/>
              <w:spacing w:before="20" w:after="20" w:line="276" w:lineRule="auto"/>
            </w:pPr>
            <w:r>
              <w:rPr>
                <w:rFonts w:hint="eastAsia" w:ascii="Times New Roman" w:hAnsi="Times New Roman" w:eastAsia="宋体"/>
                <w:sz w:val="20"/>
              </w:rPr>
              <w:t>剩余</w:t>
            </w:r>
            <w:r>
              <w:rPr>
                <w:rFonts w:ascii="Times New Roman" w:hAnsi="Times New Roman" w:eastAsia="宋体"/>
                <w:sz w:val="20"/>
              </w:rPr>
              <w:t xml:space="preserve"> 25% </w:t>
            </w:r>
            <w:r>
              <w:rPr>
                <w:rFonts w:hint="eastAsia" w:ascii="Times New Roman" w:hAnsi="Times New Roman" w:eastAsia="宋体"/>
                <w:sz w:val="20"/>
              </w:rPr>
              <w:t>归平安所有</w:t>
            </w:r>
          </w:p>
        </w:tc>
      </w:tr>
      <w:tr w14:paraId="2DBB7F6B">
        <w:tblPrEx>
          <w:tblCellMar>
            <w:top w:w="0" w:type="dxa"/>
            <w:left w:w="108" w:type="dxa"/>
            <w:bottom w:w="0" w:type="dxa"/>
            <w:right w:w="108" w:type="dxa"/>
          </w:tblCellMar>
        </w:tblPrEx>
        <w:trPr>
          <w:cantSplit/>
        </w:trPr>
        <w:tc>
          <w:p w14:paraId="4539ADFF">
            <w:pPr>
              <w:pStyle w:val="26"/>
              <w:spacing w:before="20" w:after="20" w:line="276" w:lineRule="auto"/>
            </w:pPr>
            <w:r>
              <w:rPr>
                <w:rFonts w:hint="eastAsia" w:ascii="Times New Roman" w:hAnsi="Times New Roman" w:eastAsia="宋体"/>
                <w:sz w:val="20"/>
              </w:rPr>
              <w:t>持续下跌或横盘</w:t>
            </w:r>
          </w:p>
        </w:tc>
        <w:tc>
          <w:p w14:paraId="1A8778C7">
            <w:pPr>
              <w:pStyle w:val="26"/>
              <w:spacing w:before="20" w:after="20" w:line="276" w:lineRule="auto"/>
            </w:pPr>
            <w:r>
              <w:rPr>
                <w:rFonts w:hint="eastAsia" w:ascii="Times New Roman" w:hAnsi="Times New Roman" w:eastAsia="宋体"/>
                <w:sz w:val="20"/>
              </w:rPr>
              <w:t>无赎回权</w:t>
            </w:r>
          </w:p>
        </w:tc>
        <w:tc>
          <w:p w14:paraId="18327172">
            <w:pPr>
              <w:pStyle w:val="26"/>
              <w:spacing w:before="20" w:after="20" w:line="276" w:lineRule="auto"/>
            </w:pPr>
            <w:r>
              <w:rPr>
                <w:rFonts w:hint="eastAsia" w:ascii="Times New Roman" w:hAnsi="Times New Roman" w:eastAsia="宋体"/>
                <w:sz w:val="20"/>
              </w:rPr>
              <w:t>继续持有全部股票或择机处置</w:t>
            </w:r>
          </w:p>
        </w:tc>
      </w:tr>
    </w:tbl>
    <w:p w14:paraId="19924ADF">
      <w:pPr>
        <w:pStyle w:val="3"/>
        <w:spacing w:before="40" w:after="40" w:line="360" w:lineRule="auto"/>
        <w:ind w:firstLine="480"/>
      </w:pPr>
      <w:r>
        <w:rPr>
          <w:rFonts w:hint="eastAsia" w:ascii="Times New Roman" w:hAnsi="Times New Roman" w:eastAsia="宋体"/>
          <w:b/>
          <w:bCs/>
          <w:sz w:val="24"/>
        </w:rPr>
        <w:t>示例</w:t>
      </w:r>
      <w:r>
        <w:rPr>
          <w:rFonts w:hint="eastAsia" w:ascii="Times New Roman" w:hAnsi="Times New Roman" w:eastAsia="宋体"/>
          <w:sz w:val="24"/>
        </w:rPr>
        <w:t>：</w:t>
      </w:r>
    </w:p>
    <w:p w14:paraId="46961065">
      <w:pPr>
        <w:pStyle w:val="26"/>
        <w:spacing w:before="40" w:after="40" w:line="360" w:lineRule="auto"/>
        <w:ind w:left="420"/>
      </w:pPr>
      <w:r>
        <w:rPr>
          <w:rFonts w:hint="eastAsia" w:ascii="Times New Roman" w:hAnsi="Times New Roman" w:eastAsia="宋体"/>
          <w:sz w:val="24"/>
        </w:rPr>
        <w:t>交换日Meta股价：$300/股（假设）</w:t>
      </w:r>
    </w:p>
    <w:p w14:paraId="253E746E">
      <w:pPr>
        <w:pStyle w:val="26"/>
        <w:spacing w:before="40" w:after="40" w:line="360" w:lineRule="auto"/>
        <w:ind w:left="420"/>
      </w:pPr>
      <w:r>
        <w:rPr>
          <w:rFonts w:hint="eastAsia" w:ascii="Times New Roman" w:hAnsi="Times New Roman" w:eastAsia="宋体"/>
          <w:sz w:val="24"/>
        </w:rPr>
        <w:t>基金交换1亿元Meta股票，获得8,000万防御性资产</w:t>
      </w:r>
    </w:p>
    <w:p w14:paraId="392320A9">
      <w:pPr>
        <w:pStyle w:val="26"/>
        <w:spacing w:before="40" w:after="40" w:line="360" w:lineRule="auto"/>
        <w:ind w:left="420"/>
      </w:pPr>
      <w:r>
        <w:rPr>
          <w:rFonts w:hint="eastAsia" w:ascii="Times New Roman" w:hAnsi="Times New Roman" w:eastAsia="宋体"/>
          <w:sz w:val="24"/>
        </w:rPr>
        <w:t>1年后Meta反弹至$400/股（涨幅33%）</w:t>
      </w:r>
    </w:p>
    <w:p w14:paraId="23AB82F0">
      <w:pPr>
        <w:pStyle w:val="26"/>
        <w:spacing w:before="40" w:after="40" w:line="360" w:lineRule="auto"/>
        <w:ind w:left="420"/>
      </w:pPr>
      <w:r>
        <w:rPr>
          <w:rFonts w:hint="eastAsia" w:ascii="Times New Roman" w:hAnsi="Times New Roman" w:eastAsia="宋体"/>
          <w:sz w:val="24"/>
        </w:rPr>
        <w:t>基金行使赎回权：以$300/股赎回50%的Meta股票</w:t>
      </w:r>
    </w:p>
    <w:p w14:paraId="58254FE5">
      <w:pPr>
        <w:pStyle w:val="26"/>
        <w:spacing w:before="40" w:after="40" w:line="360" w:lineRule="auto"/>
        <w:ind w:left="420"/>
      </w:pPr>
      <w:r>
        <w:rPr>
          <w:rFonts w:hint="eastAsia" w:ascii="Times New Roman" w:hAnsi="Times New Roman" w:eastAsia="宋体"/>
          <w:sz w:val="24"/>
        </w:rPr>
        <w:t>平安持有剩余50%，账面浮盈33%</w:t>
      </w:r>
    </w:p>
    <w:p w14:paraId="72D95320">
      <w:pPr>
        <w:pStyle w:val="25"/>
        <w:spacing w:before="40" w:after="40" w:line="360" w:lineRule="auto"/>
        <w:ind w:firstLine="480"/>
      </w:pPr>
      <w:r>
        <w:rPr>
          <w:rFonts w:hint="eastAsia" w:ascii="Times New Roman" w:hAnsi="Times New Roman" w:eastAsia="宋体"/>
          <w:b/>
          <w:bCs/>
          <w:sz w:val="24"/>
        </w:rPr>
        <w:t>（4）盈利模式分析</w:t>
      </w:r>
    </w:p>
    <w:p w14:paraId="368F1863">
      <w:pPr>
        <w:pStyle w:val="3"/>
        <w:spacing w:before="40" w:after="40" w:line="360" w:lineRule="auto"/>
        <w:ind w:firstLine="480"/>
      </w:pPr>
      <w:r>
        <w:rPr>
          <w:rFonts w:hint="eastAsia" w:ascii="Times New Roman" w:hAnsi="Times New Roman" w:eastAsia="宋体"/>
          <w:b/>
          <w:bCs/>
          <w:sz w:val="24"/>
        </w:rPr>
        <w:t>平安的收益来源</w:t>
      </w:r>
      <w:r>
        <w:rPr>
          <w:rFonts w:hint="eastAsia" w:ascii="Times New Roman" w:hAnsi="Times New Roman" w:eastAsia="宋体"/>
          <w:sz w:val="24"/>
        </w:rPr>
        <w:t>：</w:t>
      </w:r>
    </w:p>
    <w:tbl>
      <w:tblPr>
        <w:tblStyle w:val="43"/>
        <w:tblW w:w="5000" w:type="pct"/>
        <w:tblInd w:w="0" w:type="dxa"/>
        <w:tblLayout w:type="autofit"/>
        <w:tblCellMar>
          <w:top w:w="0" w:type="dxa"/>
          <w:left w:w="108" w:type="dxa"/>
          <w:bottom w:w="0" w:type="dxa"/>
          <w:right w:w="108" w:type="dxa"/>
        </w:tblCellMar>
      </w:tblPr>
      <w:tblGrid>
        <w:gridCol w:w="2213"/>
        <w:gridCol w:w="3300"/>
        <w:gridCol w:w="3775"/>
      </w:tblGrid>
      <w:tr w14:paraId="652A7212">
        <w:tblPrEx>
          <w:tblCellMar>
            <w:top w:w="0" w:type="dxa"/>
            <w:left w:w="108" w:type="dxa"/>
            <w:bottom w:w="0" w:type="dxa"/>
            <w:right w:w="108" w:type="dxa"/>
          </w:tblCellMar>
        </w:tblPrEx>
        <w:trPr>
          <w:cantSplit/>
          <w:tblHeader/>
        </w:trPr>
        <w:tc>
          <w:p w14:paraId="12B464C0">
            <w:pPr>
              <w:pStyle w:val="26"/>
              <w:spacing w:before="20" w:after="20" w:line="276" w:lineRule="auto"/>
            </w:pPr>
            <w:r>
              <w:rPr>
                <w:rFonts w:hint="eastAsia" w:ascii="Times New Roman" w:hAnsi="Times New Roman" w:eastAsia="宋体"/>
                <w:sz w:val="20"/>
              </w:rPr>
              <w:t>收益来源</w:t>
            </w:r>
          </w:p>
        </w:tc>
        <w:tc>
          <w:p w14:paraId="0F3393D5">
            <w:pPr>
              <w:pStyle w:val="26"/>
              <w:spacing w:before="20" w:after="20" w:line="276" w:lineRule="auto"/>
            </w:pPr>
            <w:r>
              <w:rPr>
                <w:rFonts w:hint="eastAsia" w:ascii="Times New Roman" w:hAnsi="Times New Roman" w:eastAsia="宋体"/>
                <w:sz w:val="20"/>
              </w:rPr>
              <w:t>说明</w:t>
            </w:r>
          </w:p>
        </w:tc>
        <w:tc>
          <w:p w14:paraId="3C26061B">
            <w:pPr>
              <w:pStyle w:val="26"/>
              <w:spacing w:before="20" w:after="20" w:line="276" w:lineRule="auto"/>
            </w:pPr>
            <w:r>
              <w:rPr>
                <w:rFonts w:hint="eastAsia" w:ascii="Times New Roman" w:hAnsi="Times New Roman" w:eastAsia="宋体"/>
                <w:sz w:val="20"/>
              </w:rPr>
              <w:t>预期贡献</w:t>
            </w:r>
          </w:p>
        </w:tc>
      </w:tr>
      <w:tr w14:paraId="4924CA51">
        <w:tblPrEx>
          <w:tblCellMar>
            <w:top w:w="0" w:type="dxa"/>
            <w:left w:w="108" w:type="dxa"/>
            <w:bottom w:w="0" w:type="dxa"/>
            <w:right w:w="108" w:type="dxa"/>
          </w:tblCellMar>
        </w:tblPrEx>
        <w:trPr>
          <w:cantSplit/>
        </w:trPr>
        <w:tc>
          <w:p w14:paraId="6B46B4A7">
            <w:pPr>
              <w:pStyle w:val="26"/>
              <w:spacing w:before="20" w:after="20" w:line="276" w:lineRule="auto"/>
            </w:pPr>
            <w:r>
              <w:rPr>
                <w:rFonts w:hint="eastAsia" w:ascii="Times New Roman" w:hAnsi="Times New Roman" w:eastAsia="宋体"/>
                <w:sz w:val="20"/>
              </w:rPr>
              <w:t>保费收入</w:t>
            </w:r>
          </w:p>
        </w:tc>
        <w:tc>
          <w:p w14:paraId="03631E39">
            <w:pPr>
              <w:pStyle w:val="26"/>
              <w:spacing w:before="20" w:after="20" w:line="276" w:lineRule="auto"/>
            </w:pPr>
            <w:r>
              <w:rPr>
                <w:rFonts w:hint="eastAsia" w:ascii="Times New Roman" w:hAnsi="Times New Roman" w:eastAsia="宋体"/>
                <w:sz w:val="20"/>
              </w:rPr>
              <w:t>DMVI/ESI的年保费</w:t>
            </w:r>
          </w:p>
        </w:tc>
        <w:tc>
          <w:p w14:paraId="24DB009F">
            <w:pPr>
              <w:pStyle w:val="26"/>
              <w:spacing w:before="20" w:after="20" w:line="276" w:lineRule="auto"/>
            </w:pPr>
            <w:r>
              <w:rPr>
                <w:rFonts w:hint="eastAsia" w:ascii="Times New Roman" w:hAnsi="Times New Roman" w:eastAsia="宋体"/>
                <w:sz w:val="20"/>
              </w:rPr>
              <w:t>基础收益</w:t>
            </w:r>
          </w:p>
        </w:tc>
      </w:tr>
      <w:tr w14:paraId="46EDBCDE">
        <w:tblPrEx>
          <w:tblCellMar>
            <w:top w:w="0" w:type="dxa"/>
            <w:left w:w="108" w:type="dxa"/>
            <w:bottom w:w="0" w:type="dxa"/>
            <w:right w:w="108" w:type="dxa"/>
          </w:tblCellMar>
        </w:tblPrEx>
        <w:trPr>
          <w:cantSplit/>
        </w:trPr>
        <w:tc>
          <w:p w14:paraId="636250EF">
            <w:pPr>
              <w:pStyle w:val="26"/>
              <w:spacing w:before="20" w:after="20" w:line="276" w:lineRule="auto"/>
            </w:pPr>
            <w:r>
              <w:rPr>
                <w:rFonts w:hint="eastAsia" w:ascii="Times New Roman" w:hAnsi="Times New Roman" w:eastAsia="宋体"/>
                <w:sz w:val="20"/>
              </w:rPr>
              <w:t>交换折价</w:t>
            </w:r>
          </w:p>
        </w:tc>
        <w:tc>
          <w:p w14:paraId="57CAB66D">
            <w:pPr>
              <w:pStyle w:val="26"/>
              <w:spacing w:before="20" w:after="20" w:line="276" w:lineRule="auto"/>
            </w:pPr>
            <w:r>
              <w:rPr>
                <w:rFonts w:hint="eastAsia" w:ascii="Times New Roman" w:hAnsi="Times New Roman" w:eastAsia="宋体"/>
                <w:sz w:val="20"/>
              </w:rPr>
              <w:t>以0.8:1比例获得股票</w:t>
            </w:r>
          </w:p>
        </w:tc>
        <w:tc>
          <w:p w14:paraId="3C69CB08">
            <w:pPr>
              <w:pStyle w:val="26"/>
              <w:spacing w:before="20" w:after="20" w:line="276" w:lineRule="auto"/>
            </w:pPr>
            <w:r>
              <w:rPr>
                <w:rFonts w:hint="eastAsia" w:ascii="Times New Roman" w:hAnsi="Times New Roman" w:eastAsia="宋体"/>
                <w:sz w:val="20"/>
              </w:rPr>
              <w:t>安全垫（20%折价）</w:t>
            </w:r>
          </w:p>
        </w:tc>
      </w:tr>
      <w:tr w14:paraId="1C24C960">
        <w:tblPrEx>
          <w:tblCellMar>
            <w:top w:w="0" w:type="dxa"/>
            <w:left w:w="108" w:type="dxa"/>
            <w:bottom w:w="0" w:type="dxa"/>
            <w:right w:w="108" w:type="dxa"/>
          </w:tblCellMar>
        </w:tblPrEx>
        <w:trPr>
          <w:cantSplit/>
        </w:trPr>
        <w:tc>
          <w:p w14:paraId="705F77F3">
            <w:pPr>
              <w:pStyle w:val="26"/>
              <w:spacing w:before="20" w:after="20" w:line="276" w:lineRule="auto"/>
            </w:pPr>
            <w:r>
              <w:rPr>
                <w:rFonts w:hint="eastAsia" w:ascii="Times New Roman" w:hAnsi="Times New Roman" w:eastAsia="宋体"/>
                <w:sz w:val="20"/>
              </w:rPr>
              <w:t>长期股权增值</w:t>
            </w:r>
          </w:p>
        </w:tc>
        <w:tc>
          <w:p w14:paraId="13B64C91">
            <w:pPr>
              <w:pStyle w:val="26"/>
              <w:spacing w:before="20" w:after="20" w:line="276" w:lineRule="auto"/>
            </w:pPr>
            <w:r>
              <w:rPr>
                <w:rFonts w:hint="eastAsia" w:ascii="Times New Roman" w:hAnsi="Times New Roman" w:eastAsia="宋体"/>
                <w:sz w:val="20"/>
              </w:rPr>
              <w:t>持有科技股2-3年</w:t>
            </w:r>
          </w:p>
        </w:tc>
        <w:tc>
          <w:p w14:paraId="48004CB8">
            <w:pPr>
              <w:pStyle w:val="26"/>
              <w:spacing w:before="20" w:after="20" w:line="276" w:lineRule="auto"/>
            </w:pPr>
            <w:r>
              <w:rPr>
                <w:rFonts w:hint="eastAsia" w:ascii="Times New Roman" w:hAnsi="Times New Roman" w:eastAsia="宋体"/>
                <w:sz w:val="20"/>
              </w:rPr>
              <w:t>超额收益（取决于选股）</w:t>
            </w:r>
          </w:p>
        </w:tc>
      </w:tr>
      <w:tr w14:paraId="34F72944">
        <w:tblPrEx>
          <w:tblCellMar>
            <w:top w:w="0" w:type="dxa"/>
            <w:left w:w="108" w:type="dxa"/>
            <w:bottom w:w="0" w:type="dxa"/>
            <w:right w:w="108" w:type="dxa"/>
          </w:tblCellMar>
        </w:tblPrEx>
        <w:trPr>
          <w:cantSplit/>
        </w:trPr>
        <w:tc>
          <w:p w14:paraId="5F5ED9AD">
            <w:pPr>
              <w:pStyle w:val="26"/>
              <w:spacing w:before="20" w:after="20" w:line="276" w:lineRule="auto"/>
            </w:pPr>
            <w:r>
              <w:rPr>
                <w:rFonts w:hint="eastAsia" w:ascii="Times New Roman" w:hAnsi="Times New Roman" w:eastAsia="宋体"/>
                <w:sz w:val="20"/>
              </w:rPr>
              <w:t>管理费</w:t>
            </w:r>
          </w:p>
        </w:tc>
        <w:tc>
          <w:p w14:paraId="566535AA">
            <w:pPr>
              <w:pStyle w:val="26"/>
              <w:spacing w:before="20" w:after="20" w:line="276" w:lineRule="auto"/>
            </w:pPr>
            <w:r>
              <w:rPr>
                <w:rFonts w:hint="eastAsia" w:ascii="Times New Roman" w:hAnsi="Times New Roman" w:eastAsia="宋体"/>
                <w:sz w:val="20"/>
              </w:rPr>
              <w:t>防御性资产配置服务</w:t>
            </w:r>
          </w:p>
        </w:tc>
        <w:tc>
          <w:p w14:paraId="43D93C50">
            <w:pPr>
              <w:pStyle w:val="26"/>
              <w:spacing w:before="20" w:after="20" w:line="276" w:lineRule="auto"/>
            </w:pPr>
            <w:r>
              <w:rPr>
                <w:rFonts w:hint="eastAsia" w:ascii="Times New Roman" w:hAnsi="Times New Roman" w:eastAsia="宋体"/>
                <w:sz w:val="20"/>
              </w:rPr>
              <w:t>稳定收益</w:t>
            </w:r>
          </w:p>
        </w:tc>
      </w:tr>
    </w:tbl>
    <w:p w14:paraId="19DA6AEC">
      <w:pPr>
        <w:pStyle w:val="3"/>
        <w:spacing w:before="40" w:after="40" w:line="360" w:lineRule="auto"/>
        <w:ind w:firstLine="480"/>
      </w:pPr>
      <w:r>
        <w:rPr>
          <w:rFonts w:hint="eastAsia" w:ascii="Times New Roman" w:hAnsi="Times New Roman" w:eastAsia="宋体"/>
          <w:b/>
          <w:bCs/>
          <w:sz w:val="24"/>
        </w:rPr>
        <w:t>盈利情景模拟</w:t>
      </w:r>
      <w:r>
        <w:rPr>
          <w:rFonts w:hint="eastAsia" w:ascii="Times New Roman" w:hAnsi="Times New Roman" w:eastAsia="宋体"/>
          <w:sz w:val="24"/>
        </w:rPr>
        <w:t>：</w:t>
      </w:r>
    </w:p>
    <w:tbl>
      <w:tblPr>
        <w:tblStyle w:val="43"/>
        <w:tblW w:w="5000" w:type="pct"/>
        <w:tblInd w:w="0" w:type="dxa"/>
        <w:tblLayout w:type="fixed"/>
        <w:tblCellMar>
          <w:top w:w="0" w:type="dxa"/>
          <w:left w:w="108" w:type="dxa"/>
          <w:bottom w:w="0" w:type="dxa"/>
          <w:right w:w="108" w:type="dxa"/>
        </w:tblCellMar>
      </w:tblPr>
      <w:tblGrid>
        <w:gridCol w:w="2533"/>
        <w:gridCol w:w="2533"/>
        <w:gridCol w:w="4222"/>
      </w:tblGrid>
      <w:tr w14:paraId="5AA16DF0">
        <w:tblPrEx>
          <w:tblCellMar>
            <w:top w:w="0" w:type="dxa"/>
            <w:left w:w="108" w:type="dxa"/>
            <w:bottom w:w="0" w:type="dxa"/>
            <w:right w:w="108" w:type="dxa"/>
          </w:tblCellMar>
        </w:tblPrEx>
        <w:trPr>
          <w:cantSplit/>
          <w:tblHeader/>
        </w:trPr>
        <w:tc>
          <w:p w14:paraId="54D39FE5">
            <w:pPr>
              <w:pStyle w:val="26"/>
              <w:spacing w:before="20" w:after="20" w:line="276" w:lineRule="auto"/>
            </w:pPr>
            <w:r>
              <w:rPr>
                <w:rFonts w:hint="eastAsia" w:ascii="Times New Roman" w:hAnsi="Times New Roman" w:eastAsia="宋体"/>
                <w:sz w:val="20"/>
              </w:rPr>
              <w:t>情景</w:t>
            </w:r>
          </w:p>
        </w:tc>
        <w:tc>
          <w:p w14:paraId="302DA1D8">
            <w:pPr>
              <w:pStyle w:val="26"/>
              <w:spacing w:before="20" w:after="20" w:line="276" w:lineRule="auto"/>
            </w:pPr>
            <w:r>
              <w:rPr>
                <w:rFonts w:hint="eastAsia" w:ascii="Times New Roman" w:hAnsi="Times New Roman" w:eastAsia="宋体"/>
                <w:sz w:val="20"/>
              </w:rPr>
              <w:t>过程</w:t>
            </w:r>
          </w:p>
        </w:tc>
        <w:tc>
          <w:p w14:paraId="75CB8B8A">
            <w:pPr>
              <w:pStyle w:val="26"/>
              <w:spacing w:before="20" w:after="20" w:line="276" w:lineRule="auto"/>
            </w:pPr>
            <w:r>
              <w:rPr>
                <w:rFonts w:hint="eastAsia" w:ascii="Times New Roman" w:hAnsi="Times New Roman" w:eastAsia="宋体"/>
                <w:sz w:val="20"/>
              </w:rPr>
              <w:t>平安损益</w:t>
            </w:r>
          </w:p>
        </w:tc>
      </w:tr>
      <w:tr w14:paraId="5631A752">
        <w:tblPrEx>
          <w:tblCellMar>
            <w:top w:w="0" w:type="dxa"/>
            <w:left w:w="108" w:type="dxa"/>
            <w:bottom w:w="0" w:type="dxa"/>
            <w:right w:w="108" w:type="dxa"/>
          </w:tblCellMar>
        </w:tblPrEx>
        <w:trPr>
          <w:cantSplit/>
        </w:trPr>
        <w:tc>
          <w:p w14:paraId="31673DF7">
            <w:pPr>
              <w:pStyle w:val="26"/>
              <w:spacing w:before="20" w:after="20" w:line="276" w:lineRule="auto"/>
            </w:pPr>
            <w:r>
              <w:rPr>
                <w:rFonts w:hint="eastAsia" w:ascii="Times New Roman" w:hAnsi="Times New Roman" w:eastAsia="宋体"/>
                <w:sz w:val="20"/>
              </w:rPr>
              <w:t>情景一：Meta</w:t>
            </w:r>
            <w:r>
              <w:rPr>
                <w:rFonts w:ascii="Times New Roman" w:hAnsi="Times New Roman" w:eastAsia="宋体"/>
                <w:sz w:val="20"/>
              </w:rPr>
              <w:t xml:space="preserve"> </w:t>
            </w:r>
            <w:r>
              <w:rPr>
                <w:rFonts w:hint="eastAsia" w:ascii="Times New Roman" w:hAnsi="Times New Roman" w:eastAsia="宋体"/>
                <w:sz w:val="20"/>
              </w:rPr>
              <w:t>交换后反弹</w:t>
            </w:r>
            <w:r>
              <w:rPr>
                <w:rFonts w:ascii="Times New Roman" w:hAnsi="Times New Roman" w:eastAsia="宋体"/>
                <w:sz w:val="20"/>
              </w:rPr>
              <w:t xml:space="preserve"> 50%</w:t>
            </w:r>
          </w:p>
        </w:tc>
        <w:tc>
          <w:p w14:paraId="58E71745">
            <w:pPr>
              <w:pStyle w:val="26"/>
              <w:spacing w:before="20" w:after="20" w:line="276" w:lineRule="auto"/>
            </w:pPr>
            <w:r>
              <w:rPr>
                <w:rFonts w:hint="eastAsia" w:ascii="Times New Roman" w:hAnsi="Times New Roman" w:eastAsia="宋体"/>
                <w:sz w:val="20"/>
              </w:rPr>
              <w:t>平安以</w:t>
            </w:r>
            <w:r>
              <w:rPr>
                <w:rFonts w:ascii="Times New Roman" w:hAnsi="Times New Roman" w:eastAsia="宋体"/>
                <w:sz w:val="20"/>
              </w:rPr>
              <w:t xml:space="preserve"> 8,000 </w:t>
            </w:r>
            <w:r>
              <w:rPr>
                <w:rFonts w:hint="eastAsia" w:ascii="Times New Roman" w:hAnsi="Times New Roman" w:eastAsia="宋体"/>
                <w:sz w:val="20"/>
              </w:rPr>
              <w:t>万成本获得</w:t>
            </w:r>
            <w:r>
              <w:rPr>
                <w:rFonts w:ascii="Times New Roman" w:hAnsi="Times New Roman" w:eastAsia="宋体"/>
                <w:sz w:val="20"/>
              </w:rPr>
              <w:t xml:space="preserve"> 1 </w:t>
            </w:r>
            <w:r>
              <w:rPr>
                <w:rFonts w:hint="eastAsia" w:ascii="Times New Roman" w:hAnsi="Times New Roman" w:eastAsia="宋体"/>
                <w:sz w:val="20"/>
              </w:rPr>
              <w:t>亿市值</w:t>
            </w:r>
            <w:r>
              <w:rPr>
                <w:rFonts w:ascii="Times New Roman" w:hAnsi="Times New Roman" w:eastAsia="宋体"/>
                <w:sz w:val="20"/>
              </w:rPr>
              <w:t xml:space="preserve"> Meta </w:t>
            </w:r>
            <w:r>
              <w:rPr>
                <w:rFonts w:hint="eastAsia" w:ascii="Times New Roman" w:hAnsi="Times New Roman" w:eastAsia="宋体"/>
                <w:sz w:val="20"/>
              </w:rPr>
              <w:t>股票；基金赎回</w:t>
            </w:r>
            <w:r>
              <w:rPr>
                <w:rFonts w:ascii="Times New Roman" w:hAnsi="Times New Roman" w:eastAsia="宋体"/>
                <w:sz w:val="20"/>
              </w:rPr>
              <w:t xml:space="preserve"> </w:t>
            </w:r>
            <w:r>
              <w:rPr>
                <w:rFonts w:hint="eastAsia" w:ascii="Times New Roman" w:hAnsi="Times New Roman" w:eastAsia="宋体"/>
                <w:sz w:val="20"/>
              </w:rPr>
              <w:t>75%，平安保留</w:t>
            </w:r>
            <w:r>
              <w:rPr>
                <w:rFonts w:ascii="Times New Roman" w:hAnsi="Times New Roman" w:eastAsia="宋体"/>
                <w:sz w:val="20"/>
              </w:rPr>
              <w:t xml:space="preserve"> </w:t>
            </w:r>
            <w:r>
              <w:rPr>
                <w:rFonts w:hint="eastAsia" w:ascii="Times New Roman" w:hAnsi="Times New Roman" w:eastAsia="宋体"/>
                <w:sz w:val="20"/>
              </w:rPr>
              <w:t>25%（价值</w:t>
            </w:r>
            <w:r>
              <w:rPr>
                <w:rFonts w:ascii="Times New Roman" w:hAnsi="Times New Roman" w:eastAsia="宋体"/>
                <w:sz w:val="20"/>
              </w:rPr>
              <w:t xml:space="preserve"> 2,500 </w:t>
            </w:r>
            <w:r>
              <w:rPr>
                <w:rFonts w:hint="eastAsia" w:ascii="Times New Roman" w:hAnsi="Times New Roman" w:eastAsia="宋体"/>
                <w:sz w:val="20"/>
              </w:rPr>
              <w:t>万）</w:t>
            </w:r>
          </w:p>
        </w:tc>
        <w:tc>
          <w:p w14:paraId="5EEB835C">
            <w:pPr>
              <w:pStyle w:val="26"/>
              <w:spacing w:before="20" w:after="20" w:line="276" w:lineRule="auto"/>
            </w:pPr>
            <w:r>
              <w:rPr>
                <w:rFonts w:hint="eastAsia" w:ascii="Times New Roman" w:hAnsi="Times New Roman" w:eastAsia="宋体"/>
                <w:sz w:val="20"/>
              </w:rPr>
              <w:t>保费</w:t>
            </w:r>
            <w:r>
              <w:rPr>
                <w:rFonts w:ascii="Times New Roman" w:hAnsi="Times New Roman" w:eastAsia="宋体"/>
                <w:sz w:val="20"/>
              </w:rPr>
              <w:t xml:space="preserve"> </w:t>
            </w:r>
            <w:r>
              <w:rPr>
                <w:rFonts w:hint="eastAsia" w:ascii="Times New Roman" w:hAnsi="Times New Roman" w:eastAsia="宋体"/>
                <w:sz w:val="20"/>
              </w:rPr>
              <w:t>+（2,500</w:t>
            </w:r>
            <w:r>
              <w:rPr>
                <w:rFonts w:ascii="Times New Roman" w:hAnsi="Times New Roman" w:eastAsia="宋体"/>
                <w:sz w:val="20"/>
              </w:rPr>
              <w:t xml:space="preserve"> </w:t>
            </w:r>
            <w:r>
              <w:rPr>
                <w:rFonts w:hint="eastAsia" w:ascii="Times New Roman" w:hAnsi="Times New Roman" w:eastAsia="宋体"/>
                <w:sz w:val="20"/>
              </w:rPr>
              <w:t>万</w:t>
            </w:r>
            <w:r>
              <w:rPr>
                <w:rFonts w:ascii="Times New Roman" w:hAnsi="Times New Roman" w:eastAsia="宋体"/>
                <w:sz w:val="20"/>
              </w:rPr>
              <w:t xml:space="preserve"> − 2,000 </w:t>
            </w:r>
            <w:r>
              <w:rPr>
                <w:rFonts w:hint="eastAsia" w:ascii="Times New Roman" w:hAnsi="Times New Roman" w:eastAsia="宋体"/>
                <w:sz w:val="20"/>
              </w:rPr>
              <w:t>万成本）=</w:t>
            </w:r>
            <w:r>
              <w:rPr>
                <w:rFonts w:ascii="Times New Roman" w:hAnsi="Times New Roman" w:eastAsia="宋体"/>
                <w:sz w:val="20"/>
              </w:rPr>
              <w:t xml:space="preserve"> </w:t>
            </w:r>
            <w:r>
              <w:rPr>
                <w:rFonts w:hint="eastAsia" w:ascii="Times New Roman" w:hAnsi="Times New Roman" w:eastAsia="宋体"/>
                <w:sz w:val="20"/>
              </w:rPr>
              <w:t>保费</w:t>
            </w:r>
            <w:r>
              <w:rPr>
                <w:rFonts w:ascii="Times New Roman" w:hAnsi="Times New Roman" w:eastAsia="宋体"/>
                <w:sz w:val="20"/>
              </w:rPr>
              <w:t xml:space="preserve"> + 500 </w:t>
            </w:r>
            <w:r>
              <w:rPr>
                <w:rFonts w:hint="eastAsia" w:ascii="Times New Roman" w:hAnsi="Times New Roman" w:eastAsia="宋体"/>
                <w:sz w:val="20"/>
              </w:rPr>
              <w:t>万</w:t>
            </w:r>
          </w:p>
        </w:tc>
      </w:tr>
      <w:tr w14:paraId="4AE04DDF">
        <w:tblPrEx>
          <w:tblCellMar>
            <w:top w:w="0" w:type="dxa"/>
            <w:left w:w="108" w:type="dxa"/>
            <w:bottom w:w="0" w:type="dxa"/>
            <w:right w:w="108" w:type="dxa"/>
          </w:tblCellMar>
        </w:tblPrEx>
        <w:trPr>
          <w:cantSplit/>
        </w:trPr>
        <w:tc>
          <w:p w14:paraId="53E2729D">
            <w:pPr>
              <w:pStyle w:val="26"/>
              <w:spacing w:before="20" w:after="20" w:line="276" w:lineRule="auto"/>
            </w:pPr>
            <w:r>
              <w:rPr>
                <w:rFonts w:hint="eastAsia" w:ascii="Times New Roman" w:hAnsi="Times New Roman" w:eastAsia="宋体"/>
                <w:sz w:val="20"/>
              </w:rPr>
              <w:t>情景二：Meta</w:t>
            </w:r>
            <w:r>
              <w:rPr>
                <w:rFonts w:ascii="Times New Roman" w:hAnsi="Times New Roman" w:eastAsia="宋体"/>
                <w:sz w:val="20"/>
              </w:rPr>
              <w:t xml:space="preserve"> </w:t>
            </w:r>
            <w:r>
              <w:rPr>
                <w:rFonts w:hint="eastAsia" w:ascii="Times New Roman" w:hAnsi="Times New Roman" w:eastAsia="宋体"/>
                <w:sz w:val="20"/>
              </w:rPr>
              <w:t>交换后继续下跌</w:t>
            </w:r>
            <w:r>
              <w:rPr>
                <w:rFonts w:ascii="Times New Roman" w:hAnsi="Times New Roman" w:eastAsia="宋体"/>
                <w:sz w:val="20"/>
              </w:rPr>
              <w:t xml:space="preserve"> 30%</w:t>
            </w:r>
          </w:p>
        </w:tc>
        <w:tc>
          <w:p w14:paraId="3372A3CB">
            <w:pPr>
              <w:pStyle w:val="26"/>
              <w:spacing w:before="20" w:after="20" w:line="276" w:lineRule="auto"/>
            </w:pPr>
            <w:r>
              <w:rPr>
                <w:rFonts w:hint="eastAsia" w:ascii="Times New Roman" w:hAnsi="Times New Roman" w:eastAsia="宋体"/>
                <w:sz w:val="20"/>
              </w:rPr>
              <w:t>基金不行使赎回权；股票市值降至</w:t>
            </w:r>
            <w:r>
              <w:rPr>
                <w:rFonts w:ascii="Times New Roman" w:hAnsi="Times New Roman" w:eastAsia="宋体"/>
                <w:sz w:val="20"/>
              </w:rPr>
              <w:t xml:space="preserve"> 7,000 </w:t>
            </w:r>
            <w:r>
              <w:rPr>
                <w:rFonts w:hint="eastAsia" w:ascii="Times New Roman" w:hAnsi="Times New Roman" w:eastAsia="宋体"/>
                <w:sz w:val="20"/>
              </w:rPr>
              <w:t>万</w:t>
            </w:r>
          </w:p>
        </w:tc>
        <w:tc>
          <w:p w14:paraId="77AF3F05">
            <w:pPr>
              <w:pStyle w:val="26"/>
              <w:spacing w:before="20" w:after="20" w:line="276" w:lineRule="auto"/>
            </w:pPr>
            <w:r>
              <w:rPr>
                <w:rFonts w:hint="eastAsia" w:ascii="Times New Roman" w:hAnsi="Times New Roman" w:eastAsia="宋体"/>
                <w:sz w:val="20"/>
              </w:rPr>
              <w:t>账面浮亏</w:t>
            </w:r>
            <w:r>
              <w:rPr>
                <w:rFonts w:ascii="Times New Roman" w:hAnsi="Times New Roman" w:eastAsia="宋体"/>
                <w:sz w:val="20"/>
              </w:rPr>
              <w:t xml:space="preserve"> 7,000 </w:t>
            </w:r>
            <w:r>
              <w:rPr>
                <w:rFonts w:hint="eastAsia" w:ascii="Times New Roman" w:hAnsi="Times New Roman" w:eastAsia="宋体"/>
                <w:sz w:val="20"/>
              </w:rPr>
              <w:t>万</w:t>
            </w:r>
            <w:r>
              <w:rPr>
                <w:rFonts w:ascii="Times New Roman" w:hAnsi="Times New Roman" w:eastAsia="宋体"/>
                <w:sz w:val="20"/>
              </w:rPr>
              <w:t xml:space="preserve"> − 8,000 </w:t>
            </w:r>
            <w:r>
              <w:rPr>
                <w:rFonts w:hint="eastAsia" w:ascii="Times New Roman" w:hAnsi="Times New Roman" w:eastAsia="宋体"/>
                <w:sz w:val="20"/>
              </w:rPr>
              <w:t>万</w:t>
            </w:r>
            <w:r>
              <w:rPr>
                <w:rFonts w:ascii="Times New Roman" w:hAnsi="Times New Roman" w:eastAsia="宋体"/>
                <w:sz w:val="20"/>
              </w:rPr>
              <w:t xml:space="preserve"> = −1,000 </w:t>
            </w:r>
            <w:r>
              <w:rPr>
                <w:rFonts w:hint="eastAsia" w:ascii="Times New Roman" w:hAnsi="Times New Roman" w:eastAsia="宋体"/>
                <w:sz w:val="20"/>
              </w:rPr>
              <w:t>万，但已收取保费与管理费，且可通过分散投资对冲</w:t>
            </w:r>
          </w:p>
        </w:tc>
      </w:tr>
      <w:tr w14:paraId="329DEA52">
        <w:tblPrEx>
          <w:tblCellMar>
            <w:top w:w="0" w:type="dxa"/>
            <w:left w:w="108" w:type="dxa"/>
            <w:bottom w:w="0" w:type="dxa"/>
            <w:right w:w="108" w:type="dxa"/>
          </w:tblCellMar>
        </w:tblPrEx>
        <w:trPr>
          <w:cantSplit/>
        </w:trPr>
        <w:tc>
          <w:p w14:paraId="231021D3">
            <w:pPr>
              <w:pStyle w:val="26"/>
              <w:spacing w:before="20" w:after="20" w:line="276" w:lineRule="auto"/>
            </w:pPr>
            <w:r>
              <w:rPr>
                <w:rFonts w:hint="eastAsia" w:ascii="Times New Roman" w:hAnsi="Times New Roman" w:eastAsia="宋体"/>
                <w:sz w:val="20"/>
              </w:rPr>
              <w:t>情景三：Meta</w:t>
            </w:r>
            <w:r>
              <w:rPr>
                <w:rFonts w:ascii="Times New Roman" w:hAnsi="Times New Roman" w:eastAsia="宋体"/>
                <w:sz w:val="20"/>
              </w:rPr>
              <w:t xml:space="preserve"> </w:t>
            </w:r>
            <w:r>
              <w:rPr>
                <w:rFonts w:hint="eastAsia" w:ascii="Times New Roman" w:hAnsi="Times New Roman" w:eastAsia="宋体"/>
                <w:sz w:val="20"/>
              </w:rPr>
              <w:t>交换后横盘</w:t>
            </w:r>
            <w:r>
              <w:rPr>
                <w:rFonts w:ascii="Times New Roman" w:hAnsi="Times New Roman" w:eastAsia="宋体"/>
                <w:sz w:val="20"/>
              </w:rPr>
              <w:t xml:space="preserve"> 2 </w:t>
            </w:r>
            <w:r>
              <w:rPr>
                <w:rFonts w:hint="eastAsia" w:ascii="Times New Roman" w:hAnsi="Times New Roman" w:eastAsia="宋体"/>
                <w:sz w:val="20"/>
              </w:rPr>
              <w:t>年</w:t>
            </w:r>
          </w:p>
        </w:tc>
        <w:tc>
          <w:p w14:paraId="64E0610B">
            <w:pPr>
              <w:pStyle w:val="26"/>
              <w:spacing w:before="20" w:after="20" w:line="276" w:lineRule="auto"/>
            </w:pPr>
            <w:r>
              <w:rPr>
                <w:rFonts w:hint="eastAsia" w:ascii="Times New Roman" w:hAnsi="Times New Roman" w:eastAsia="宋体"/>
                <w:sz w:val="20"/>
              </w:rPr>
              <w:t>平安持有股票并收取股息，2</w:t>
            </w:r>
            <w:r>
              <w:rPr>
                <w:rFonts w:ascii="Times New Roman" w:hAnsi="Times New Roman" w:eastAsia="宋体"/>
                <w:sz w:val="20"/>
              </w:rPr>
              <w:t xml:space="preserve"> </w:t>
            </w:r>
            <w:r>
              <w:rPr>
                <w:rFonts w:hint="eastAsia" w:ascii="Times New Roman" w:hAnsi="Times New Roman" w:eastAsia="宋体"/>
                <w:sz w:val="20"/>
              </w:rPr>
              <w:t>年后择机处置</w:t>
            </w:r>
          </w:p>
        </w:tc>
        <w:tc>
          <w:p w14:paraId="70C2BC8B">
            <w:pPr>
              <w:pStyle w:val="26"/>
              <w:spacing w:before="20" w:after="20" w:line="276" w:lineRule="auto"/>
            </w:pPr>
            <w:r>
              <w:rPr>
                <w:rFonts w:hint="eastAsia" w:ascii="Times New Roman" w:hAnsi="Times New Roman" w:eastAsia="宋体"/>
                <w:sz w:val="20"/>
              </w:rPr>
              <w:t>盈亏取决于处置时点；管理费持续收取</w:t>
            </w:r>
          </w:p>
        </w:tc>
      </w:tr>
    </w:tbl>
    <w:p w14:paraId="174F15FA">
      <w:pPr>
        <w:pStyle w:val="3"/>
        <w:spacing w:before="40" w:after="40" w:line="360" w:lineRule="auto"/>
        <w:ind w:firstLine="480"/>
      </w:pPr>
      <w:r>
        <w:rPr>
          <w:rFonts w:hint="eastAsia" w:ascii="Times New Roman" w:hAnsi="Times New Roman" w:eastAsia="宋体"/>
          <w:b/>
          <w:bCs/>
          <w:sz w:val="24"/>
        </w:rPr>
        <w:t>风险控制</w:t>
      </w:r>
      <w:r>
        <w:rPr>
          <w:rFonts w:hint="eastAsia" w:ascii="Times New Roman" w:hAnsi="Times New Roman" w:eastAsia="宋体"/>
          <w:sz w:val="24"/>
        </w:rPr>
        <w:t>：</w:t>
      </w:r>
    </w:p>
    <w:p w14:paraId="0F9A2742">
      <w:pPr>
        <w:pStyle w:val="26"/>
        <w:spacing w:before="40" w:after="40" w:line="360" w:lineRule="auto"/>
        <w:ind w:left="420"/>
      </w:pPr>
      <w:r>
        <w:rPr>
          <w:rFonts w:hint="eastAsia" w:ascii="Times New Roman" w:hAnsi="Times New Roman" w:eastAsia="宋体"/>
          <w:b/>
          <w:bCs/>
          <w:sz w:val="24"/>
        </w:rPr>
        <w:t>分散投资</w:t>
      </w:r>
      <w:r>
        <w:rPr>
          <w:rFonts w:hint="eastAsia" w:ascii="Times New Roman" w:hAnsi="Times New Roman" w:eastAsia="宋体"/>
          <w:sz w:val="24"/>
        </w:rPr>
        <w:t>：单只科技股交换不超过总保额的10%</w:t>
      </w:r>
    </w:p>
    <w:p w14:paraId="08511D84">
      <w:pPr>
        <w:pStyle w:val="26"/>
        <w:spacing w:before="40" w:after="40" w:line="360" w:lineRule="auto"/>
        <w:ind w:left="420"/>
      </w:pPr>
      <w:r>
        <w:rPr>
          <w:rFonts w:hint="eastAsia" w:ascii="Times New Roman" w:hAnsi="Times New Roman" w:eastAsia="宋体"/>
          <w:b/>
          <w:bCs/>
          <w:sz w:val="24"/>
        </w:rPr>
        <w:t>行业分散</w:t>
      </w:r>
      <w:r>
        <w:rPr>
          <w:rFonts w:hint="eastAsia" w:ascii="Times New Roman" w:hAnsi="Times New Roman" w:eastAsia="宋体"/>
          <w:sz w:val="24"/>
        </w:rPr>
        <w:t>：同时覆盖AI芯片、云服务、SaaS等多个子行业</w:t>
      </w:r>
    </w:p>
    <w:p w14:paraId="27B63B43">
      <w:pPr>
        <w:pStyle w:val="26"/>
        <w:spacing w:before="40" w:after="40" w:line="360" w:lineRule="auto"/>
        <w:ind w:left="420"/>
      </w:pPr>
      <w:r>
        <w:rPr>
          <w:rFonts w:hint="eastAsia" w:ascii="Times New Roman" w:hAnsi="Times New Roman" w:eastAsia="宋体"/>
          <w:b/>
          <w:bCs/>
          <w:sz w:val="24"/>
        </w:rPr>
        <w:t>动态对冲</w:t>
      </w:r>
      <w:r>
        <w:rPr>
          <w:rFonts w:hint="eastAsia" w:ascii="Times New Roman" w:hAnsi="Times New Roman" w:eastAsia="宋体"/>
          <w:sz w:val="24"/>
        </w:rPr>
        <w:t>：平安可通过股指期货对冲系统性风险</w:t>
      </w:r>
    </w:p>
    <w:p w14:paraId="180912CE">
      <w:pPr>
        <w:pStyle w:val="26"/>
        <w:spacing w:before="40" w:after="40" w:line="360" w:lineRule="auto"/>
        <w:ind w:left="420"/>
      </w:pPr>
      <w:r>
        <w:rPr>
          <w:rFonts w:hint="eastAsia" w:ascii="Times New Roman" w:hAnsi="Times New Roman" w:eastAsia="宋体"/>
          <w:b/>
          <w:bCs/>
          <w:sz w:val="24"/>
        </w:rPr>
        <w:t>止损线</w:t>
      </w:r>
      <w:r>
        <w:rPr>
          <w:rFonts w:hint="eastAsia" w:ascii="Times New Roman" w:hAnsi="Times New Roman" w:eastAsia="宋体"/>
          <w:sz w:val="24"/>
        </w:rPr>
        <w:t>：单只股票浮亏超过30%时，强制平仓或转售</w:t>
      </w:r>
    </w:p>
    <w:p w14:paraId="6C32C87A">
      <w:pPr>
        <w:pStyle w:val="25"/>
        <w:spacing w:before="40" w:after="40" w:line="360" w:lineRule="auto"/>
        <w:ind w:firstLine="480"/>
      </w:pPr>
      <w:r>
        <w:rPr>
          <w:rFonts w:hint="eastAsia" w:ascii="Times New Roman" w:hAnsi="Times New Roman" w:eastAsia="宋体"/>
          <w:b/>
          <w:bCs/>
          <w:sz w:val="24"/>
        </w:rPr>
        <w:t>（5）监管合规与产品定性</w:t>
      </w:r>
    </w:p>
    <w:p w14:paraId="0BFF4187">
      <w:pPr>
        <w:pStyle w:val="3"/>
        <w:spacing w:before="40" w:after="40" w:line="360" w:lineRule="auto"/>
        <w:ind w:firstLine="480"/>
      </w:pPr>
      <w:r>
        <w:rPr>
          <w:rFonts w:hint="eastAsia" w:ascii="Times New Roman" w:hAnsi="Times New Roman" w:eastAsia="宋体"/>
          <w:b/>
          <w:bCs/>
          <w:sz w:val="24"/>
        </w:rPr>
        <w:t>核心问题：ESI是“保险”还是“资管产品”？</w:t>
      </w:r>
    </w:p>
    <w:tbl>
      <w:tblPr>
        <w:tblStyle w:val="43"/>
        <w:tblW w:w="5000" w:type="pct"/>
        <w:tblInd w:w="0" w:type="dxa"/>
        <w:tblLayout w:type="autofit"/>
        <w:tblCellMar>
          <w:top w:w="0" w:type="dxa"/>
          <w:left w:w="108" w:type="dxa"/>
          <w:bottom w:w="0" w:type="dxa"/>
          <w:right w:w="108" w:type="dxa"/>
        </w:tblCellMar>
      </w:tblPr>
      <w:tblGrid>
        <w:gridCol w:w="2042"/>
        <w:gridCol w:w="2860"/>
        <w:gridCol w:w="1466"/>
        <w:gridCol w:w="2920"/>
      </w:tblGrid>
      <w:tr w14:paraId="3B4F983E">
        <w:tblPrEx>
          <w:tblCellMar>
            <w:top w:w="0" w:type="dxa"/>
            <w:left w:w="108" w:type="dxa"/>
            <w:bottom w:w="0" w:type="dxa"/>
            <w:right w:w="108" w:type="dxa"/>
          </w:tblCellMar>
        </w:tblPrEx>
        <w:trPr>
          <w:cantSplit/>
          <w:tblHeader/>
        </w:trPr>
        <w:tc>
          <w:p w14:paraId="0C09BAA9">
            <w:pPr>
              <w:pStyle w:val="26"/>
              <w:spacing w:before="20" w:after="20" w:line="276" w:lineRule="auto"/>
            </w:pPr>
            <w:r>
              <w:rPr>
                <w:rFonts w:hint="eastAsia" w:ascii="Times New Roman" w:hAnsi="Times New Roman" w:eastAsia="宋体"/>
                <w:sz w:val="20"/>
              </w:rPr>
              <w:t>维度</w:t>
            </w:r>
          </w:p>
        </w:tc>
        <w:tc>
          <w:p w14:paraId="70ABA29A">
            <w:pPr>
              <w:pStyle w:val="26"/>
              <w:spacing w:before="20" w:after="20" w:line="276" w:lineRule="auto"/>
            </w:pPr>
            <w:r>
              <w:rPr>
                <w:rFonts w:hint="eastAsia" w:ascii="Times New Roman" w:hAnsi="Times New Roman" w:eastAsia="宋体"/>
                <w:sz w:val="20"/>
              </w:rPr>
              <w:t>保险产品</w:t>
            </w:r>
          </w:p>
        </w:tc>
        <w:tc>
          <w:p w14:paraId="06B70B0C">
            <w:pPr>
              <w:pStyle w:val="26"/>
              <w:spacing w:before="20" w:after="20" w:line="276" w:lineRule="auto"/>
            </w:pPr>
            <w:r>
              <w:rPr>
                <w:rFonts w:hint="eastAsia" w:ascii="Times New Roman" w:hAnsi="Times New Roman" w:eastAsia="宋体"/>
                <w:sz w:val="20"/>
              </w:rPr>
              <w:t>资管产品</w:t>
            </w:r>
          </w:p>
        </w:tc>
        <w:tc>
          <w:p w14:paraId="36FC3C96">
            <w:pPr>
              <w:pStyle w:val="26"/>
              <w:spacing w:before="20" w:after="20" w:line="276" w:lineRule="auto"/>
            </w:pPr>
            <w:r>
              <w:rPr>
                <w:rFonts w:hint="eastAsia" w:ascii="Times New Roman" w:hAnsi="Times New Roman" w:eastAsia="宋体"/>
                <w:sz w:val="20"/>
              </w:rPr>
              <w:t>ESI建议定性</w:t>
            </w:r>
          </w:p>
        </w:tc>
      </w:tr>
      <w:tr w14:paraId="044FF135">
        <w:tblPrEx>
          <w:tblCellMar>
            <w:top w:w="0" w:type="dxa"/>
            <w:left w:w="108" w:type="dxa"/>
            <w:bottom w:w="0" w:type="dxa"/>
            <w:right w:w="108" w:type="dxa"/>
          </w:tblCellMar>
        </w:tblPrEx>
        <w:trPr>
          <w:cantSplit/>
        </w:trPr>
        <w:tc>
          <w:p w14:paraId="5E0366C5">
            <w:pPr>
              <w:pStyle w:val="26"/>
              <w:spacing w:before="20" w:after="20" w:line="276" w:lineRule="auto"/>
            </w:pPr>
            <w:r>
              <w:rPr>
                <w:rFonts w:hint="eastAsia" w:ascii="Times New Roman" w:hAnsi="Times New Roman" w:eastAsia="宋体"/>
                <w:sz w:val="20"/>
              </w:rPr>
              <w:t>监管主体</w:t>
            </w:r>
          </w:p>
        </w:tc>
        <w:tc>
          <w:p w14:paraId="29460861">
            <w:pPr>
              <w:pStyle w:val="26"/>
              <w:spacing w:before="20" w:after="20" w:line="276" w:lineRule="auto"/>
            </w:pPr>
            <w:r>
              <w:rPr>
                <w:rFonts w:hint="eastAsia" w:ascii="Times New Roman" w:hAnsi="Times New Roman" w:eastAsia="宋体"/>
                <w:sz w:val="20"/>
              </w:rPr>
              <w:t>金融监管总局</w:t>
            </w:r>
          </w:p>
        </w:tc>
        <w:tc>
          <w:p w14:paraId="2005E1B5">
            <w:pPr>
              <w:pStyle w:val="26"/>
              <w:spacing w:before="20" w:after="20" w:line="276" w:lineRule="auto"/>
            </w:pPr>
            <w:r>
              <w:rPr>
                <w:rFonts w:hint="eastAsia" w:ascii="Times New Roman" w:hAnsi="Times New Roman" w:eastAsia="宋体"/>
                <w:sz w:val="20"/>
              </w:rPr>
              <w:t>证监会</w:t>
            </w:r>
          </w:p>
        </w:tc>
        <w:tc>
          <w:p w14:paraId="47C8FB4D">
            <w:pPr>
              <w:pStyle w:val="26"/>
              <w:spacing w:before="20" w:after="20" w:line="276" w:lineRule="auto"/>
            </w:pPr>
            <w:r>
              <w:rPr>
                <w:rFonts w:hint="eastAsia" w:ascii="Times New Roman" w:hAnsi="Times New Roman" w:eastAsia="宋体"/>
                <w:b/>
                <w:bCs/>
                <w:sz w:val="20"/>
              </w:rPr>
              <w:t>保险为主，资管为辅</w:t>
            </w:r>
          </w:p>
        </w:tc>
      </w:tr>
      <w:tr w14:paraId="2D993BE5">
        <w:tblPrEx>
          <w:tblCellMar>
            <w:top w:w="0" w:type="dxa"/>
            <w:left w:w="108" w:type="dxa"/>
            <w:bottom w:w="0" w:type="dxa"/>
            <w:right w:w="108" w:type="dxa"/>
          </w:tblCellMar>
        </w:tblPrEx>
        <w:trPr>
          <w:cantSplit/>
        </w:trPr>
        <w:tc>
          <w:p w14:paraId="3A4B5753">
            <w:pPr>
              <w:pStyle w:val="26"/>
              <w:spacing w:before="20" w:after="20" w:line="276" w:lineRule="auto"/>
            </w:pPr>
            <w:r>
              <w:rPr>
                <w:rFonts w:hint="eastAsia" w:ascii="Times New Roman" w:hAnsi="Times New Roman" w:eastAsia="宋体"/>
                <w:sz w:val="20"/>
              </w:rPr>
              <w:t>资金运用限制</w:t>
            </w:r>
          </w:p>
        </w:tc>
        <w:tc>
          <w:p w14:paraId="4A9CE668">
            <w:pPr>
              <w:pStyle w:val="26"/>
              <w:spacing w:before="20" w:after="20" w:line="276" w:lineRule="auto"/>
            </w:pPr>
            <w:r>
              <w:rPr>
                <w:rFonts w:hint="eastAsia" w:ascii="Times New Roman" w:hAnsi="Times New Roman" w:eastAsia="宋体"/>
                <w:sz w:val="20"/>
              </w:rPr>
              <w:t>投资股票比例≤45%</w:t>
            </w:r>
          </w:p>
        </w:tc>
        <w:tc>
          <w:p w14:paraId="44AEF381">
            <w:pPr>
              <w:pStyle w:val="26"/>
              <w:spacing w:before="20" w:after="20" w:line="276" w:lineRule="auto"/>
            </w:pPr>
            <w:r>
              <w:rPr>
                <w:rFonts w:hint="eastAsia" w:ascii="Times New Roman" w:hAnsi="Times New Roman" w:eastAsia="宋体"/>
                <w:sz w:val="20"/>
              </w:rPr>
              <w:t>相对灵活</w:t>
            </w:r>
          </w:p>
        </w:tc>
        <w:tc>
          <w:p w14:paraId="7A9FC398">
            <w:pPr>
              <w:pStyle w:val="26"/>
              <w:spacing w:before="20" w:after="20" w:line="276" w:lineRule="auto"/>
            </w:pPr>
            <w:r>
              <w:rPr>
                <w:rFonts w:hint="eastAsia" w:ascii="Times New Roman" w:hAnsi="Times New Roman" w:eastAsia="宋体"/>
                <w:sz w:val="20"/>
              </w:rPr>
              <w:t>需申请专项投资额度</w:t>
            </w:r>
          </w:p>
        </w:tc>
      </w:tr>
      <w:tr w14:paraId="312ADD3A">
        <w:tblPrEx>
          <w:tblCellMar>
            <w:top w:w="0" w:type="dxa"/>
            <w:left w:w="108" w:type="dxa"/>
            <w:bottom w:w="0" w:type="dxa"/>
            <w:right w:w="108" w:type="dxa"/>
          </w:tblCellMar>
        </w:tblPrEx>
        <w:trPr>
          <w:cantSplit/>
        </w:trPr>
        <w:tc>
          <w:p w14:paraId="6A5D6E05">
            <w:pPr>
              <w:pStyle w:val="26"/>
              <w:spacing w:before="20" w:after="20" w:line="276" w:lineRule="auto"/>
            </w:pPr>
            <w:r>
              <w:rPr>
                <w:rFonts w:hint="eastAsia" w:ascii="Times New Roman" w:hAnsi="Times New Roman" w:eastAsia="宋体"/>
                <w:sz w:val="20"/>
              </w:rPr>
              <w:t>投资者保护</w:t>
            </w:r>
          </w:p>
        </w:tc>
        <w:tc>
          <w:p w14:paraId="3600A696">
            <w:pPr>
              <w:pStyle w:val="26"/>
              <w:spacing w:before="20" w:after="20" w:line="276" w:lineRule="auto"/>
            </w:pPr>
            <w:r>
              <w:rPr>
                <w:rFonts w:hint="eastAsia" w:ascii="Times New Roman" w:hAnsi="Times New Roman" w:eastAsia="宋体"/>
                <w:sz w:val="20"/>
              </w:rPr>
              <w:t>保险保障基金</w:t>
            </w:r>
          </w:p>
        </w:tc>
        <w:tc>
          <w:p w14:paraId="46290DDA">
            <w:pPr>
              <w:pStyle w:val="26"/>
              <w:spacing w:before="20" w:after="20" w:line="276" w:lineRule="auto"/>
            </w:pPr>
            <w:r>
              <w:rPr>
                <w:rFonts w:hint="eastAsia" w:ascii="Times New Roman" w:hAnsi="Times New Roman" w:eastAsia="宋体"/>
                <w:sz w:val="20"/>
              </w:rPr>
              <w:t>不同</w:t>
            </w:r>
          </w:p>
        </w:tc>
        <w:tc>
          <w:p w14:paraId="13AF6579">
            <w:pPr>
              <w:pStyle w:val="26"/>
              <w:spacing w:before="20" w:after="20" w:line="276" w:lineRule="auto"/>
            </w:pPr>
            <w:r>
              <w:rPr>
                <w:rFonts w:hint="eastAsia" w:ascii="Times New Roman" w:hAnsi="Times New Roman" w:eastAsia="宋体"/>
                <w:sz w:val="20"/>
              </w:rPr>
              <w:t>适用保险保障基金</w:t>
            </w:r>
          </w:p>
        </w:tc>
      </w:tr>
      <w:tr w14:paraId="69777103">
        <w:tblPrEx>
          <w:tblCellMar>
            <w:top w:w="0" w:type="dxa"/>
            <w:left w:w="108" w:type="dxa"/>
            <w:bottom w:w="0" w:type="dxa"/>
            <w:right w:w="108" w:type="dxa"/>
          </w:tblCellMar>
        </w:tblPrEx>
        <w:trPr>
          <w:cantSplit/>
        </w:trPr>
        <w:tc>
          <w:p w14:paraId="17FED6C7">
            <w:pPr>
              <w:pStyle w:val="26"/>
              <w:spacing w:before="20" w:after="20" w:line="276" w:lineRule="auto"/>
            </w:pPr>
            <w:r>
              <w:rPr>
                <w:rFonts w:hint="eastAsia" w:ascii="Times New Roman" w:hAnsi="Times New Roman" w:eastAsia="宋体"/>
                <w:sz w:val="20"/>
              </w:rPr>
              <w:t>税收优惠</w:t>
            </w:r>
          </w:p>
        </w:tc>
        <w:tc>
          <w:p w14:paraId="4D39DEE8">
            <w:pPr>
              <w:pStyle w:val="26"/>
              <w:spacing w:before="20" w:after="20" w:line="276" w:lineRule="auto"/>
            </w:pPr>
            <w:r>
              <w:rPr>
                <w:rFonts w:hint="eastAsia" w:ascii="Times New Roman" w:hAnsi="Times New Roman" w:eastAsia="宋体"/>
                <w:sz w:val="20"/>
              </w:rPr>
              <w:t>保险赔款免税</w:t>
            </w:r>
          </w:p>
        </w:tc>
        <w:tc>
          <w:p w14:paraId="68390155">
            <w:pPr>
              <w:pStyle w:val="26"/>
              <w:spacing w:before="20" w:after="20" w:line="276" w:lineRule="auto"/>
            </w:pPr>
            <w:r>
              <w:rPr>
                <w:rFonts w:hint="eastAsia" w:ascii="Times New Roman" w:hAnsi="Times New Roman" w:eastAsia="宋体"/>
                <w:sz w:val="20"/>
              </w:rPr>
              <w:t>无</w:t>
            </w:r>
          </w:p>
        </w:tc>
        <w:tc>
          <w:p w14:paraId="47AB4867">
            <w:pPr>
              <w:pStyle w:val="26"/>
              <w:spacing w:before="20" w:after="20" w:line="276" w:lineRule="auto"/>
            </w:pPr>
            <w:r>
              <w:rPr>
                <w:rFonts w:hint="eastAsia" w:ascii="Times New Roman" w:hAnsi="Times New Roman" w:eastAsia="宋体"/>
                <w:b/>
                <w:bCs/>
                <w:sz w:val="20"/>
              </w:rPr>
              <w:t>保险赔款免税</w:t>
            </w:r>
          </w:p>
        </w:tc>
      </w:tr>
    </w:tbl>
    <w:p w14:paraId="7E7A1C64">
      <w:pPr>
        <w:pStyle w:val="3"/>
        <w:spacing w:before="40" w:after="40" w:line="360" w:lineRule="auto"/>
        <w:ind w:firstLine="480"/>
      </w:pPr>
      <w:r>
        <w:rPr>
          <w:rFonts w:hint="eastAsia" w:ascii="Times New Roman" w:hAnsi="Times New Roman" w:eastAsia="宋体"/>
          <w:b/>
          <w:bCs/>
          <w:sz w:val="24"/>
        </w:rPr>
        <w:t>建议产品结构</w:t>
      </w:r>
      <w:r>
        <w:rPr>
          <w:rFonts w:hint="eastAsia" w:ascii="Times New Roman" w:hAnsi="Times New Roman" w:eastAsia="宋体"/>
          <w:sz w:val="24"/>
        </w:rPr>
        <w:t>（双层架构）：</w:t>
      </w:r>
    </w:p>
    <w:p w14:paraId="1E033377">
      <w:pPr>
        <w:pStyle w:val="3"/>
        <w:spacing w:before="40" w:after="40" w:line="360" w:lineRule="auto"/>
        <w:ind w:firstLine="480"/>
      </w:pPr>
      <w:r>
        <w:rPr>
          <w:rFonts w:hint="eastAsia" w:ascii="Times New Roman" w:hAnsi="Times New Roman" w:eastAsia="宋体"/>
          <w:sz w:val="24"/>
        </w:rPr>
        <w:t>第一层为保险层（平安产险）：负责现金赔付（第一层触发），适用保险法规、享受税收优惠，投资者获得的保险赔款免税。</w:t>
      </w:r>
    </w:p>
    <w:p w14:paraId="727B35DA">
      <w:pPr>
        <w:pStyle w:val="3"/>
        <w:spacing w:before="40" w:after="40" w:line="360" w:lineRule="auto"/>
        <w:ind w:firstLine="480"/>
      </w:pPr>
      <w:r>
        <w:rPr>
          <w:rFonts w:hint="eastAsia" w:ascii="Times New Roman" w:hAnsi="Times New Roman" w:eastAsia="宋体"/>
          <w:sz w:val="24"/>
        </w:rPr>
        <w:t>第二层为信托层（平安信托）：负责资产交换（第二层</w:t>
      </w:r>
      <w:r>
        <w:rPr>
          <w:rFonts w:ascii="Times New Roman" w:hAnsi="Times New Roman" w:eastAsia="宋体"/>
          <w:sz w:val="24"/>
        </w:rPr>
        <w:t xml:space="preserve"> + </w:t>
      </w:r>
      <w:r>
        <w:rPr>
          <w:rFonts w:hint="eastAsia" w:ascii="Times New Roman" w:hAnsi="Times New Roman" w:eastAsia="宋体"/>
          <w:sz w:val="24"/>
        </w:rPr>
        <w:t>第三层），适用信托法规，投资者与平安签订资产置换协议。</w:t>
      </w:r>
    </w:p>
    <w:p w14:paraId="012201A5">
      <w:pPr>
        <w:pStyle w:val="3"/>
        <w:spacing w:before="40" w:after="40" w:line="360" w:lineRule="auto"/>
        <w:ind w:firstLine="480"/>
      </w:pPr>
      <w:r>
        <w:rPr>
          <w:rFonts w:hint="eastAsia" w:ascii="Times New Roman" w:hAnsi="Times New Roman" w:eastAsia="宋体"/>
          <w:sz w:val="24"/>
        </w:rPr>
        <w:t>衔接机制：保险赔付后，投资者可选择“现金领取”或“转入信托层进行资产置换”；选择置换的投资者签署信托协议，享受交换</w:t>
      </w:r>
      <w:r>
        <w:rPr>
          <w:rFonts w:ascii="Times New Roman" w:hAnsi="Times New Roman" w:eastAsia="宋体"/>
          <w:sz w:val="24"/>
        </w:rPr>
        <w:t xml:space="preserve"> + </w:t>
      </w:r>
      <w:r>
        <w:rPr>
          <w:rFonts w:hint="eastAsia" w:ascii="Times New Roman" w:hAnsi="Times New Roman" w:eastAsia="宋体"/>
          <w:sz w:val="24"/>
        </w:rPr>
        <w:t>对赌条款。</w:t>
      </w:r>
    </w:p>
    <w:p w14:paraId="1F95E04E">
      <w:pPr>
        <w:pStyle w:val="3"/>
        <w:spacing w:before="40" w:after="40" w:line="360" w:lineRule="auto"/>
        <w:ind w:firstLine="480"/>
      </w:pPr>
      <w:r>
        <w:rPr>
          <w:rFonts w:hint="eastAsia" w:ascii="Times New Roman" w:hAnsi="Times New Roman" w:eastAsia="宋体"/>
          <w:b/>
          <w:bCs/>
          <w:sz w:val="24"/>
        </w:rPr>
        <w:t>诚实声明</w:t>
      </w:r>
      <w:r>
        <w:rPr>
          <w:rFonts w:hint="eastAsia" w:ascii="Times New Roman" w:hAnsi="Times New Roman" w:eastAsia="宋体"/>
          <w:sz w:val="24"/>
        </w:rPr>
        <w:t>：</w:t>
      </w:r>
      <w:r>
        <w:rPr>
          <w:rFonts w:ascii="Times New Roman" w:hAnsi="Times New Roman" w:eastAsia="宋体"/>
          <w:sz w:val="24"/>
        </w:rPr>
        <w:t xml:space="preserve"> 1. </w:t>
      </w:r>
      <w:r>
        <w:rPr>
          <w:rFonts w:hint="eastAsia" w:ascii="Times New Roman" w:hAnsi="Times New Roman" w:eastAsia="宋体"/>
          <w:sz w:val="24"/>
        </w:rPr>
        <w:t>上述产品结构为概念设计，具体定性（保险/信托/资管）需与监管协商；</w:t>
      </w:r>
      <w:r>
        <w:rPr>
          <w:rFonts w:ascii="Times New Roman" w:hAnsi="Times New Roman" w:eastAsia="宋体"/>
          <w:sz w:val="24"/>
        </w:rPr>
        <w:t xml:space="preserve"> 2. </w:t>
      </w:r>
      <w:r>
        <w:rPr>
          <w:rFonts w:hint="eastAsia" w:ascii="Times New Roman" w:hAnsi="Times New Roman" w:eastAsia="宋体"/>
          <w:sz w:val="24"/>
        </w:rPr>
        <w:t>股权交换涉及《保险资金运用管理办法》的股票投资比例限制，需申请专项额度或设立独立投资账户；</w:t>
      </w:r>
      <w:r>
        <w:rPr>
          <w:rFonts w:ascii="Times New Roman" w:hAnsi="Times New Roman" w:eastAsia="宋体"/>
          <w:sz w:val="24"/>
        </w:rPr>
        <w:t xml:space="preserve"> 3. </w:t>
      </w:r>
      <w:r>
        <w:rPr>
          <w:rFonts w:hint="eastAsia" w:ascii="Times New Roman" w:hAnsi="Times New Roman" w:eastAsia="宋体"/>
          <w:sz w:val="24"/>
        </w:rPr>
        <w:t>本设计仅为学术竞赛研究，不构成任何产品发行建议。</w:t>
      </w:r>
    </w:p>
    <w:p w14:paraId="7C7269E3">
      <w:pPr>
        <w:pStyle w:val="25"/>
        <w:spacing w:before="40" w:after="40" w:line="360" w:lineRule="auto"/>
        <w:ind w:firstLine="480"/>
      </w:pPr>
      <w:r>
        <w:rPr>
          <w:rFonts w:hint="eastAsia" w:ascii="Times New Roman" w:hAnsi="Times New Roman" w:eastAsia="宋体"/>
          <w:b/>
          <w:bCs/>
          <w:sz w:val="24"/>
        </w:rPr>
        <w:t>三、两款产品的对比与选择</w:t>
      </w:r>
    </w:p>
    <w:tbl>
      <w:tblPr>
        <w:tblStyle w:val="43"/>
        <w:tblW w:w="5000" w:type="pct"/>
        <w:tblInd w:w="0" w:type="dxa"/>
        <w:tblLayout w:type="autofit"/>
        <w:tblCellMar>
          <w:top w:w="0" w:type="dxa"/>
          <w:left w:w="108" w:type="dxa"/>
          <w:bottom w:w="0" w:type="dxa"/>
          <w:right w:w="108" w:type="dxa"/>
        </w:tblCellMar>
      </w:tblPr>
      <w:tblGrid>
        <w:gridCol w:w="1907"/>
        <w:gridCol w:w="3974"/>
        <w:gridCol w:w="3407"/>
      </w:tblGrid>
      <w:tr w14:paraId="69294613">
        <w:tblPrEx>
          <w:tblCellMar>
            <w:top w:w="0" w:type="dxa"/>
            <w:left w:w="108" w:type="dxa"/>
            <w:bottom w:w="0" w:type="dxa"/>
            <w:right w:w="108" w:type="dxa"/>
          </w:tblCellMar>
        </w:tblPrEx>
        <w:trPr>
          <w:cantSplit/>
          <w:tblHeader/>
        </w:trPr>
        <w:tc>
          <w:p w14:paraId="4AD6A76E">
            <w:pPr>
              <w:pStyle w:val="26"/>
              <w:spacing w:before="20" w:after="20" w:line="276" w:lineRule="auto"/>
            </w:pPr>
            <w:r>
              <w:rPr>
                <w:rFonts w:hint="eastAsia" w:ascii="Times New Roman" w:hAnsi="Times New Roman" w:eastAsia="宋体"/>
                <w:sz w:val="20"/>
              </w:rPr>
              <w:t>维度</w:t>
            </w:r>
          </w:p>
        </w:tc>
        <w:tc>
          <w:p w14:paraId="771326E6">
            <w:pPr>
              <w:pStyle w:val="26"/>
              <w:spacing w:before="20" w:after="20" w:line="276" w:lineRule="auto"/>
            </w:pPr>
            <w:r>
              <w:rPr>
                <w:rFonts w:hint="eastAsia" w:ascii="Times New Roman" w:hAnsi="Times New Roman" w:eastAsia="宋体"/>
                <w:sz w:val="20"/>
              </w:rPr>
              <w:t>DMVI（科创资产减值波动险）</w:t>
            </w:r>
          </w:p>
        </w:tc>
        <w:tc>
          <w:p w14:paraId="5F440BA2">
            <w:pPr>
              <w:pStyle w:val="26"/>
              <w:spacing w:before="20" w:after="20" w:line="276" w:lineRule="auto"/>
            </w:pPr>
            <w:r>
              <w:rPr>
                <w:rFonts w:hint="eastAsia" w:ascii="Times New Roman" w:hAnsi="Times New Roman" w:eastAsia="宋体"/>
                <w:sz w:val="20"/>
              </w:rPr>
              <w:t>ESI（科创资产置换保险）</w:t>
            </w:r>
          </w:p>
        </w:tc>
      </w:tr>
      <w:tr w14:paraId="7B6DAC24">
        <w:tblPrEx>
          <w:tblCellMar>
            <w:top w:w="0" w:type="dxa"/>
            <w:left w:w="108" w:type="dxa"/>
            <w:bottom w:w="0" w:type="dxa"/>
            <w:right w:w="108" w:type="dxa"/>
          </w:tblCellMar>
        </w:tblPrEx>
        <w:trPr>
          <w:cantSplit/>
        </w:trPr>
        <w:tc>
          <w:p w14:paraId="0C5E28A1">
            <w:pPr>
              <w:pStyle w:val="26"/>
              <w:spacing w:before="20" w:after="20" w:line="276" w:lineRule="auto"/>
            </w:pPr>
            <w:r>
              <w:rPr>
                <w:rFonts w:hint="eastAsia" w:ascii="Times New Roman" w:hAnsi="Times New Roman" w:eastAsia="宋体"/>
                <w:sz w:val="20"/>
              </w:rPr>
              <w:t>目标客群</w:t>
            </w:r>
          </w:p>
        </w:tc>
        <w:tc>
          <w:p w14:paraId="65FBC336">
            <w:pPr>
              <w:pStyle w:val="26"/>
              <w:spacing w:before="20" w:after="20" w:line="276" w:lineRule="auto"/>
            </w:pPr>
            <w:r>
              <w:rPr>
                <w:rFonts w:hint="eastAsia" w:ascii="Times New Roman" w:hAnsi="Times New Roman" w:eastAsia="宋体"/>
                <w:sz w:val="20"/>
              </w:rPr>
              <w:t>保守型机构投资者</w:t>
            </w:r>
          </w:p>
        </w:tc>
        <w:tc>
          <w:p w14:paraId="696980C2">
            <w:pPr>
              <w:pStyle w:val="26"/>
              <w:spacing w:before="20" w:after="20" w:line="276" w:lineRule="auto"/>
            </w:pPr>
            <w:r>
              <w:rPr>
                <w:rFonts w:hint="eastAsia" w:ascii="Times New Roman" w:hAnsi="Times New Roman" w:eastAsia="宋体"/>
                <w:sz w:val="20"/>
              </w:rPr>
              <w:t>积极型机构投资者</w:t>
            </w:r>
          </w:p>
        </w:tc>
      </w:tr>
      <w:tr w14:paraId="39F77430">
        <w:tblPrEx>
          <w:tblCellMar>
            <w:top w:w="0" w:type="dxa"/>
            <w:left w:w="108" w:type="dxa"/>
            <w:bottom w:w="0" w:type="dxa"/>
            <w:right w:w="108" w:type="dxa"/>
          </w:tblCellMar>
        </w:tblPrEx>
        <w:trPr>
          <w:cantSplit/>
        </w:trPr>
        <w:tc>
          <w:p w14:paraId="18484BCE">
            <w:pPr>
              <w:pStyle w:val="26"/>
              <w:spacing w:before="20" w:after="20" w:line="276" w:lineRule="auto"/>
            </w:pPr>
            <w:r>
              <w:rPr>
                <w:rFonts w:hint="eastAsia" w:ascii="Times New Roman" w:hAnsi="Times New Roman" w:eastAsia="宋体"/>
                <w:sz w:val="20"/>
              </w:rPr>
              <w:t>赔付形式</w:t>
            </w:r>
          </w:p>
        </w:tc>
        <w:tc>
          <w:p w14:paraId="7FBABB5F">
            <w:pPr>
              <w:pStyle w:val="26"/>
              <w:spacing w:before="20" w:after="20" w:line="276" w:lineRule="auto"/>
            </w:pPr>
            <w:r>
              <w:rPr>
                <w:rFonts w:hint="eastAsia" w:ascii="Times New Roman" w:hAnsi="Times New Roman" w:eastAsia="宋体"/>
                <w:sz w:val="20"/>
              </w:rPr>
              <w:t>现金</w:t>
            </w:r>
          </w:p>
        </w:tc>
        <w:tc>
          <w:p w14:paraId="14660FBA">
            <w:pPr>
              <w:pStyle w:val="26"/>
              <w:spacing w:before="20" w:after="20" w:line="276" w:lineRule="auto"/>
            </w:pPr>
            <w:r>
              <w:rPr>
                <w:rFonts w:hint="eastAsia" w:ascii="Times New Roman" w:hAnsi="Times New Roman" w:eastAsia="宋体"/>
                <w:sz w:val="20"/>
              </w:rPr>
              <w:t>资产置换+现金</w:t>
            </w:r>
          </w:p>
        </w:tc>
      </w:tr>
      <w:tr w14:paraId="33820604">
        <w:tblPrEx>
          <w:tblCellMar>
            <w:top w:w="0" w:type="dxa"/>
            <w:left w:w="108" w:type="dxa"/>
            <w:bottom w:w="0" w:type="dxa"/>
            <w:right w:w="108" w:type="dxa"/>
          </w:tblCellMar>
        </w:tblPrEx>
        <w:trPr>
          <w:cantSplit/>
        </w:trPr>
        <w:tc>
          <w:p w14:paraId="7345F1AF">
            <w:pPr>
              <w:pStyle w:val="26"/>
              <w:spacing w:before="20" w:after="20" w:line="276" w:lineRule="auto"/>
            </w:pPr>
            <w:r>
              <w:rPr>
                <w:rFonts w:hint="eastAsia" w:ascii="Times New Roman" w:hAnsi="Times New Roman" w:eastAsia="宋体"/>
                <w:sz w:val="20"/>
              </w:rPr>
              <w:t>风险覆盖</w:t>
            </w:r>
          </w:p>
        </w:tc>
        <w:tc>
          <w:p w14:paraId="3707D567">
            <w:pPr>
              <w:pStyle w:val="26"/>
              <w:spacing w:before="20" w:after="20" w:line="276" w:lineRule="auto"/>
            </w:pPr>
            <w:r>
              <w:rPr>
                <w:rFonts w:hint="eastAsia" w:ascii="Times New Roman" w:hAnsi="Times New Roman" w:eastAsia="宋体"/>
                <w:sz w:val="20"/>
              </w:rPr>
              <w:t>股价下跌损失</w:t>
            </w:r>
          </w:p>
        </w:tc>
        <w:tc>
          <w:p w14:paraId="7A9EACB5">
            <w:pPr>
              <w:pStyle w:val="26"/>
              <w:spacing w:before="20" w:after="20" w:line="276" w:lineRule="auto"/>
            </w:pPr>
            <w:r>
              <w:rPr>
                <w:rFonts w:hint="eastAsia" w:ascii="Times New Roman" w:hAnsi="Times New Roman" w:eastAsia="宋体"/>
                <w:sz w:val="20"/>
              </w:rPr>
              <w:t>股价下跌损失+再投资风险</w:t>
            </w:r>
          </w:p>
        </w:tc>
      </w:tr>
      <w:tr w14:paraId="146C6A26">
        <w:tblPrEx>
          <w:tblCellMar>
            <w:top w:w="0" w:type="dxa"/>
            <w:left w:w="108" w:type="dxa"/>
            <w:bottom w:w="0" w:type="dxa"/>
            <w:right w:w="108" w:type="dxa"/>
          </w:tblCellMar>
        </w:tblPrEx>
        <w:trPr>
          <w:cantSplit/>
        </w:trPr>
        <w:tc>
          <w:p w14:paraId="4DE95661">
            <w:pPr>
              <w:pStyle w:val="26"/>
              <w:spacing w:before="20" w:after="20" w:line="276" w:lineRule="auto"/>
            </w:pPr>
            <w:r>
              <w:rPr>
                <w:rFonts w:hint="eastAsia" w:ascii="Times New Roman" w:hAnsi="Times New Roman" w:eastAsia="宋体"/>
                <w:sz w:val="20"/>
              </w:rPr>
              <w:t>平安收益来源</w:t>
            </w:r>
          </w:p>
        </w:tc>
        <w:tc>
          <w:p w14:paraId="519480D6">
            <w:pPr>
              <w:pStyle w:val="26"/>
              <w:spacing w:before="20" w:after="20" w:line="276" w:lineRule="auto"/>
            </w:pPr>
            <w:r>
              <w:rPr>
                <w:rFonts w:hint="eastAsia" w:ascii="Times New Roman" w:hAnsi="Times New Roman" w:eastAsia="宋体"/>
                <w:sz w:val="20"/>
              </w:rPr>
              <w:t>保费−赔付</w:t>
            </w:r>
          </w:p>
        </w:tc>
        <w:tc>
          <w:p w14:paraId="12D6E52D">
            <w:pPr>
              <w:pStyle w:val="26"/>
              <w:spacing w:before="20" w:after="20" w:line="276" w:lineRule="auto"/>
            </w:pPr>
            <w:r>
              <w:rPr>
                <w:rFonts w:hint="eastAsia" w:ascii="Times New Roman" w:hAnsi="Times New Roman" w:eastAsia="宋体"/>
                <w:sz w:val="20"/>
              </w:rPr>
              <w:t>保费+交换折价+股权增值</w:t>
            </w:r>
          </w:p>
        </w:tc>
      </w:tr>
      <w:tr w14:paraId="7FCC0D18">
        <w:tblPrEx>
          <w:tblCellMar>
            <w:top w:w="0" w:type="dxa"/>
            <w:left w:w="108" w:type="dxa"/>
            <w:bottom w:w="0" w:type="dxa"/>
            <w:right w:w="108" w:type="dxa"/>
          </w:tblCellMar>
        </w:tblPrEx>
        <w:trPr>
          <w:cantSplit/>
        </w:trPr>
        <w:tc>
          <w:p w14:paraId="0AA79D76">
            <w:pPr>
              <w:pStyle w:val="26"/>
              <w:spacing w:before="20" w:after="20" w:line="276" w:lineRule="auto"/>
            </w:pPr>
            <w:r>
              <w:rPr>
                <w:rFonts w:hint="eastAsia" w:ascii="Times New Roman" w:hAnsi="Times New Roman" w:eastAsia="宋体"/>
                <w:sz w:val="20"/>
              </w:rPr>
              <w:t>投资者收益</w:t>
            </w:r>
          </w:p>
        </w:tc>
        <w:tc>
          <w:p w14:paraId="034DC90C">
            <w:pPr>
              <w:pStyle w:val="26"/>
              <w:spacing w:before="20" w:after="20" w:line="276" w:lineRule="auto"/>
            </w:pPr>
            <w:r>
              <w:rPr>
                <w:rFonts w:hint="eastAsia" w:ascii="Times New Roman" w:hAnsi="Times New Roman" w:eastAsia="宋体"/>
                <w:sz w:val="20"/>
              </w:rPr>
              <w:t>损失补偿</w:t>
            </w:r>
          </w:p>
        </w:tc>
        <w:tc>
          <w:p w14:paraId="144E8F0C">
            <w:pPr>
              <w:pStyle w:val="26"/>
              <w:spacing w:before="20" w:after="20" w:line="276" w:lineRule="auto"/>
            </w:pPr>
            <w:r>
              <w:rPr>
                <w:rFonts w:hint="eastAsia" w:ascii="Times New Roman" w:hAnsi="Times New Roman" w:eastAsia="宋体"/>
                <w:sz w:val="20"/>
              </w:rPr>
              <w:t>损失补偿+反弹分成</w:t>
            </w:r>
          </w:p>
        </w:tc>
      </w:tr>
      <w:tr w14:paraId="0D6F5ECB">
        <w:tblPrEx>
          <w:tblCellMar>
            <w:top w:w="0" w:type="dxa"/>
            <w:left w:w="108" w:type="dxa"/>
            <w:bottom w:w="0" w:type="dxa"/>
            <w:right w:w="108" w:type="dxa"/>
          </w:tblCellMar>
        </w:tblPrEx>
        <w:trPr>
          <w:cantSplit/>
        </w:trPr>
        <w:tc>
          <w:p w14:paraId="0EF219C1">
            <w:pPr>
              <w:pStyle w:val="26"/>
              <w:spacing w:before="20" w:after="20" w:line="276" w:lineRule="auto"/>
            </w:pPr>
            <w:r>
              <w:rPr>
                <w:rFonts w:hint="eastAsia" w:ascii="Times New Roman" w:hAnsi="Times New Roman" w:eastAsia="宋体"/>
                <w:sz w:val="20"/>
              </w:rPr>
              <w:t>复杂度</w:t>
            </w:r>
          </w:p>
        </w:tc>
        <w:tc>
          <w:p w14:paraId="20F3B60D">
            <w:pPr>
              <w:pStyle w:val="26"/>
              <w:spacing w:before="20" w:after="20" w:line="276" w:lineRule="auto"/>
            </w:pPr>
            <w:r>
              <w:rPr>
                <w:rFonts w:hint="eastAsia" w:ascii="Times New Roman" w:hAnsi="Times New Roman" w:eastAsia="宋体"/>
                <w:sz w:val="20"/>
              </w:rPr>
              <w:t>中等</w:t>
            </w:r>
          </w:p>
        </w:tc>
        <w:tc>
          <w:p w14:paraId="79525840">
            <w:pPr>
              <w:pStyle w:val="26"/>
              <w:spacing w:before="20" w:after="20" w:line="276" w:lineRule="auto"/>
            </w:pPr>
            <w:r>
              <w:rPr>
                <w:rFonts w:hint="eastAsia" w:ascii="Times New Roman" w:hAnsi="Times New Roman" w:eastAsia="宋体"/>
                <w:sz w:val="20"/>
              </w:rPr>
              <w:t>高</w:t>
            </w:r>
          </w:p>
        </w:tc>
      </w:tr>
      <w:tr w14:paraId="7E1A5541">
        <w:tblPrEx>
          <w:tblCellMar>
            <w:top w:w="0" w:type="dxa"/>
            <w:left w:w="108" w:type="dxa"/>
            <w:bottom w:w="0" w:type="dxa"/>
            <w:right w:w="108" w:type="dxa"/>
          </w:tblCellMar>
        </w:tblPrEx>
        <w:trPr>
          <w:cantSplit/>
        </w:trPr>
        <w:tc>
          <w:p w14:paraId="6E407F2C">
            <w:pPr>
              <w:pStyle w:val="26"/>
              <w:spacing w:before="20" w:after="20" w:line="276" w:lineRule="auto"/>
            </w:pPr>
            <w:r>
              <w:rPr>
                <w:rFonts w:hint="eastAsia" w:ascii="Times New Roman" w:hAnsi="Times New Roman" w:eastAsia="宋体"/>
                <w:sz w:val="20"/>
              </w:rPr>
              <w:t>监管难度</w:t>
            </w:r>
          </w:p>
        </w:tc>
        <w:tc>
          <w:p w14:paraId="7257D1D4">
            <w:pPr>
              <w:pStyle w:val="26"/>
              <w:spacing w:before="20" w:after="20" w:line="276" w:lineRule="auto"/>
            </w:pPr>
            <w:r>
              <w:rPr>
                <w:rFonts w:hint="eastAsia" w:ascii="Times New Roman" w:hAnsi="Times New Roman" w:eastAsia="宋体"/>
                <w:sz w:val="20"/>
              </w:rPr>
              <w:t>中等</w:t>
            </w:r>
          </w:p>
        </w:tc>
        <w:tc>
          <w:p w14:paraId="7B6AC64B">
            <w:pPr>
              <w:pStyle w:val="26"/>
              <w:spacing w:before="20" w:after="20" w:line="276" w:lineRule="auto"/>
            </w:pPr>
            <w:r>
              <w:rPr>
                <w:rFonts w:hint="eastAsia" w:ascii="Times New Roman" w:hAnsi="Times New Roman" w:eastAsia="宋体"/>
                <w:sz w:val="20"/>
              </w:rPr>
              <w:t>高（需跨监管协调）</w:t>
            </w:r>
          </w:p>
        </w:tc>
      </w:tr>
      <w:tr w14:paraId="2A2B49F5">
        <w:tblPrEx>
          <w:tblCellMar>
            <w:top w:w="0" w:type="dxa"/>
            <w:left w:w="108" w:type="dxa"/>
            <w:bottom w:w="0" w:type="dxa"/>
            <w:right w:w="108" w:type="dxa"/>
          </w:tblCellMar>
        </w:tblPrEx>
        <w:trPr>
          <w:cantSplit/>
        </w:trPr>
        <w:tc>
          <w:p w14:paraId="33A31C03">
            <w:pPr>
              <w:pStyle w:val="26"/>
              <w:spacing w:before="20" w:after="20" w:line="276" w:lineRule="auto"/>
            </w:pPr>
            <w:r>
              <w:rPr>
                <w:rFonts w:hint="eastAsia" w:ascii="Times New Roman" w:hAnsi="Times New Roman" w:eastAsia="宋体"/>
                <w:sz w:val="20"/>
              </w:rPr>
              <w:t>建议落地顺序</w:t>
            </w:r>
          </w:p>
        </w:tc>
        <w:tc>
          <w:p w14:paraId="7465EDB4">
            <w:pPr>
              <w:pStyle w:val="26"/>
              <w:spacing w:before="20" w:after="20" w:line="276" w:lineRule="auto"/>
            </w:pPr>
            <w:r>
              <w:rPr>
                <w:rFonts w:hint="eastAsia" w:ascii="Times New Roman" w:hAnsi="Times New Roman" w:eastAsia="宋体"/>
                <w:sz w:val="20"/>
              </w:rPr>
              <w:t>第一阶段（先试点）</w:t>
            </w:r>
          </w:p>
        </w:tc>
        <w:tc>
          <w:p w14:paraId="4BE6E21A">
            <w:pPr>
              <w:pStyle w:val="26"/>
              <w:spacing w:before="20" w:after="20" w:line="276" w:lineRule="auto"/>
            </w:pPr>
            <w:r>
              <w:rPr>
                <w:rFonts w:hint="eastAsia" w:ascii="Times New Roman" w:hAnsi="Times New Roman" w:eastAsia="宋体"/>
                <w:sz w:val="20"/>
              </w:rPr>
              <w:t>第二阶段（积累经验后）</w:t>
            </w:r>
          </w:p>
        </w:tc>
      </w:tr>
    </w:tbl>
    <w:p w14:paraId="57AD3A74">
      <w:pPr>
        <w:pStyle w:val="25"/>
        <w:spacing w:before="40" w:after="40" w:line="360" w:lineRule="auto"/>
        <w:ind w:firstLine="480"/>
      </w:pPr>
      <w:r>
        <w:rPr>
          <w:rFonts w:hint="eastAsia" w:ascii="Times New Roman" w:hAnsi="Times New Roman" w:eastAsia="宋体"/>
          <w:b/>
          <w:bCs/>
          <w:sz w:val="24"/>
        </w:rPr>
        <w:t>四、与现有科技保险产品的衔接</w:t>
      </w:r>
    </w:p>
    <w:p w14:paraId="090F3653">
      <w:pPr>
        <w:pStyle w:val="3"/>
        <w:spacing w:before="40" w:after="40" w:line="360" w:lineRule="auto"/>
        <w:ind w:firstLine="480"/>
      </w:pPr>
      <w:r>
        <w:rPr>
          <w:rFonts w:hint="eastAsia" w:ascii="Times New Roman" w:hAnsi="Times New Roman" w:eastAsia="宋体"/>
          <w:sz w:val="24"/>
        </w:rPr>
        <w:t>平安产险已开发的科技保险产品（30+款）可与DMVI/ESI形成产品矩阵：</w:t>
      </w:r>
    </w:p>
    <w:tbl>
      <w:tblPr>
        <w:tblStyle w:val="43"/>
        <w:tblW w:w="5000" w:type="pct"/>
        <w:tblInd w:w="0" w:type="dxa"/>
        <w:tblLayout w:type="fixed"/>
        <w:tblCellMar>
          <w:top w:w="0" w:type="dxa"/>
          <w:left w:w="108" w:type="dxa"/>
          <w:bottom w:w="0" w:type="dxa"/>
          <w:right w:w="108" w:type="dxa"/>
        </w:tblCellMar>
      </w:tblPr>
      <w:tblGrid>
        <w:gridCol w:w="2815"/>
        <w:gridCol w:w="1689"/>
        <w:gridCol w:w="4784"/>
      </w:tblGrid>
      <w:tr w14:paraId="2A991CF5">
        <w:tblPrEx>
          <w:tblCellMar>
            <w:top w:w="0" w:type="dxa"/>
            <w:left w:w="108" w:type="dxa"/>
            <w:bottom w:w="0" w:type="dxa"/>
            <w:right w:w="108" w:type="dxa"/>
          </w:tblCellMar>
        </w:tblPrEx>
        <w:trPr>
          <w:cantSplit/>
          <w:tblHeader/>
        </w:trPr>
        <w:tc>
          <w:p w14:paraId="6AD0D4D9">
            <w:pPr>
              <w:pStyle w:val="26"/>
              <w:spacing w:before="20" w:after="20" w:line="276" w:lineRule="auto"/>
            </w:pPr>
            <w:r>
              <w:rPr>
                <w:rFonts w:hint="eastAsia" w:ascii="Times New Roman" w:hAnsi="Times New Roman" w:eastAsia="宋体"/>
                <w:sz w:val="20"/>
              </w:rPr>
              <w:t>现有产品</w:t>
            </w:r>
          </w:p>
        </w:tc>
        <w:tc>
          <w:p w14:paraId="3DD88AE7">
            <w:pPr>
              <w:pStyle w:val="26"/>
              <w:spacing w:before="20" w:after="20" w:line="276" w:lineRule="auto"/>
            </w:pPr>
            <w:r>
              <w:rPr>
                <w:rFonts w:hint="eastAsia" w:ascii="Times New Roman" w:hAnsi="Times New Roman" w:eastAsia="宋体"/>
                <w:sz w:val="20"/>
              </w:rPr>
              <w:t>功能</w:t>
            </w:r>
          </w:p>
        </w:tc>
        <w:tc>
          <w:p w14:paraId="53B93FE5">
            <w:pPr>
              <w:pStyle w:val="26"/>
              <w:spacing w:before="20" w:after="20" w:line="276" w:lineRule="auto"/>
            </w:pPr>
            <w:r>
              <w:rPr>
                <w:rFonts w:hint="eastAsia" w:ascii="Times New Roman" w:hAnsi="Times New Roman" w:eastAsia="宋体"/>
                <w:sz w:val="20"/>
              </w:rPr>
              <w:t>与DMVI/ESI的衔接</w:t>
            </w:r>
          </w:p>
        </w:tc>
      </w:tr>
      <w:tr w14:paraId="755FF266">
        <w:tblPrEx>
          <w:tblCellMar>
            <w:top w:w="0" w:type="dxa"/>
            <w:left w:w="108" w:type="dxa"/>
            <w:bottom w:w="0" w:type="dxa"/>
            <w:right w:w="108" w:type="dxa"/>
          </w:tblCellMar>
        </w:tblPrEx>
        <w:trPr>
          <w:cantSplit/>
        </w:trPr>
        <w:tc>
          <w:p w14:paraId="39B04C4E">
            <w:pPr>
              <w:pStyle w:val="26"/>
              <w:spacing w:before="20" w:after="20" w:line="276" w:lineRule="auto"/>
            </w:pPr>
            <w:r>
              <w:rPr>
                <w:rFonts w:hint="eastAsia" w:ascii="Times New Roman" w:hAnsi="Times New Roman" w:eastAsia="宋体"/>
                <w:sz w:val="20"/>
              </w:rPr>
              <w:t>研发费用损失保险</w:t>
            </w:r>
          </w:p>
        </w:tc>
        <w:tc>
          <w:p w14:paraId="78ECE0AB">
            <w:pPr>
              <w:pStyle w:val="26"/>
              <w:spacing w:before="20" w:after="20" w:line="276" w:lineRule="auto"/>
            </w:pPr>
            <w:r>
              <w:rPr>
                <w:rFonts w:hint="eastAsia" w:ascii="Times New Roman" w:hAnsi="Times New Roman" w:eastAsia="宋体"/>
                <w:sz w:val="20"/>
              </w:rPr>
              <w:t>覆盖研发失败损失</w:t>
            </w:r>
          </w:p>
        </w:tc>
        <w:tc>
          <w:p w14:paraId="42CE0219">
            <w:pPr>
              <w:pStyle w:val="26"/>
              <w:spacing w:before="20" w:after="20" w:line="276" w:lineRule="auto"/>
            </w:pPr>
            <w:r>
              <w:rPr>
                <w:rFonts w:hint="eastAsia" w:ascii="Times New Roman" w:hAnsi="Times New Roman" w:eastAsia="宋体"/>
                <w:sz w:val="20"/>
              </w:rPr>
              <w:t>DMVI覆盖研发资产的折旧错配风险</w:t>
            </w:r>
          </w:p>
        </w:tc>
      </w:tr>
      <w:tr w14:paraId="76827AC7">
        <w:tblPrEx>
          <w:tblCellMar>
            <w:top w:w="0" w:type="dxa"/>
            <w:left w:w="108" w:type="dxa"/>
            <w:bottom w:w="0" w:type="dxa"/>
            <w:right w:w="108" w:type="dxa"/>
          </w:tblCellMar>
        </w:tblPrEx>
        <w:trPr>
          <w:cantSplit/>
        </w:trPr>
        <w:tc>
          <w:p w14:paraId="4E9D62A7">
            <w:pPr>
              <w:pStyle w:val="26"/>
              <w:spacing w:before="20" w:after="20" w:line="276" w:lineRule="auto"/>
            </w:pPr>
            <w:r>
              <w:rPr>
                <w:rFonts w:hint="eastAsia" w:ascii="Times New Roman" w:hAnsi="Times New Roman" w:eastAsia="宋体"/>
                <w:sz w:val="20"/>
              </w:rPr>
              <w:t>集成电路流片费用损失保险</w:t>
            </w:r>
          </w:p>
        </w:tc>
        <w:tc>
          <w:p w14:paraId="24C43691">
            <w:pPr>
              <w:pStyle w:val="26"/>
              <w:spacing w:before="20" w:after="20" w:line="276" w:lineRule="auto"/>
            </w:pPr>
            <w:r>
              <w:rPr>
                <w:rFonts w:hint="eastAsia" w:ascii="Times New Roman" w:hAnsi="Times New Roman" w:eastAsia="宋体"/>
                <w:sz w:val="20"/>
              </w:rPr>
              <w:t>覆盖流片失败</w:t>
            </w:r>
          </w:p>
        </w:tc>
        <w:tc>
          <w:p w14:paraId="5CDF6C3B">
            <w:pPr>
              <w:pStyle w:val="26"/>
              <w:spacing w:before="20" w:after="20" w:line="276" w:lineRule="auto"/>
            </w:pPr>
            <w:r>
              <w:rPr>
                <w:rFonts w:hint="eastAsia" w:ascii="Times New Roman" w:hAnsi="Times New Roman" w:eastAsia="宋体"/>
                <w:sz w:val="20"/>
              </w:rPr>
              <w:t>ESI可覆盖流片设备的技术淘汰风险</w:t>
            </w:r>
          </w:p>
        </w:tc>
      </w:tr>
      <w:tr w14:paraId="1F4DBAF6">
        <w:tblPrEx>
          <w:tblCellMar>
            <w:top w:w="0" w:type="dxa"/>
            <w:left w:w="108" w:type="dxa"/>
            <w:bottom w:w="0" w:type="dxa"/>
            <w:right w:w="108" w:type="dxa"/>
          </w:tblCellMar>
        </w:tblPrEx>
        <w:trPr>
          <w:cantSplit/>
        </w:trPr>
        <w:tc>
          <w:p w14:paraId="278AECDF">
            <w:pPr>
              <w:pStyle w:val="26"/>
              <w:spacing w:before="20" w:after="20" w:line="276" w:lineRule="auto"/>
            </w:pPr>
            <w:r>
              <w:rPr>
                <w:rFonts w:hint="eastAsia" w:ascii="Times New Roman" w:hAnsi="Times New Roman" w:eastAsia="宋体"/>
                <w:sz w:val="20"/>
              </w:rPr>
              <w:t>专利成果转化失败保险</w:t>
            </w:r>
          </w:p>
        </w:tc>
        <w:tc>
          <w:p w14:paraId="470E42C0">
            <w:pPr>
              <w:pStyle w:val="26"/>
              <w:spacing w:before="20" w:after="20" w:line="276" w:lineRule="auto"/>
            </w:pPr>
            <w:r>
              <w:rPr>
                <w:rFonts w:hint="eastAsia" w:ascii="Times New Roman" w:hAnsi="Times New Roman" w:eastAsia="宋体"/>
                <w:sz w:val="20"/>
              </w:rPr>
              <w:t>覆盖专利商业化失败</w:t>
            </w:r>
          </w:p>
        </w:tc>
        <w:tc>
          <w:p w14:paraId="040A2CF4">
            <w:pPr>
              <w:pStyle w:val="26"/>
              <w:spacing w:before="20" w:after="20" w:line="276" w:lineRule="auto"/>
            </w:pPr>
            <w:r>
              <w:rPr>
                <w:rFonts w:hint="eastAsia" w:ascii="Times New Roman" w:hAnsi="Times New Roman" w:eastAsia="宋体"/>
                <w:sz w:val="20"/>
              </w:rPr>
              <w:t>DMVI覆盖专利资产的摊销错配</w:t>
            </w:r>
          </w:p>
        </w:tc>
      </w:tr>
      <w:tr w14:paraId="4D3EB7B5">
        <w:tblPrEx>
          <w:tblCellMar>
            <w:top w:w="0" w:type="dxa"/>
            <w:left w:w="108" w:type="dxa"/>
            <w:bottom w:w="0" w:type="dxa"/>
            <w:right w:w="108" w:type="dxa"/>
          </w:tblCellMar>
        </w:tblPrEx>
        <w:trPr>
          <w:cantSplit/>
        </w:trPr>
        <w:tc>
          <w:p w14:paraId="54F3F2D8">
            <w:pPr>
              <w:pStyle w:val="26"/>
              <w:spacing w:before="20" w:after="20" w:line="276" w:lineRule="auto"/>
            </w:pPr>
            <w:r>
              <w:rPr>
                <w:rFonts w:hint="eastAsia" w:ascii="Times New Roman" w:hAnsi="Times New Roman" w:eastAsia="宋体"/>
                <w:sz w:val="20"/>
              </w:rPr>
              <w:t>网络安全保险</w:t>
            </w:r>
          </w:p>
        </w:tc>
        <w:tc>
          <w:p w14:paraId="5F36E242">
            <w:pPr>
              <w:pStyle w:val="26"/>
              <w:spacing w:before="20" w:after="20" w:line="276" w:lineRule="auto"/>
            </w:pPr>
            <w:r>
              <w:rPr>
                <w:rFonts w:hint="eastAsia" w:ascii="Times New Roman" w:hAnsi="Times New Roman" w:eastAsia="宋体"/>
                <w:sz w:val="20"/>
              </w:rPr>
              <w:t>覆盖数据泄露损失</w:t>
            </w:r>
          </w:p>
        </w:tc>
        <w:tc>
          <w:p w14:paraId="3EC0F946">
            <w:pPr>
              <w:pStyle w:val="26"/>
              <w:spacing w:before="20" w:after="20" w:line="276" w:lineRule="auto"/>
            </w:pPr>
            <w:r>
              <w:rPr>
                <w:rFonts w:hint="eastAsia" w:ascii="Times New Roman" w:hAnsi="Times New Roman" w:eastAsia="宋体"/>
                <w:sz w:val="20"/>
              </w:rPr>
              <w:t>独立产品，无直接衔接</w:t>
            </w:r>
          </w:p>
        </w:tc>
      </w:tr>
    </w:tbl>
    <w:p w14:paraId="2995C57F">
      <w:pPr>
        <w:pStyle w:val="3"/>
        <w:spacing w:before="40" w:after="40" w:line="360" w:lineRule="auto"/>
        <w:ind w:firstLine="480"/>
      </w:pPr>
      <w:r>
        <w:rPr>
          <w:rFonts w:hint="eastAsia" w:ascii="Times New Roman" w:hAnsi="Times New Roman" w:eastAsia="宋体"/>
          <w:b/>
          <w:bCs/>
          <w:sz w:val="24"/>
        </w:rPr>
        <w:t>产品组合建议</w:t>
      </w:r>
      <w:r>
        <w:rPr>
          <w:rFonts w:hint="eastAsia" w:ascii="Times New Roman" w:hAnsi="Times New Roman" w:eastAsia="宋体"/>
          <w:sz w:val="24"/>
        </w:rPr>
        <w:t>：</w:t>
      </w:r>
    </w:p>
    <w:p w14:paraId="19479E39">
      <w:pPr>
        <w:pStyle w:val="26"/>
        <w:spacing w:before="40" w:after="40" w:line="360" w:lineRule="auto"/>
        <w:ind w:left="420"/>
      </w:pPr>
      <w:r>
        <w:rPr>
          <w:rFonts w:hint="eastAsia" w:ascii="Times New Roman" w:hAnsi="Times New Roman" w:eastAsia="宋体"/>
          <w:sz w:val="24"/>
        </w:rPr>
        <w:t>基础包：研发费用损失保险</w:t>
      </w:r>
      <w:r>
        <w:rPr>
          <w:rFonts w:ascii="Times New Roman" w:hAnsi="Times New Roman" w:eastAsia="宋体"/>
          <w:sz w:val="24"/>
        </w:rPr>
        <w:t xml:space="preserve"> + </w:t>
      </w:r>
      <w:r>
        <w:rPr>
          <w:rFonts w:hint="eastAsia" w:ascii="Times New Roman" w:hAnsi="Times New Roman" w:eastAsia="宋体"/>
          <w:sz w:val="24"/>
        </w:rPr>
        <w:t>DMVI（覆盖研发+资产折旧）</w:t>
      </w:r>
    </w:p>
    <w:p w14:paraId="31AE3455">
      <w:pPr>
        <w:pStyle w:val="26"/>
        <w:spacing w:before="40" w:after="40" w:line="360" w:lineRule="auto"/>
        <w:ind w:left="420"/>
      </w:pPr>
      <w:r>
        <w:rPr>
          <w:rFonts w:hint="eastAsia" w:ascii="Times New Roman" w:hAnsi="Times New Roman" w:eastAsia="宋体"/>
          <w:sz w:val="24"/>
        </w:rPr>
        <w:t>进阶包：基础包</w:t>
      </w:r>
      <w:r>
        <w:rPr>
          <w:rFonts w:ascii="Times New Roman" w:hAnsi="Times New Roman" w:eastAsia="宋体"/>
          <w:sz w:val="24"/>
        </w:rPr>
        <w:t xml:space="preserve"> + </w:t>
      </w:r>
      <w:r>
        <w:rPr>
          <w:rFonts w:hint="eastAsia" w:ascii="Times New Roman" w:hAnsi="Times New Roman" w:eastAsia="宋体"/>
          <w:sz w:val="24"/>
        </w:rPr>
        <w:t>ESI（增加资产置换服务）</w:t>
      </w:r>
    </w:p>
    <w:p w14:paraId="0CFCFEE4">
      <w:pPr>
        <w:pStyle w:val="26"/>
        <w:spacing w:before="40" w:after="40" w:line="360" w:lineRule="auto"/>
        <w:ind w:left="420"/>
      </w:pPr>
      <w:r>
        <w:rPr>
          <w:rFonts w:hint="eastAsia" w:ascii="Times New Roman" w:hAnsi="Times New Roman" w:eastAsia="宋体"/>
          <w:sz w:val="24"/>
        </w:rPr>
        <w:t>旗舰包：进阶包</w:t>
      </w:r>
      <w:r>
        <w:rPr>
          <w:rFonts w:ascii="Times New Roman" w:hAnsi="Times New Roman" w:eastAsia="宋体"/>
          <w:sz w:val="24"/>
        </w:rPr>
        <w:t xml:space="preserve"> + </w:t>
      </w:r>
      <w:r>
        <w:rPr>
          <w:rFonts w:hint="eastAsia" w:ascii="Times New Roman" w:hAnsi="Times New Roman" w:eastAsia="宋体"/>
          <w:sz w:val="24"/>
        </w:rPr>
        <w:t>网络安全保险（全生命周期覆盖）</w:t>
      </w:r>
    </w:p>
    <w:bookmarkEnd w:id="116"/>
    <w:bookmarkEnd w:id="122"/>
    <w:p w14:paraId="41C7CD38">
      <w:pPr>
        <w:pStyle w:val="4"/>
        <w:spacing w:before="320" w:after="160" w:line="360" w:lineRule="auto"/>
      </w:pPr>
      <w:bookmarkStart w:id="123" w:name="_Toc13027"/>
      <w:bookmarkStart w:id="124" w:name="技术迭代路径与应用潜力"/>
      <w:r>
        <w:rPr>
          <w:rFonts w:ascii="Times New Roman" w:hAnsi="Times New Roman" w:eastAsia="黑体"/>
          <w:b/>
          <w:color w:val="003366"/>
          <w:sz w:val="28"/>
        </w:rPr>
        <w:t xml:space="preserve">5.5 </w:t>
      </w:r>
      <w:r>
        <w:rPr>
          <w:rFonts w:hint="eastAsia" w:ascii="Times New Roman" w:hAnsi="Times New Roman" w:eastAsia="黑体"/>
          <w:b/>
          <w:color w:val="003366"/>
          <w:sz w:val="28"/>
        </w:rPr>
        <w:t>技术迭代路径与应用潜力</w:t>
      </w:r>
      <w:bookmarkEnd w:id="123"/>
    </w:p>
    <w:p w14:paraId="3CD1AAE5">
      <w:pPr>
        <w:pStyle w:val="25"/>
        <w:spacing w:before="40" w:after="40" w:line="360" w:lineRule="auto"/>
        <w:ind w:firstLine="480"/>
      </w:pPr>
      <w:r>
        <w:rPr>
          <w:rFonts w:hint="eastAsia" w:ascii="Times New Roman" w:hAnsi="Times New Roman" w:eastAsia="宋体"/>
          <w:sz w:val="24"/>
        </w:rPr>
        <w:t>本方案预设三级演进路线，确保成果不是一次性作品而是可持续系统：</w:t>
      </w:r>
    </w:p>
    <w:p w14:paraId="431178F0">
      <w:pPr>
        <w:numPr>
          <w:ilvl w:val="0"/>
          <w:numId w:val="7"/>
        </w:numPr>
        <w:spacing w:before="40" w:after="40" w:line="360" w:lineRule="auto"/>
        <w:ind w:firstLine="480"/>
      </w:pPr>
      <w:r>
        <w:rPr>
          <w:rFonts w:hint="eastAsia" w:ascii="Times New Roman" w:hAnsi="Times New Roman" w:eastAsia="宋体"/>
          <w:sz w:val="24"/>
        </w:rPr>
        <w:t>当前（人工+AI</w:t>
      </w:r>
      <w:r>
        <w:rPr>
          <w:rFonts w:ascii="Times New Roman" w:hAnsi="Times New Roman" w:eastAsia="宋体"/>
          <w:sz w:val="24"/>
        </w:rPr>
        <w:t xml:space="preserve"> </w:t>
      </w:r>
      <w:r>
        <w:rPr>
          <w:rFonts w:hint="eastAsia" w:ascii="Times New Roman" w:hAnsi="Times New Roman" w:eastAsia="宋体"/>
          <w:sz w:val="24"/>
        </w:rPr>
        <w:t>辅助）：10</w:t>
      </w:r>
      <w:r>
        <w:rPr>
          <w:rFonts w:ascii="Times New Roman" w:hAnsi="Times New Roman" w:eastAsia="宋体"/>
          <w:sz w:val="24"/>
        </w:rPr>
        <w:t xml:space="preserve">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财年共</w:t>
      </w:r>
      <w:r>
        <w:rPr>
          <w:rFonts w:ascii="Times New Roman" w:hAnsi="Times New Roman" w:eastAsia="宋体"/>
          <w:sz w:val="24"/>
        </w:rPr>
        <w:t xml:space="preserve"> 30 </w:t>
      </w:r>
      <w:r>
        <w:rPr>
          <w:rFonts w:hint="eastAsia" w:ascii="Times New Roman" w:hAnsi="Times New Roman" w:eastAsia="宋体"/>
          <w:sz w:val="24"/>
        </w:rPr>
        <w:t>份金标准标注库</w:t>
      </w:r>
      <w:r>
        <w:rPr>
          <w:rFonts w:ascii="Times New Roman" w:hAnsi="Times New Roman" w:eastAsia="宋体"/>
          <w:sz w:val="24"/>
        </w:rPr>
        <w:t xml:space="preserve"> + </w:t>
      </w:r>
      <w:r>
        <w:rPr>
          <w:rFonts w:hint="eastAsia" w:ascii="Times New Roman" w:hAnsi="Times New Roman" w:eastAsia="宋体"/>
          <w:sz w:val="24"/>
        </w:rPr>
        <w:t>可运行的识别系统；模型化路径的可行性验证已完成（XGBoost 概念验证，附录 F</w:t>
      </w:r>
      <w:r>
        <w:rPr>
          <w:rFonts w:ascii="Times New Roman" w:hAnsi="Times New Roman" w:eastAsia="宋体"/>
          <w:sz w:val="24"/>
        </w:rPr>
        <w:t xml:space="preserve">——30 </w:t>
      </w:r>
      <w:r>
        <w:rPr>
          <w:rFonts w:hint="eastAsia" w:ascii="Times New Roman" w:hAnsi="Times New Roman" w:eastAsia="宋体"/>
          <w:sz w:val="24"/>
        </w:rPr>
        <w:t>行面板、55</w:t>
      </w:r>
      <w:r>
        <w:rPr>
          <w:rFonts w:ascii="Times New Roman" w:hAnsi="Times New Roman" w:eastAsia="宋体"/>
          <w:sz w:val="24"/>
        </w:rPr>
        <w:t xml:space="preserve"> </w:t>
      </w:r>
      <w:r>
        <w:rPr>
          <w:rFonts w:hint="eastAsia" w:ascii="Times New Roman" w:hAnsi="Times New Roman" w:eastAsia="宋体"/>
          <w:sz w:val="24"/>
        </w:rPr>
        <w:t>特征下</w:t>
      </w:r>
      <w:r>
        <w:rPr>
          <w:rFonts w:ascii="Times New Roman" w:hAnsi="Times New Roman" w:eastAsia="宋体"/>
          <w:sz w:val="24"/>
        </w:rPr>
        <w:t xml:space="preserve"> LOGO </w:t>
      </w:r>
      <w:r>
        <w:rPr>
          <w:rFonts w:hint="eastAsia" w:ascii="Times New Roman" w:hAnsi="Times New Roman" w:eastAsia="宋体"/>
          <w:sz w:val="24"/>
        </w:rPr>
        <w:t>交叉验证相对朴素基线改善约</w:t>
      </w:r>
      <w:r>
        <w:rPr>
          <w:rFonts w:ascii="Times New Roman" w:hAnsi="Times New Roman" w:eastAsia="宋体"/>
          <w:sz w:val="24"/>
        </w:rPr>
        <w:t xml:space="preserve"> </w:t>
      </w:r>
      <w:r>
        <w:rPr>
          <w:rFonts w:hint="eastAsia" w:ascii="Times New Roman" w:hAnsi="Times New Roman" w:eastAsia="宋体"/>
          <w:sz w:val="24"/>
        </w:rPr>
        <w:t>47%，政策/比率类指标整体上位，仅作可行性证据、不构成预测能力声明）；</w:t>
      </w:r>
    </w:p>
    <w:p w14:paraId="156801BA">
      <w:pPr>
        <w:numPr>
          <w:ilvl w:val="0"/>
          <w:numId w:val="7"/>
        </w:numPr>
        <w:spacing w:before="40" w:after="40" w:line="360" w:lineRule="auto"/>
        <w:ind w:firstLine="480"/>
      </w:pPr>
      <w:r>
        <w:rPr>
          <w:rFonts w:hint="eastAsia" w:ascii="Times New Roman" w:hAnsi="Times New Roman" w:eastAsia="宋体"/>
          <w:sz w:val="24"/>
        </w:rPr>
        <w:t>近期（模型化）：以标注库为训练集，训练文本分类模型自动识别风险信号与严重度，将单份</w:t>
      </w:r>
      <w:r>
        <w:rPr>
          <w:rFonts w:ascii="Times New Roman" w:hAnsi="Times New Roman" w:eastAsia="宋体"/>
          <w:sz w:val="24"/>
        </w:rPr>
        <w:t xml:space="preserve"> 10-K </w:t>
      </w:r>
      <w:r>
        <w:rPr>
          <w:rFonts w:hint="eastAsia" w:ascii="Times New Roman" w:hAnsi="Times New Roman" w:eastAsia="宋体"/>
          <w:sz w:val="24"/>
        </w:rPr>
        <w:t>的标注工时从数天压缩至分钟级；折旧指纹规则（R1-R3）接入结构化财报数据接口（如</w:t>
      </w:r>
      <w:r>
        <w:rPr>
          <w:rFonts w:ascii="Times New Roman" w:hAnsi="Times New Roman" w:eastAsia="宋体"/>
          <w:sz w:val="24"/>
        </w:rPr>
        <w:t xml:space="preserve"> SEC XBRL </w:t>
      </w:r>
      <w:r>
        <w:rPr>
          <w:rFonts w:hint="eastAsia" w:ascii="Times New Roman" w:hAnsi="Times New Roman" w:eastAsia="宋体"/>
          <w:sz w:val="24"/>
        </w:rPr>
        <w:t>API），实现全市场批量筛查；</w:t>
      </w:r>
    </w:p>
    <w:p w14:paraId="0F78534F">
      <w:pPr>
        <w:numPr>
          <w:ilvl w:val="0"/>
          <w:numId w:val="7"/>
        </w:numPr>
        <w:spacing w:before="40" w:after="40" w:line="360" w:lineRule="auto"/>
        <w:ind w:firstLine="480"/>
      </w:pPr>
      <w:r>
        <w:rPr>
          <w:rFonts w:hint="eastAsia" w:ascii="Times New Roman" w:hAnsi="Times New Roman" w:eastAsia="宋体"/>
          <w:sz w:val="24"/>
        </w:rPr>
        <w:t>中期（本土化与数据资产化）：方法论迁移至</w:t>
      </w:r>
      <w:r>
        <w:rPr>
          <w:rFonts w:ascii="Times New Roman" w:hAnsi="Times New Roman" w:eastAsia="宋体"/>
          <w:sz w:val="24"/>
        </w:rPr>
        <w:t xml:space="preserve"> A </w:t>
      </w:r>
      <w:r>
        <w:rPr>
          <w:rFonts w:hint="eastAsia" w:ascii="Times New Roman" w:hAnsi="Times New Roman" w:eastAsia="宋体"/>
          <w:sz w:val="24"/>
        </w:rPr>
        <w:t>股/港股年报（智算中心运营商、AI</w:t>
      </w:r>
      <w:r>
        <w:rPr>
          <w:rFonts w:ascii="Times New Roman" w:hAnsi="Times New Roman" w:eastAsia="宋体"/>
          <w:sz w:val="24"/>
        </w:rPr>
        <w:t xml:space="preserve"> </w:t>
      </w:r>
      <w:r>
        <w:rPr>
          <w:rFonts w:hint="eastAsia" w:ascii="Times New Roman" w:hAnsi="Times New Roman" w:eastAsia="宋体"/>
          <w:sz w:val="24"/>
        </w:rPr>
        <w:t>芯片企业），服务中国科技保险定价。</w:t>
      </w:r>
    </w:p>
    <w:p w14:paraId="6EB967D7">
      <w:pPr>
        <w:pStyle w:val="25"/>
        <w:spacing w:before="40" w:after="40" w:line="360" w:lineRule="auto"/>
        <w:ind w:firstLine="480"/>
      </w:pPr>
      <w:r>
        <w:rPr>
          <w:rFonts w:hint="eastAsia" w:ascii="Times New Roman" w:hAnsi="Times New Roman" w:eastAsia="宋体"/>
          <w:sz w:val="24"/>
        </w:rPr>
        <w:t>数据资产化路径：当前</w:t>
      </w:r>
      <w:r>
        <w:rPr>
          <w:rFonts w:ascii="Times New Roman" w:hAnsi="Times New Roman" w:eastAsia="宋体"/>
          <w:sz w:val="24"/>
        </w:rPr>
        <w:t xml:space="preserve"> 30 </w:t>
      </w:r>
      <w:r>
        <w:rPr>
          <w:rFonts w:hint="eastAsia" w:ascii="Times New Roman" w:hAnsi="Times New Roman" w:eastAsia="宋体"/>
          <w:sz w:val="24"/>
        </w:rPr>
        <w:t>份金标准标注（含证据链、五维评分、支撑信号）已具备数据资产的初步形态：</w:t>
      </w:r>
    </w:p>
    <w:p w14:paraId="3A67AE42">
      <w:pPr>
        <w:pStyle w:val="3"/>
        <w:spacing w:before="40" w:after="40" w:line="360" w:lineRule="auto"/>
        <w:ind w:firstLine="480"/>
      </w:pPr>
      <w:r>
        <w:rPr>
          <w:rFonts w:hint="eastAsia" w:ascii="Times New Roman" w:hAnsi="Times New Roman" w:eastAsia="宋体"/>
          <w:sz w:val="24"/>
        </w:rPr>
        <w:t>确权：标注库知识产权归课题组所有，以结构化</w:t>
      </w:r>
      <w:r>
        <w:rPr>
          <w:rFonts w:ascii="Times New Roman" w:hAnsi="Times New Roman" w:eastAsia="宋体"/>
          <w:sz w:val="24"/>
        </w:rPr>
        <w:t xml:space="preserve"> JSON </w:t>
      </w:r>
      <w:r>
        <w:rPr>
          <w:rFonts w:hint="eastAsia" w:ascii="Times New Roman" w:hAnsi="Times New Roman" w:eastAsia="宋体"/>
          <w:sz w:val="24"/>
        </w:rPr>
        <w:t>格式存储，具备可审计的</w:t>
      </w:r>
      <w:r>
        <w:rPr>
          <w:rFonts w:ascii="Times New Roman" w:hAnsi="Times New Roman" w:eastAsia="宋体"/>
          <w:sz w:val="24"/>
        </w:rPr>
        <w:t xml:space="preserve"> revision </w:t>
      </w:r>
      <w:r>
        <w:rPr>
          <w:rFonts w:hint="eastAsia" w:ascii="Times New Roman" w:hAnsi="Times New Roman" w:eastAsia="宋体"/>
          <w:sz w:val="24"/>
        </w:rPr>
        <w:t>history；</w:t>
      </w:r>
    </w:p>
    <w:p w14:paraId="3BFD8CAB">
      <w:pPr>
        <w:pStyle w:val="3"/>
        <w:spacing w:before="40" w:after="40" w:line="360" w:lineRule="auto"/>
        <w:ind w:firstLine="480"/>
      </w:pPr>
      <w:r>
        <w:rPr>
          <w:rFonts w:hint="eastAsia" w:ascii="Times New Roman" w:hAnsi="Times New Roman" w:eastAsia="宋体"/>
          <w:sz w:val="24"/>
        </w:rPr>
        <w:t>估值：按标注工时（每份10-K标注含:关键词全文检索(30分钟)+四列证据链草拟(2小时)+逐字人工复核(2小时，含原文一致性/行号核对/推断逻辑/锚点符合度四项检查)+JSON入库与交叉核对(30分钟)，平均5小时/份。按研究生助研时薪50元/小时计算，30份样本基础人工成本=30×5*50=7,500元;叠加Python脚本开发、XGBoost验证、Streamlit系统开发(约60人天)，数据资产基准估值约3-5万元。该估值为成本法下限，未计入专家复核溢价与数据稀缺性溢价。）+</w:t>
      </w:r>
      <w:r>
        <w:rPr>
          <w:rFonts w:ascii="Times New Roman" w:hAnsi="Times New Roman" w:eastAsia="宋体"/>
          <w:sz w:val="24"/>
        </w:rPr>
        <w:t xml:space="preserve"> </w:t>
      </w:r>
      <w:r>
        <w:rPr>
          <w:rFonts w:hint="eastAsia" w:ascii="Times New Roman" w:hAnsi="Times New Roman" w:eastAsia="宋体"/>
          <w:sz w:val="24"/>
        </w:rPr>
        <w:t>复核成本</w:t>
      </w:r>
      <w:r>
        <w:rPr>
          <w:rFonts w:ascii="Times New Roman" w:hAnsi="Times New Roman" w:eastAsia="宋体"/>
          <w:sz w:val="24"/>
        </w:rPr>
        <w:t xml:space="preserve"> + XGBoost </w:t>
      </w:r>
      <w:r>
        <w:rPr>
          <w:rFonts w:hint="eastAsia" w:ascii="Times New Roman" w:hAnsi="Times New Roman" w:eastAsia="宋体"/>
          <w:sz w:val="24"/>
        </w:rPr>
        <w:t>验证成本，形成成本法估值基准；</w:t>
      </w:r>
    </w:p>
    <w:p w14:paraId="4FB5CA10">
      <w:pPr>
        <w:pStyle w:val="3"/>
        <w:spacing w:before="40" w:after="40" w:line="360" w:lineRule="auto"/>
        <w:ind w:firstLine="480"/>
      </w:pPr>
      <w:r>
        <w:rPr>
          <w:rFonts w:hint="eastAsia" w:ascii="Times New Roman" w:hAnsi="Times New Roman" w:eastAsia="宋体"/>
          <w:sz w:val="24"/>
        </w:rPr>
        <w:t>授权使用：在监管沙盒或行业联盟框架下，向科技保险实验室授权使用，按年度订阅或按查询次数计费；</w:t>
      </w:r>
    </w:p>
    <w:p w14:paraId="2869949B">
      <w:pPr>
        <w:pStyle w:val="3"/>
        <w:spacing w:before="40" w:after="40" w:line="360" w:lineRule="auto"/>
        <w:ind w:firstLine="480"/>
      </w:pPr>
      <w:r>
        <w:rPr>
          <w:rFonts w:hint="eastAsia" w:ascii="Times New Roman" w:hAnsi="Times New Roman" w:eastAsia="宋体"/>
          <w:sz w:val="24"/>
        </w:rPr>
        <w:t>持续增值：每年</w:t>
      </w:r>
      <w:r>
        <w:rPr>
          <w:rFonts w:ascii="Times New Roman" w:hAnsi="Times New Roman" w:eastAsia="宋体"/>
          <w:sz w:val="24"/>
        </w:rPr>
        <w:t xml:space="preserve"> 10-K </w:t>
      </w:r>
      <w:r>
        <w:rPr>
          <w:rFonts w:hint="eastAsia" w:ascii="Times New Roman" w:hAnsi="Times New Roman" w:eastAsia="宋体"/>
          <w:sz w:val="24"/>
        </w:rPr>
        <w:t>披露季滚动更新，数据价值随时间递增。</w:t>
      </w:r>
    </w:p>
    <w:p w14:paraId="1A88A431">
      <w:pPr>
        <w:pStyle w:val="3"/>
        <w:spacing w:before="40" w:after="40" w:line="360" w:lineRule="auto"/>
        <w:ind w:firstLine="480"/>
      </w:pPr>
      <w:r>
        <w:rPr>
          <w:rFonts w:hint="eastAsia" w:ascii="Times New Roman" w:hAnsi="Times New Roman" w:eastAsia="宋体"/>
          <w:sz w:val="24"/>
        </w:rPr>
        <w:t>标注库的规模化与交易机制需在后续研究中完善，当前定位为“风险数据资产的原型验证”。【已实现】</w:t>
      </w:r>
      <w:r>
        <w:rPr>
          <w:rFonts w:ascii="Times New Roman" w:hAnsi="Times New Roman" w:eastAsia="宋体"/>
          <w:sz w:val="24"/>
        </w:rPr>
        <w:t xml:space="preserve"> Streamlit </w:t>
      </w:r>
      <w:r>
        <w:rPr>
          <w:rFonts w:hint="eastAsia" w:ascii="Times New Roman" w:hAnsi="Times New Roman" w:eastAsia="宋体"/>
          <w:sz w:val="24"/>
        </w:rPr>
        <w:t>智能识别系统已新增</w:t>
      </w:r>
      <w:r>
        <w:rPr>
          <w:rFonts w:ascii="Times New Roman" w:hAnsi="Times New Roman" w:eastAsia="宋体"/>
          <w:sz w:val="24"/>
        </w:rPr>
        <w:t xml:space="preserve"> P7「AI </w:t>
      </w:r>
      <w:r>
        <w:rPr>
          <w:rFonts w:hint="eastAsia" w:ascii="Times New Roman" w:hAnsi="Times New Roman" w:eastAsia="宋体"/>
          <w:sz w:val="24"/>
        </w:rPr>
        <w:t>智能标注」页面，基于</w:t>
      </w:r>
      <w:r>
        <w:rPr>
          <w:rFonts w:ascii="Times New Roman" w:hAnsi="Times New Roman" w:eastAsia="宋体"/>
          <w:sz w:val="24"/>
        </w:rPr>
        <w:t xml:space="preserve"> DeepSeek-V3 API </w:t>
      </w:r>
      <w:r>
        <w:rPr>
          <w:rFonts w:hint="eastAsia" w:ascii="Times New Roman" w:hAnsi="Times New Roman" w:eastAsia="宋体"/>
          <w:sz w:val="24"/>
        </w:rPr>
        <w:t>实现六步流水线：①EDGAR</w:t>
      </w:r>
      <w:r>
        <w:rPr>
          <w:rFonts w:ascii="Times New Roman" w:hAnsi="Times New Roman" w:eastAsia="宋体"/>
          <w:sz w:val="24"/>
        </w:rPr>
        <w:t xml:space="preserve"> </w:t>
      </w:r>
      <w:r>
        <w:rPr>
          <w:rFonts w:hint="eastAsia" w:ascii="Times New Roman" w:hAnsi="Times New Roman" w:eastAsia="宋体"/>
          <w:sz w:val="24"/>
        </w:rPr>
        <w:t>自动下载</w:t>
      </w:r>
      <w:r>
        <w:rPr>
          <w:rFonts w:ascii="Times New Roman" w:hAnsi="Times New Roman" w:eastAsia="宋体"/>
          <w:sz w:val="24"/>
        </w:rPr>
        <w:t xml:space="preserve"> 10-K → </w:t>
      </w:r>
      <w:r>
        <w:rPr>
          <w:rFonts w:hint="eastAsia" w:ascii="Times New Roman" w:hAnsi="Times New Roman" w:eastAsia="宋体"/>
          <w:sz w:val="24"/>
        </w:rPr>
        <w:t>②关键词全文定位</w:t>
      </w:r>
      <w:r>
        <w:rPr>
          <w:rFonts w:ascii="Times New Roman" w:hAnsi="Times New Roman" w:eastAsia="宋体"/>
          <w:sz w:val="24"/>
        </w:rPr>
        <w:t xml:space="preserve"> → ③DeepSeek </w:t>
      </w:r>
      <w:r>
        <w:rPr>
          <w:rFonts w:hint="eastAsia" w:ascii="Times New Roman" w:hAnsi="Times New Roman" w:eastAsia="宋体"/>
          <w:sz w:val="24"/>
        </w:rPr>
        <w:t>语义标注（证据链四列</w:t>
      </w:r>
      <w:r>
        <w:rPr>
          <w:rFonts w:ascii="Times New Roman" w:hAnsi="Times New Roman" w:eastAsia="宋体"/>
          <w:sz w:val="24"/>
        </w:rPr>
        <w:t xml:space="preserve"> + </w:t>
      </w:r>
      <w:r>
        <w:rPr>
          <w:rFonts w:hint="eastAsia" w:ascii="Times New Roman" w:hAnsi="Times New Roman" w:eastAsia="宋体"/>
          <w:sz w:val="24"/>
        </w:rPr>
        <w:t>五维评分草稿）→</w:t>
      </w:r>
      <w:r>
        <w:rPr>
          <w:rFonts w:ascii="Times New Roman" w:hAnsi="Times New Roman" w:eastAsia="宋体"/>
          <w:sz w:val="24"/>
        </w:rPr>
        <w:t xml:space="preserve"> </w:t>
      </w:r>
      <w:r>
        <w:rPr>
          <w:rFonts w:hint="eastAsia" w:ascii="Times New Roman" w:hAnsi="Times New Roman" w:eastAsia="宋体"/>
          <w:sz w:val="24"/>
        </w:rPr>
        <w:t>④验真（原文一致性、XBRL</w:t>
      </w:r>
      <w:r>
        <w:rPr>
          <w:rFonts w:ascii="Times New Roman" w:hAnsi="Times New Roman" w:eastAsia="宋体"/>
          <w:sz w:val="24"/>
        </w:rPr>
        <w:t xml:space="preserve"> </w:t>
      </w:r>
      <w:r>
        <w:rPr>
          <w:rFonts w:hint="eastAsia" w:ascii="Times New Roman" w:hAnsi="Times New Roman" w:eastAsia="宋体"/>
          <w:sz w:val="24"/>
        </w:rPr>
        <w:t>噪声排除、锚点符合度）→</w:t>
      </w:r>
      <w:r>
        <w:rPr>
          <w:rFonts w:ascii="Times New Roman" w:hAnsi="Times New Roman" w:eastAsia="宋体"/>
          <w:sz w:val="24"/>
        </w:rPr>
        <w:t xml:space="preserve"> </w:t>
      </w:r>
      <w:r>
        <w:rPr>
          <w:rFonts w:hint="eastAsia" w:ascii="Times New Roman" w:hAnsi="Times New Roman" w:eastAsia="宋体"/>
          <w:sz w:val="24"/>
        </w:rPr>
        <w:t>⑤评分校准</w:t>
      </w:r>
      <w:r>
        <w:rPr>
          <w:rFonts w:ascii="Times New Roman" w:hAnsi="Times New Roman" w:eastAsia="宋体"/>
          <w:sz w:val="24"/>
        </w:rPr>
        <w:t xml:space="preserve"> → </w:t>
      </w:r>
      <w:r>
        <w:rPr>
          <w:rFonts w:hint="eastAsia" w:ascii="Times New Roman" w:hAnsi="Times New Roman" w:eastAsia="宋体"/>
          <w:sz w:val="24"/>
        </w:rPr>
        <w:t>⑥结果导出</w:t>
      </w:r>
      <w:r>
        <w:rPr>
          <w:rFonts w:ascii="Times New Roman" w:hAnsi="Times New Roman" w:eastAsia="宋体"/>
          <w:sz w:val="24"/>
        </w:rPr>
        <w:t xml:space="preserve"> JSON。D3/D5 </w:t>
      </w:r>
      <w:r>
        <w:rPr>
          <w:rFonts w:hint="eastAsia" w:ascii="Times New Roman" w:hAnsi="Times New Roman" w:eastAsia="宋体"/>
          <w:sz w:val="24"/>
        </w:rPr>
        <w:t>维度及验真未通过的信号仍需人工复核，当前定位为“AI</w:t>
      </w:r>
      <w:r>
        <w:rPr>
          <w:rFonts w:ascii="Times New Roman" w:hAnsi="Times New Roman" w:eastAsia="宋体"/>
          <w:sz w:val="24"/>
        </w:rPr>
        <w:t xml:space="preserve"> </w:t>
      </w:r>
      <w:r>
        <w:rPr>
          <w:rFonts w:hint="eastAsia" w:ascii="Times New Roman" w:hAnsi="Times New Roman" w:eastAsia="宋体"/>
          <w:sz w:val="24"/>
        </w:rPr>
        <w:t>辅助标注效率工具”而非“全自动评分器”。代码已开源，详见附录</w:t>
      </w:r>
      <w:r>
        <w:rPr>
          <w:rFonts w:ascii="Times New Roman" w:hAnsi="Times New Roman" w:eastAsia="宋体"/>
          <w:sz w:val="24"/>
        </w:rPr>
        <w:t xml:space="preserve"> D。</w:t>
      </w:r>
    </w:p>
    <w:bookmarkEnd w:id="107"/>
    <w:bookmarkEnd w:id="124"/>
    <w:p w14:paraId="60741236">
      <w:pPr>
        <w:pStyle w:val="2"/>
        <w:pageBreakBefore/>
        <w:spacing w:before="360" w:after="240" w:line="360" w:lineRule="auto"/>
        <w:jc w:val="center"/>
      </w:pPr>
      <w:bookmarkStart w:id="125" w:name="_Toc18273"/>
      <w:bookmarkStart w:id="126" w:name="第六章对中国科创企业的镜鉴"/>
      <w:r>
        <w:rPr>
          <w:rFonts w:hint="eastAsia" w:ascii="Times New Roman" w:hAnsi="Times New Roman" w:eastAsia="黑体"/>
          <w:b/>
          <w:color w:val="000000"/>
          <w:sz w:val="32"/>
        </w:rPr>
        <w:t>第六章对中国科创企业的镜鉴</w:t>
      </w:r>
      <w:bookmarkEnd w:id="125"/>
    </w:p>
    <w:p w14:paraId="460773C4">
      <w:pPr>
        <w:pStyle w:val="25"/>
        <w:spacing w:before="40" w:after="40" w:line="360" w:lineRule="auto"/>
        <w:ind w:firstLine="480"/>
      </w:pPr>
      <w:r>
        <w:rPr>
          <w:rFonts w:hint="eastAsia" w:ascii="Times New Roman" w:hAnsi="Times New Roman" w:eastAsia="宋体"/>
          <w:sz w:val="24"/>
        </w:rPr>
        <w:t>本章核心结论：美国实证证明错配是周期性的，中国智算中心建设潮存在同类隐患；中美制度通道方向相反——加速折旧在中国是合法且被鼓励的工具（一次性扣除、加计扣除等），但工具是自愿的、会计准则层面的估计裁量与美国同构，“有工具”不等于“无风险”；6.6</w:t>
      </w:r>
      <w:r>
        <w:rPr>
          <w:rFonts w:ascii="Times New Roman" w:hAnsi="Times New Roman" w:eastAsia="宋体"/>
          <w:sz w:val="24"/>
        </w:rPr>
        <w:t xml:space="preserve"> </w:t>
      </w:r>
      <w:r>
        <w:rPr>
          <w:rFonts w:hint="eastAsia" w:ascii="Times New Roman" w:hAnsi="Times New Roman" w:eastAsia="宋体"/>
          <w:sz w:val="24"/>
        </w:rPr>
        <w:t>节三家</w:t>
      </w:r>
      <w:r>
        <w:rPr>
          <w:rFonts w:ascii="Times New Roman" w:hAnsi="Times New Roman" w:eastAsia="宋体"/>
          <w:sz w:val="24"/>
        </w:rPr>
        <w:t xml:space="preserve"> A </w:t>
      </w:r>
      <w:r>
        <w:rPr>
          <w:rFonts w:hint="eastAsia" w:ascii="Times New Roman" w:hAnsi="Times New Roman" w:eastAsia="宋体"/>
          <w:sz w:val="24"/>
        </w:rPr>
        <w:t>股验证已发现年限漂移、减值密集、存货激增三类本土实证信号，并表明</w:t>
      </w:r>
      <w:r>
        <w:rPr>
          <w:rFonts w:ascii="Times New Roman" w:hAnsi="Times New Roman" w:eastAsia="宋体"/>
          <w:sz w:val="24"/>
        </w:rPr>
        <w:t xml:space="preserve"> 5D-DRS </w:t>
      </w:r>
      <w:r>
        <w:rPr>
          <w:rFonts w:hint="eastAsia" w:ascii="Times New Roman" w:hAnsi="Times New Roman" w:eastAsia="宋体"/>
          <w:sz w:val="24"/>
        </w:rPr>
        <w:t>具备跨市场外部效度。</w:t>
      </w:r>
    </w:p>
    <w:p w14:paraId="2F4496C5">
      <w:pPr>
        <w:pStyle w:val="4"/>
        <w:spacing w:before="320" w:after="160" w:line="360" w:lineRule="auto"/>
      </w:pPr>
      <w:bookmarkStart w:id="127" w:name="_Toc18567"/>
      <w:bookmarkStart w:id="128" w:name="美国实证的启示错配是周期性的不是偶然的"/>
      <w:r>
        <w:rPr>
          <w:rFonts w:ascii="Times New Roman" w:hAnsi="Times New Roman" w:eastAsia="黑体"/>
          <w:b/>
          <w:color w:val="003366"/>
          <w:sz w:val="28"/>
        </w:rPr>
        <w:t xml:space="preserve">6.1 </w:t>
      </w:r>
      <w:r>
        <w:rPr>
          <w:rFonts w:hint="eastAsia" w:ascii="Times New Roman" w:hAnsi="Times New Roman" w:eastAsia="黑体"/>
          <w:b/>
          <w:color w:val="003366"/>
          <w:sz w:val="28"/>
        </w:rPr>
        <w:t>美国实证的启示：错配是周期性的，不是偶然的</w:t>
      </w:r>
      <w:bookmarkEnd w:id="127"/>
    </w:p>
    <w:p w14:paraId="78763D47">
      <w:pPr>
        <w:pStyle w:val="25"/>
        <w:pageBreakBefore w:val="0"/>
        <w:spacing w:before="40" w:after="40" w:line="360" w:lineRule="auto"/>
        <w:ind w:firstLine="480"/>
      </w:pPr>
      <w:r>
        <w:rPr>
          <w:rFonts w:hint="eastAsia" w:ascii="Times New Roman" w:hAnsi="Times New Roman" w:eastAsia="宋体"/>
          <w:sz w:val="24"/>
        </w:rPr>
        <w:t>第四章的面板证据揭示了折旧错配的三条规律，它们对中国同样成立：</w:t>
      </w:r>
    </w:p>
    <w:p w14:paraId="1B7B20E6">
      <w:pPr>
        <w:pStyle w:val="3"/>
        <w:spacing w:before="40" w:after="40" w:line="360" w:lineRule="auto"/>
        <w:ind w:firstLine="480"/>
      </w:pPr>
      <w:r>
        <w:rPr>
          <w:rFonts w:hint="eastAsia" w:ascii="Times New Roman" w:hAnsi="Times New Roman" w:eastAsia="宋体"/>
          <w:sz w:val="24"/>
        </w:rPr>
        <w:t>其一，错配与资本开支狂潮同步发生，且会反复发生。</w:t>
      </w:r>
      <w:r>
        <w:rPr>
          <w:rFonts w:ascii="Times New Roman" w:hAnsi="Times New Roman" w:eastAsia="宋体"/>
          <w:sz w:val="24"/>
        </w:rPr>
        <w:t xml:space="preserve"> </w:t>
      </w:r>
      <w:r>
        <w:rPr>
          <w:rFonts w:hint="eastAsia" w:ascii="Times New Roman" w:hAnsi="Times New Roman" w:eastAsia="宋体"/>
          <w:sz w:val="24"/>
        </w:rPr>
        <w:t>六家美国公司在</w:t>
      </w:r>
      <w:r>
        <w:rPr>
          <w:rFonts w:ascii="Times New Roman" w:hAnsi="Times New Roman" w:eastAsia="宋体"/>
          <w:sz w:val="24"/>
        </w:rPr>
        <w:t xml:space="preserve"> ChatGPT </w:t>
      </w:r>
      <w:r>
        <w:rPr>
          <w:rFonts w:hint="eastAsia" w:ascii="Times New Roman" w:hAnsi="Times New Roman" w:eastAsia="宋体"/>
          <w:sz w:val="24"/>
        </w:rPr>
        <w:t>引爆</w:t>
      </w:r>
      <w:r>
        <w:rPr>
          <w:rFonts w:ascii="Times New Roman" w:hAnsi="Times New Roman" w:eastAsia="宋体"/>
          <w:sz w:val="24"/>
        </w:rPr>
        <w:t xml:space="preserve"> AI </w:t>
      </w:r>
      <w:r>
        <w:rPr>
          <w:rFonts w:hint="eastAsia" w:ascii="Times New Roman" w:hAnsi="Times New Roman" w:eastAsia="宋体"/>
          <w:sz w:val="24"/>
        </w:rPr>
        <w:t>投资后约</w:t>
      </w:r>
      <w:r>
        <w:rPr>
          <w:rFonts w:ascii="Times New Roman" w:hAnsi="Times New Roman" w:eastAsia="宋体"/>
          <w:sz w:val="24"/>
        </w:rPr>
        <w:t xml:space="preserve"> 12 </w:t>
      </w:r>
      <w:r>
        <w:rPr>
          <w:rFonts w:hint="eastAsia" w:ascii="Times New Roman" w:hAnsi="Times New Roman" w:eastAsia="宋体"/>
          <w:sz w:val="24"/>
        </w:rPr>
        <w:t>个月内同步延长折旧年限，Oracle</w:t>
      </w:r>
      <w:r>
        <w:rPr>
          <w:rFonts w:ascii="Times New Roman" w:hAnsi="Times New Roman" w:eastAsia="宋体"/>
          <w:sz w:val="24"/>
        </w:rPr>
        <w:t xml:space="preserv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又在窗口之后再度延长——会计假设的“宽松化”总是出现在投资扩张期，因为此时管理层最有动机美化利润、审计约束最难跟上资产膨胀的速度；只要军备竞赛不停，“年限延长策略”就会一再重演。</w:t>
      </w:r>
    </w:p>
    <w:p w14:paraId="725BA23E">
      <w:pPr>
        <w:pStyle w:val="3"/>
        <w:spacing w:before="40" w:after="40" w:line="360" w:lineRule="auto"/>
        <w:ind w:firstLine="480"/>
      </w:pPr>
      <w:r>
        <w:rPr>
          <w:rFonts w:hint="eastAsia" w:ascii="Times New Roman" w:hAnsi="Times New Roman" w:eastAsia="宋体"/>
          <w:sz w:val="24"/>
        </w:rPr>
        <w:t>其二，错配的兑现存在时间差，且由轻到重传导。</w:t>
      </w:r>
      <w:r>
        <w:rPr>
          <w:rFonts w:ascii="Times New Roman" w:hAnsi="Times New Roman" w:eastAsia="宋体"/>
          <w:sz w:val="24"/>
        </w:rPr>
        <w:t xml:space="preserve"> </w:t>
      </w:r>
      <w:r>
        <w:rPr>
          <w:rFonts w:hint="eastAsia" w:ascii="Times New Roman" w:hAnsi="Times New Roman" w:eastAsia="宋体"/>
          <w:sz w:val="24"/>
        </w:rPr>
        <w:t>兑现顺序大致是：存货减记（设计型/制造型，Micron</w:t>
      </w:r>
      <w:r>
        <w:rPr>
          <w:rFonts w:ascii="Times New Roman" w:hAnsi="Times New Roman" w:eastAsia="宋体"/>
          <w:sz w:val="24"/>
        </w:rPr>
        <w:t xml:space="preserve"> </w:t>
      </w:r>
      <w:r>
        <w:rPr>
          <w:rFonts w:hint="eastAsia" w:ascii="Times New Roman" w:hAnsi="Times New Roman" w:eastAsia="宋体"/>
          <w:sz w:val="24"/>
        </w:rPr>
        <w:t>已兑现</w:t>
      </w:r>
      <w:r>
        <w:rPr>
          <w:rFonts w:ascii="Times New Roman" w:hAnsi="Times New Roman" w:eastAsia="宋体"/>
          <w:sz w:val="24"/>
        </w:rPr>
        <w:t xml:space="preserve"> </w:t>
      </w:r>
      <w:r>
        <w:rPr>
          <w:rFonts w:hint="eastAsia" w:ascii="Times New Roman" w:hAnsi="Times New Roman" w:eastAsia="宋体"/>
          <w:sz w:val="24"/>
        </w:rPr>
        <w:t>$1.83B）→</w:t>
      </w:r>
      <w:r>
        <w:rPr>
          <w:rFonts w:ascii="Times New Roman" w:hAnsi="Times New Roman" w:eastAsia="宋体"/>
          <w:sz w:val="24"/>
        </w:rPr>
        <w:t xml:space="preserve"> </w:t>
      </w:r>
      <w:r>
        <w:rPr>
          <w:rFonts w:hint="eastAsia" w:ascii="Times New Roman" w:hAnsi="Times New Roman" w:eastAsia="宋体"/>
          <w:sz w:val="24"/>
        </w:rPr>
        <w:t>折旧阶梯上升（运营型，未来</w:t>
      </w:r>
      <w:r>
        <w:rPr>
          <w:rFonts w:ascii="Times New Roman" w:hAnsi="Times New Roman" w:eastAsia="宋体"/>
          <w:sz w:val="24"/>
        </w:rPr>
        <w:t xml:space="preserve"> 2-3 </w:t>
      </w:r>
      <w:r>
        <w:rPr>
          <w:rFonts w:hint="eastAsia" w:ascii="Times New Roman" w:hAnsi="Times New Roman" w:eastAsia="宋体"/>
          <w:sz w:val="24"/>
        </w:rPr>
        <w:t>年）→</w:t>
      </w:r>
      <w:r>
        <w:rPr>
          <w:rFonts w:ascii="Times New Roman" w:hAnsi="Times New Roman" w:eastAsia="宋体"/>
          <w:sz w:val="24"/>
        </w:rPr>
        <w:t xml:space="preserve"> </w:t>
      </w:r>
      <w:r>
        <w:rPr>
          <w:rFonts w:hint="eastAsia" w:ascii="Times New Roman" w:hAnsi="Times New Roman" w:eastAsia="宋体"/>
          <w:sz w:val="24"/>
        </w:rPr>
        <w:t>大额减值与利润变脸（极端情形）。这意味着在泡沫累积期介入预警，存在明确的干预窗口。</w:t>
      </w:r>
    </w:p>
    <w:p w14:paraId="636C91AB">
      <w:pPr>
        <w:pStyle w:val="3"/>
        <w:spacing w:before="40" w:after="40" w:line="360" w:lineRule="auto"/>
        <w:ind w:firstLine="480"/>
      </w:pPr>
      <w:r>
        <w:rPr>
          <w:rFonts w:hint="eastAsia" w:ascii="Times New Roman" w:hAnsi="Times New Roman" w:eastAsia="宋体"/>
          <w:sz w:val="24"/>
        </w:rPr>
        <w:t>其三，市场识别的速度正在指数级加快。</w:t>
      </w:r>
      <w:r>
        <w:rPr>
          <w:rFonts w:ascii="Times New Roman" w:hAnsi="Times New Roman" w:eastAsia="宋体"/>
          <w:sz w:val="24"/>
        </w:rPr>
        <w:t xml:space="preserve"> Burry </w:t>
      </w:r>
      <w:r>
        <w:rPr>
          <w:rFonts w:hint="eastAsia" w:ascii="Times New Roman" w:hAnsi="Times New Roman" w:eastAsia="宋体"/>
          <w:sz w:val="24"/>
        </w:rPr>
        <w:t>事件显示，市场对会计异常的识别与定价速度已快至小时级——折旧估计的激进运用的“安全期”从历史案例（安然、世通、朗讯）的数年压缩到了小时级。任何依赖“年限延长策略”的利润都越来越接近见光死。</w:t>
      </w:r>
    </w:p>
    <w:p w14:paraId="26CF0C5E">
      <w:pPr>
        <w:pStyle w:val="3"/>
        <w:spacing w:before="40" w:after="40" w:line="360" w:lineRule="auto"/>
        <w:ind w:firstLine="480"/>
      </w:pPr>
      <w:r>
        <w:rPr>
          <w:rFonts w:hint="eastAsia" w:ascii="Times New Roman" w:hAnsi="Times New Roman" w:eastAsia="宋体"/>
          <w:sz w:val="24"/>
        </w:rPr>
        <w:t>后续观察：Meta</w:t>
      </w:r>
      <w:r>
        <w:rPr>
          <w:rFonts w:ascii="Times New Roman" w:hAnsi="Times New Roman" w:eastAsia="宋体"/>
          <w:sz w:val="24"/>
        </w:rPr>
        <w:t xml:space="preserve"> </w:t>
      </w:r>
      <w:r>
        <w:rPr>
          <w:rFonts w:hint="eastAsia" w:ascii="Times New Roman" w:hAnsi="Times New Roman" w:eastAsia="宋体"/>
          <w:sz w:val="24"/>
        </w:rPr>
        <w:t>于</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月（披露于</w:t>
      </w:r>
      <w:r>
        <w:rPr>
          <w:rFonts w:ascii="Times New Roman" w:hAnsi="Times New Roman" w:eastAsia="宋体"/>
          <w:sz w:val="24"/>
        </w:rPr>
        <w:t xml:space="preserve"> 2024 </w:t>
      </w:r>
      <w:r>
        <w:rPr>
          <w:rFonts w:hint="eastAsia" w:ascii="Times New Roman" w:hAnsi="Times New Roman" w:eastAsia="宋体"/>
          <w:sz w:val="24"/>
        </w:rPr>
        <w:t>10-K）进一步将服务器折旧年限延长至</w:t>
      </w:r>
      <w:r>
        <w:rPr>
          <w:rFonts w:ascii="Times New Roman" w:hAnsi="Times New Roman" w:eastAsia="宋体"/>
          <w:sz w:val="24"/>
        </w:rPr>
        <w:t xml:space="preserve"> 5.5 </w:t>
      </w:r>
      <w:r>
        <w:rPr>
          <w:rFonts w:hint="eastAsia" w:ascii="Times New Roman" w:hAnsi="Times New Roman" w:eastAsia="宋体"/>
          <w:sz w:val="24"/>
        </w:rPr>
        <w:t>年，并自曝该变更预计使</w:t>
      </w:r>
      <w:r>
        <w:rPr>
          <w:rFonts w:ascii="Times New Roman" w:hAnsi="Times New Roman" w:eastAsia="宋体"/>
          <w:sz w:val="24"/>
        </w:rPr>
        <w:t xml:space="preserve"> 2025 </w:t>
      </w:r>
      <w:r>
        <w:rPr>
          <w:rFonts w:hint="eastAsia" w:ascii="Times New Roman" w:hAnsi="Times New Roman" w:eastAsia="宋体"/>
          <w:sz w:val="24"/>
        </w:rPr>
        <w:t>全年折旧费用减少</w:t>
      </w:r>
      <w:r>
        <w:rPr>
          <w:rFonts w:ascii="Times New Roman" w:hAnsi="Times New Roman" w:eastAsia="宋体"/>
          <w:sz w:val="24"/>
        </w:rPr>
        <w:t xml:space="preserve"> 29 </w:t>
      </w:r>
      <w:r>
        <w:rPr>
          <w:rFonts w:hint="eastAsia" w:ascii="Times New Roman" w:hAnsi="Times New Roman" w:eastAsia="宋体"/>
          <w:sz w:val="24"/>
        </w:rPr>
        <w:t>亿美元——错配非但没有收敛，反而在</w:t>
      </w:r>
      <w:r>
        <w:rPr>
          <w:rFonts w:ascii="Times New Roman" w:hAnsi="Times New Roman" w:eastAsia="宋体"/>
          <w:sz w:val="24"/>
        </w:rPr>
        <w:t xml:space="preserve"> AI </w:t>
      </w:r>
      <w:r>
        <w:rPr>
          <w:rFonts w:hint="eastAsia" w:ascii="Times New Roman" w:hAnsi="Times New Roman" w:eastAsia="宋体"/>
          <w:sz w:val="24"/>
        </w:rPr>
        <w:t>军备竞赛加剧中变本加厉；同期</w:t>
      </w:r>
      <w:r>
        <w:rPr>
          <w:rFonts w:ascii="Times New Roman" w:hAnsi="Times New Roman" w:eastAsia="宋体"/>
          <w:sz w:val="24"/>
        </w:rPr>
        <w:t xml:space="preserve"> Amazon </w:t>
      </w:r>
      <w:r>
        <w:rPr>
          <w:rFonts w:hint="eastAsia" w:ascii="Times New Roman" w:hAnsi="Times New Roman" w:eastAsia="宋体"/>
          <w:sz w:val="24"/>
        </w:rPr>
        <w:t>却将服务器年限从</w:t>
      </w:r>
      <w:r>
        <w:rPr>
          <w:rFonts w:ascii="Times New Roman" w:hAnsi="Times New Roman" w:eastAsia="宋体"/>
          <w:sz w:val="24"/>
        </w:rPr>
        <w:t xml:space="preserve"> 6 </w:t>
      </w:r>
      <w:r>
        <w:rPr>
          <w:rFonts w:hint="eastAsia" w:ascii="Times New Roman" w:hAnsi="Times New Roman" w:eastAsia="宋体"/>
          <w:sz w:val="24"/>
        </w:rPr>
        <w:t>年缩回</w:t>
      </w:r>
      <w:r>
        <w:rPr>
          <w:rFonts w:ascii="Times New Roman" w:hAnsi="Times New Roman" w:eastAsia="宋体"/>
          <w:sz w:val="24"/>
        </w:rPr>
        <w:t xml:space="preserve"> 5 </w:t>
      </w:r>
      <w:r>
        <w:rPr>
          <w:rFonts w:hint="eastAsia" w:ascii="Times New Roman" w:hAnsi="Times New Roman" w:eastAsia="宋体"/>
          <w:sz w:val="24"/>
        </w:rPr>
        <w:t>年（因</w:t>
      </w:r>
      <w:r>
        <w:rPr>
          <w:rFonts w:ascii="Times New Roman" w:hAnsi="Times New Roman" w:eastAsia="宋体"/>
          <w:sz w:val="24"/>
        </w:rPr>
        <w:t xml:space="preserve"> AI </w:t>
      </w:r>
      <w:r>
        <w:rPr>
          <w:rFonts w:hint="eastAsia" w:ascii="Times New Roman" w:hAnsi="Times New Roman" w:eastAsia="宋体"/>
          <w:sz w:val="24"/>
        </w:rPr>
        <w:t>硬件迭代过快）。一延一缩之间，正是技术迭代压力倒逼会计假设回归经济实质的先兆。</w:t>
      </w:r>
    </w:p>
    <w:bookmarkEnd w:id="128"/>
    <w:p w14:paraId="40A66B56">
      <w:pPr>
        <w:pStyle w:val="4"/>
        <w:spacing w:before="320" w:after="160" w:line="360" w:lineRule="auto"/>
      </w:pPr>
      <w:bookmarkStart w:id="129" w:name="_Toc29793"/>
      <w:bookmarkStart w:id="130" w:name="中国的同类隐患智算中心建设潮下的会计前瞻"/>
      <w:r>
        <w:rPr>
          <w:rFonts w:ascii="Times New Roman" w:hAnsi="Times New Roman" w:eastAsia="黑体"/>
          <w:b/>
          <w:color w:val="003366"/>
          <w:sz w:val="28"/>
        </w:rPr>
        <w:t xml:space="preserve">6.2 </w:t>
      </w:r>
      <w:r>
        <w:rPr>
          <w:rFonts w:hint="eastAsia" w:ascii="Times New Roman" w:hAnsi="Times New Roman" w:eastAsia="黑体"/>
          <w:b/>
          <w:color w:val="003366"/>
          <w:sz w:val="28"/>
        </w:rPr>
        <w:t>中国的同类隐患：智算中心建设潮下的会计前瞻</w:t>
      </w:r>
      <w:bookmarkEnd w:id="129"/>
    </w:p>
    <w:p w14:paraId="2F4F7928">
      <w:pPr>
        <w:pStyle w:val="25"/>
        <w:spacing w:before="40" w:after="40" w:line="360" w:lineRule="auto"/>
        <w:ind w:firstLine="480"/>
      </w:pPr>
      <w:r>
        <w:rPr>
          <w:rFonts w:hint="eastAsia" w:ascii="Times New Roman" w:hAnsi="Times New Roman" w:eastAsia="宋体"/>
          <w:sz w:val="24"/>
        </w:rPr>
        <w:t>中国科创企业的</w:t>
      </w:r>
      <w:r>
        <w:rPr>
          <w:rFonts w:ascii="Times New Roman" w:hAnsi="Times New Roman" w:eastAsia="宋体"/>
          <w:sz w:val="24"/>
        </w:rPr>
        <w:t xml:space="preserve"> AI </w:t>
      </w:r>
      <w:r>
        <w:rPr>
          <w:rFonts w:hint="eastAsia" w:ascii="Times New Roman" w:hAnsi="Times New Roman" w:eastAsia="宋体"/>
          <w:sz w:val="24"/>
        </w:rPr>
        <w:t>基础设施投资正处于美国</w:t>
      </w:r>
      <w:r>
        <w:rPr>
          <w:rFonts w:ascii="Times New Roman" w:hAnsi="Times New Roman" w:eastAsia="宋体"/>
          <w:sz w:val="24"/>
        </w:rPr>
        <w:t xml:space="preserve"> 2022-2023 </w:t>
      </w:r>
      <w:r>
        <w:rPr>
          <w:rFonts w:hint="eastAsia" w:ascii="Times New Roman" w:hAnsi="Times New Roman" w:eastAsia="宋体"/>
          <w:sz w:val="24"/>
        </w:rPr>
        <w:t>年的相似阶段：主要云厂商与大模型企业大规模采购</w:t>
      </w:r>
      <w:r>
        <w:rPr>
          <w:rFonts w:ascii="Times New Roman" w:hAnsi="Times New Roman" w:eastAsia="宋体"/>
          <w:sz w:val="24"/>
        </w:rPr>
        <w:t xml:space="preserve"> </w:t>
      </w:r>
      <w:r>
        <w:rPr>
          <w:rFonts w:hint="eastAsia" w:ascii="Times New Roman" w:hAnsi="Times New Roman" w:eastAsia="宋体"/>
          <w:sz w:val="24"/>
        </w:rPr>
        <w:t>GPU、建设智算中心，地方政府主导的智算项目亦密集上马。参照美国实证，需要前瞻关注三类隐患的本土化变体：</w:t>
      </w:r>
    </w:p>
    <w:p w14:paraId="50E15951">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中国产业界也已在为 AI 算力的能源与资产约束布局：头部光伏企业推出面向数据中心（AIDC）场景的储能解决方案，“光储充一体化”正成为智算中心基础设施的标配（晶澳科技，2026）。硬件投资狂飙的另一面，是折旧假设的会计后果将同样在中国企业的资产负债表上显现——这正是下述三类隐患的现实土壤。</w:t>
      </w:r>
    </w:p>
    <w:p w14:paraId="1288A486">
      <w:pPr>
        <w:pStyle w:val="3"/>
        <w:spacing w:before="40" w:after="40" w:line="360" w:lineRule="auto"/>
        <w:ind w:firstLine="480"/>
      </w:pPr>
      <w:r>
        <w:rPr>
          <w:rFonts w:hint="eastAsia" w:ascii="Times New Roman" w:hAnsi="Times New Roman" w:eastAsia="宋体"/>
          <w:sz w:val="24"/>
        </w:rPr>
        <w:t>定量估算：智算设备折旧错配的潜在规模。截至2024年底，中国智算中心领域投资已超1,875亿元（《中国智算中心市场发展研究报告》），若按135个可查样本推算全行业196家智算中心总投资接近万亿元。假设智算设备（GPU服务器、网络设备）占总投资的60%，剔除土建与基础设施后，核心设备投资额约1,125亿元（保守口径）至6,000亿元（全市场口径）。若企业采用5年直线法折旧，而AI芯片实际技术迭代周期仅2.5年，则每年少提折旧额</w:t>
      </w:r>
      <w:r>
        <w:rPr>
          <w:rFonts w:ascii="Times New Roman" w:hAnsi="Times New Roman" w:eastAsia="宋体"/>
          <w:sz w:val="24"/>
        </w:rPr>
        <w:t xml:space="preserve"> = </w:t>
      </w:r>
      <w:r>
        <w:rPr>
          <w:rFonts w:hint="eastAsia" w:ascii="Times New Roman" w:hAnsi="Times New Roman" w:eastAsia="宋体"/>
          <w:sz w:val="24"/>
        </w:rPr>
        <w:t>设备投资额</w:t>
      </w:r>
      <w:r>
        <w:rPr>
          <w:rFonts w:ascii="Times New Roman" w:hAnsi="Times New Roman" w:eastAsia="宋体"/>
          <w:sz w:val="24"/>
        </w:rPr>
        <w:t xml:space="preserve"> × (1/2.5 − 1/5) = </w:t>
      </w:r>
      <w:r>
        <w:rPr>
          <w:rFonts w:hint="eastAsia" w:ascii="Times New Roman" w:hAnsi="Times New Roman" w:eastAsia="宋体"/>
          <w:sz w:val="24"/>
        </w:rPr>
        <w:t>设备投资额</w:t>
      </w:r>
      <w:r>
        <w:rPr>
          <w:rFonts w:ascii="Times New Roman" w:hAnsi="Times New Roman" w:eastAsia="宋体"/>
          <w:sz w:val="24"/>
        </w:rPr>
        <w:t xml:space="preserve"> × </w:t>
      </w:r>
      <w:r>
        <w:rPr>
          <w:rFonts w:hint="eastAsia" w:ascii="Times New Roman" w:hAnsi="Times New Roman" w:eastAsia="宋体"/>
          <w:sz w:val="24"/>
        </w:rPr>
        <w:t>20%。据此测算，保守口径下潜在年度折旧低估约225亿元，全市场口径下可达1,200亿元/年。这一量级与美国Burry估算的2026-2028年全行业1,760亿美元（年均约4,200亿元人民币）折旧低估处于可比数量级，说明中国智算中心建设潮下的折旧错配风险并非远期假设，而是正在发生的会计隐患。</w:t>
      </w:r>
    </w:p>
    <w:p w14:paraId="63ECCA6E">
      <w:pPr>
        <w:numPr>
          <w:ilvl w:val="0"/>
          <w:numId w:val="8"/>
        </w:numPr>
        <w:spacing w:before="40" w:after="40" w:line="360" w:lineRule="auto"/>
        <w:ind w:firstLine="480"/>
      </w:pPr>
      <w:r>
        <w:rPr>
          <w:rFonts w:hint="eastAsia" w:ascii="Times New Roman" w:hAnsi="Times New Roman" w:eastAsia="宋体"/>
          <w:sz w:val="24"/>
        </w:rPr>
        <w:t>折旧年限的“上行漂移”：在算力投资高峰期，企业是否存在延长服务器/算力设备折旧年限以平滑利润的倾向？中国会计准则同样允许会计估计变更且采用未来适用法——制度通道与美国相同，动机结构也相同，区别只在于披露详细程度。</w:t>
      </w:r>
    </w:p>
    <w:p w14:paraId="072ACE38">
      <w:pPr>
        <w:numPr>
          <w:ilvl w:val="0"/>
          <w:numId w:val="8"/>
        </w:numPr>
        <w:spacing w:before="40" w:after="40" w:line="360" w:lineRule="auto"/>
        <w:ind w:firstLine="480"/>
      </w:pPr>
      <w:r>
        <w:rPr>
          <w:rFonts w:hint="eastAsia" w:ascii="Times New Roman" w:hAnsi="Times New Roman" w:eastAsia="宋体"/>
          <w:sz w:val="24"/>
        </w:rPr>
        <w:t>估值链条的虚增传导：Pre-IPO</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AI </w:t>
      </w:r>
      <w:r>
        <w:rPr>
          <w:rFonts w:hint="eastAsia" w:ascii="Times New Roman" w:hAnsi="Times New Roman" w:eastAsia="宋体"/>
          <w:sz w:val="24"/>
        </w:rPr>
        <w:t>企业若以偏长年限少提折旧、抬高利润，高估值将在上市后或融资尽调时被重估，损失由后手投资者与资本市场承担——这正是本赛题“科创企业特有风险”在财务报表维度的典型形态。</w:t>
      </w:r>
    </w:p>
    <w:p w14:paraId="1940D120">
      <w:pPr>
        <w:pStyle w:val="25"/>
        <w:spacing w:before="40" w:after="40" w:line="360" w:lineRule="auto"/>
        <w:ind w:firstLine="480"/>
      </w:pPr>
      <w:r>
        <w:rPr>
          <w:rFonts w:hint="eastAsia" w:ascii="Times New Roman" w:hAnsi="Times New Roman" w:eastAsia="宋体"/>
          <w:sz w:val="24"/>
        </w:rPr>
        <w:t>对中国</w:t>
      </w:r>
      <w:r>
        <w:rPr>
          <w:rFonts w:ascii="Times New Roman" w:hAnsi="Times New Roman" w:eastAsia="宋体"/>
          <w:sz w:val="24"/>
        </w:rPr>
        <w:t xml:space="preserve"> Pre-IPO AI </w:t>
      </w:r>
      <w:r>
        <w:rPr>
          <w:rFonts w:hint="eastAsia" w:ascii="Times New Roman" w:hAnsi="Times New Roman" w:eastAsia="宋体"/>
          <w:sz w:val="24"/>
        </w:rPr>
        <w:t>企业而言，折旧假设的激进程度直接影响上市前最后一轮估值。若按美国云厂商的</w:t>
      </w:r>
      <w:r>
        <w:rPr>
          <w:rFonts w:ascii="Times New Roman" w:hAnsi="Times New Roman" w:eastAsia="宋体"/>
          <w:sz w:val="24"/>
        </w:rPr>
        <w:t xml:space="preserve"> 4-6 </w:t>
      </w:r>
      <w:r>
        <w:rPr>
          <w:rFonts w:hint="eastAsia" w:ascii="Times New Roman" w:hAnsi="Times New Roman" w:eastAsia="宋体"/>
          <w:sz w:val="24"/>
        </w:rPr>
        <w:t>年直线法折旧，而实际技术寿命仅</w:t>
      </w:r>
      <w:r>
        <w:rPr>
          <w:rFonts w:ascii="Times New Roman" w:hAnsi="Times New Roman" w:eastAsia="宋体"/>
          <w:sz w:val="24"/>
        </w:rPr>
        <w:t xml:space="preserve"> 2-3 </w:t>
      </w:r>
      <w:r>
        <w:rPr>
          <w:rFonts w:hint="eastAsia" w:ascii="Times New Roman" w:hAnsi="Times New Roman" w:eastAsia="宋体"/>
          <w:sz w:val="24"/>
        </w:rPr>
        <w:t>年，则上市前</w:t>
      </w:r>
      <w:r>
        <w:rPr>
          <w:rFonts w:ascii="Times New Roman" w:hAnsi="Times New Roman" w:eastAsia="宋体"/>
          <w:sz w:val="24"/>
        </w:rPr>
        <w:t xml:space="preserve"> 2-3 </w:t>
      </w:r>
      <w:r>
        <w:rPr>
          <w:rFonts w:hint="eastAsia" w:ascii="Times New Roman" w:hAnsi="Times New Roman" w:eastAsia="宋体"/>
          <w:sz w:val="24"/>
        </w:rPr>
        <w:t>年的利润被系统性高估。一旦上市后技术迭代加速、折旧阶梯上升，利润变脸将触发股价暴跌、投资者诉讼、甚至对赌回购——这正是科创企业全生命周期特有风险在财务报表维度的典型爆发路径，也是科技保险承保上市后科创企业必须前瞻识别的减值触发点。</w:t>
      </w:r>
    </w:p>
    <w:p w14:paraId="1AAD8728">
      <w:pPr>
        <w:pStyle w:val="26"/>
        <w:numPr>
          <w:ilvl w:val="0"/>
          <w:numId w:val="9"/>
        </w:numPr>
        <w:spacing w:before="40" w:after="40" w:line="360" w:lineRule="auto"/>
        <w:ind w:firstLine="480"/>
      </w:pPr>
      <w:r>
        <w:rPr>
          <w:rFonts w:hint="eastAsia" w:ascii="Times New Roman" w:hAnsi="Times New Roman" w:eastAsia="宋体"/>
          <w:sz w:val="24"/>
        </w:rPr>
        <w:t>政府与国资项目的计量约束更弱：地方智算中心多非上市主体，缺乏</w:t>
      </w:r>
      <w:r>
        <w:rPr>
          <w:rFonts w:ascii="Times New Roman" w:hAnsi="Times New Roman" w:eastAsia="宋体"/>
          <w:sz w:val="24"/>
        </w:rPr>
        <w:t xml:space="preserve"> SEC </w:t>
      </w:r>
      <w:r>
        <w:rPr>
          <w:rFonts w:hint="eastAsia" w:ascii="Times New Roman" w:hAnsi="Times New Roman" w:eastAsia="宋体"/>
          <w:sz w:val="24"/>
        </w:rPr>
        <w:t>式的强制披露，折旧假设的合理性几乎不受外部检验——其资产减值风险可能以财政低效、国资流失的形式滞后爆发，值得纳入审计与绩效评价视野。</w:t>
      </w:r>
    </w:p>
    <w:bookmarkEnd w:id="130"/>
    <w:p w14:paraId="0C4FB284">
      <w:pPr>
        <w:pStyle w:val="4"/>
        <w:spacing w:before="320" w:after="160" w:line="360" w:lineRule="auto"/>
      </w:pPr>
      <w:bookmarkStart w:id="131" w:name="_Toc24925"/>
      <w:bookmarkStart w:id="132" w:name="制度差异加速折旧是合法工具而非灰色地带"/>
      <w:r>
        <w:rPr>
          <w:rFonts w:ascii="Times New Roman" w:hAnsi="Times New Roman" w:eastAsia="黑体"/>
          <w:b/>
          <w:color w:val="003366"/>
          <w:sz w:val="28"/>
        </w:rPr>
        <w:t xml:space="preserve">6.3 </w:t>
      </w:r>
      <w:r>
        <w:rPr>
          <w:rFonts w:hint="eastAsia" w:ascii="Times New Roman" w:hAnsi="Times New Roman" w:eastAsia="黑体"/>
          <w:b/>
          <w:color w:val="003366"/>
          <w:sz w:val="28"/>
        </w:rPr>
        <w:t>制度差异：加速折旧是合法工具，而非灰色地带</w:t>
      </w:r>
      <w:bookmarkEnd w:id="131"/>
    </w:p>
    <w:p w14:paraId="1CC78AFE">
      <w:pPr>
        <w:pStyle w:val="25"/>
        <w:spacing w:before="40" w:after="40" w:line="360" w:lineRule="auto"/>
        <w:ind w:firstLine="480"/>
      </w:pPr>
      <w:r>
        <w:rPr>
          <w:rFonts w:hint="eastAsia" w:ascii="Times New Roman" w:hAnsi="Times New Roman" w:eastAsia="宋体"/>
          <w:sz w:val="24"/>
        </w:rPr>
        <w:t>中美之间最关键的制度差异在于：中国税法明确鼓励“向下”调整折旧（加速），而美国企业的估计裁量方向是“向上”（延长）。</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47C42F4A">
        <w:tblPrEx>
          <w:tblCellMar>
            <w:top w:w="0" w:type="dxa"/>
            <w:left w:w="108" w:type="dxa"/>
            <w:bottom w:w="0" w:type="dxa"/>
            <w:right w:w="108" w:type="dxa"/>
          </w:tblCellMar>
        </w:tblPrEx>
        <w:trPr>
          <w:cantSplit/>
          <w:tblHeader/>
        </w:trPr>
        <w:tc>
          <w:p w14:paraId="143FCA57">
            <w:pPr>
              <w:pStyle w:val="26"/>
              <w:spacing w:before="20" w:after="20" w:line="276" w:lineRule="auto"/>
            </w:pPr>
            <w:r>
              <w:rPr>
                <w:rFonts w:hint="eastAsia" w:ascii="Times New Roman" w:hAnsi="Times New Roman" w:eastAsia="宋体"/>
                <w:b/>
                <w:bCs/>
                <w:sz w:val="20"/>
              </w:rPr>
              <w:t>政策工具</w:t>
            </w:r>
          </w:p>
        </w:tc>
        <w:tc>
          <w:p w14:paraId="3C7E71D9">
            <w:pPr>
              <w:pStyle w:val="26"/>
              <w:spacing w:before="20" w:after="20" w:line="276" w:lineRule="auto"/>
            </w:pPr>
            <w:r>
              <w:rPr>
                <w:rFonts w:hint="eastAsia" w:ascii="Times New Roman" w:hAnsi="Times New Roman" w:eastAsia="宋体"/>
                <w:b/>
                <w:bCs/>
                <w:sz w:val="20"/>
              </w:rPr>
              <w:t>核心内容</w:t>
            </w:r>
          </w:p>
        </w:tc>
        <w:tc>
          <w:p w14:paraId="471BD03A">
            <w:pPr>
              <w:pStyle w:val="26"/>
              <w:spacing w:before="20" w:after="20" w:line="276" w:lineRule="auto"/>
            </w:pPr>
            <w:r>
              <w:rPr>
                <w:rFonts w:hint="eastAsia" w:ascii="Times New Roman" w:hAnsi="Times New Roman" w:eastAsia="宋体"/>
                <w:b/>
                <w:bCs/>
                <w:sz w:val="20"/>
              </w:rPr>
              <w:t>对科创企业的意义</w:t>
            </w:r>
          </w:p>
        </w:tc>
      </w:tr>
      <w:tr w14:paraId="0FA83214">
        <w:tblPrEx>
          <w:tblCellMar>
            <w:top w:w="0" w:type="dxa"/>
            <w:left w:w="108" w:type="dxa"/>
            <w:bottom w:w="0" w:type="dxa"/>
            <w:right w:w="108" w:type="dxa"/>
          </w:tblCellMar>
        </w:tblPrEx>
        <w:trPr>
          <w:cantSplit/>
        </w:trPr>
        <w:tc>
          <w:p w14:paraId="01637595">
            <w:pPr>
              <w:pStyle w:val="26"/>
              <w:spacing w:before="20" w:after="20" w:line="276" w:lineRule="auto"/>
            </w:pPr>
            <w:r>
              <w:rPr>
                <w:rFonts w:hint="eastAsia" w:ascii="Times New Roman" w:hAnsi="Times New Roman" w:eastAsia="宋体"/>
                <w:sz w:val="20"/>
              </w:rPr>
              <w:t>加速折旧</w:t>
            </w:r>
          </w:p>
        </w:tc>
        <w:tc>
          <w:p w14:paraId="03CF83B3">
            <w:pPr>
              <w:pStyle w:val="26"/>
              <w:spacing w:before="20" w:after="20" w:line="276" w:lineRule="auto"/>
            </w:pPr>
            <w:r>
              <w:rPr>
                <w:rFonts w:hint="eastAsia" w:ascii="Times New Roman" w:hAnsi="Times New Roman" w:eastAsia="宋体"/>
                <w:sz w:val="20"/>
              </w:rPr>
              <w:t>技术进步快、更新换代的固定资产，可缩短折旧年限（不低于法定年限</w:t>
            </w:r>
            <w:r>
              <w:rPr>
                <w:rFonts w:ascii="Times New Roman" w:hAnsi="Times New Roman" w:eastAsia="宋体"/>
                <w:sz w:val="20"/>
              </w:rPr>
              <w:t xml:space="preserve"> </w:t>
            </w:r>
            <w:r>
              <w:rPr>
                <w:rFonts w:hint="eastAsia" w:ascii="Times New Roman" w:hAnsi="Times New Roman" w:eastAsia="宋体"/>
                <w:sz w:val="20"/>
              </w:rPr>
              <w:t>60%）或采用双倍余额递减法/年数总和法</w:t>
            </w:r>
          </w:p>
        </w:tc>
        <w:tc>
          <w:p w14:paraId="43D4E6BF">
            <w:pPr>
              <w:pStyle w:val="26"/>
              <w:spacing w:before="20" w:after="20" w:line="276" w:lineRule="auto"/>
            </w:pPr>
            <w:r>
              <w:rPr>
                <w:rFonts w:hint="eastAsia" w:ascii="Times New Roman" w:hAnsi="Times New Roman" w:eastAsia="宋体"/>
                <w:sz w:val="20"/>
              </w:rPr>
              <w:t>让账面折旧跟上技术迭代速度，合规且真实</w:t>
            </w:r>
          </w:p>
        </w:tc>
      </w:tr>
      <w:tr w14:paraId="63532CF3">
        <w:tblPrEx>
          <w:tblCellMar>
            <w:top w:w="0" w:type="dxa"/>
            <w:left w:w="108" w:type="dxa"/>
            <w:bottom w:w="0" w:type="dxa"/>
            <w:right w:w="108" w:type="dxa"/>
          </w:tblCellMar>
        </w:tblPrEx>
        <w:trPr>
          <w:cantSplit/>
        </w:trPr>
        <w:tc>
          <w:p w14:paraId="0AF28009">
            <w:pPr>
              <w:pStyle w:val="26"/>
              <w:spacing w:before="20" w:after="20" w:line="276" w:lineRule="auto"/>
            </w:pPr>
            <w:r>
              <w:rPr>
                <w:rFonts w:hint="eastAsia" w:ascii="Times New Roman" w:hAnsi="Times New Roman" w:eastAsia="宋体"/>
                <w:sz w:val="20"/>
              </w:rPr>
              <w:t>一次性税前扣除</w:t>
            </w:r>
          </w:p>
        </w:tc>
        <w:tc>
          <w:p w14:paraId="15F92422">
            <w:pPr>
              <w:pStyle w:val="26"/>
              <w:spacing w:before="20" w:after="20" w:line="276" w:lineRule="auto"/>
            </w:pPr>
            <w:r>
              <w:rPr>
                <w:rFonts w:ascii="Times New Roman" w:hAnsi="Times New Roman" w:eastAsia="宋体"/>
                <w:sz w:val="20"/>
              </w:rPr>
              <w:t xml:space="preserve">≤500 </w:t>
            </w:r>
            <w:r>
              <w:rPr>
                <w:rFonts w:hint="eastAsia" w:ascii="Times New Roman" w:hAnsi="Times New Roman" w:eastAsia="宋体"/>
                <w:sz w:val="20"/>
              </w:rPr>
              <w:t>万元设备器具，投入使用次月所属年度一次性税前扣除（政策已多次延期至</w:t>
            </w:r>
            <w:r>
              <w:rPr>
                <w:rFonts w:ascii="Times New Roman" w:hAnsi="Times New Roman" w:eastAsia="宋体"/>
                <w:sz w:val="20"/>
              </w:rPr>
              <w:t xml:space="preserve"> 2027 </w:t>
            </w:r>
            <w:r>
              <w:rPr>
                <w:rFonts w:hint="eastAsia" w:ascii="Times New Roman" w:hAnsi="Times New Roman" w:eastAsia="宋体"/>
                <w:sz w:val="20"/>
              </w:rPr>
              <w:t>年底）</w:t>
            </w:r>
          </w:p>
        </w:tc>
        <w:tc>
          <w:p w14:paraId="79B14F83">
            <w:pPr>
              <w:pStyle w:val="26"/>
              <w:spacing w:before="20" w:after="20" w:line="276" w:lineRule="auto"/>
            </w:pPr>
            <w:r>
              <w:rPr>
                <w:rFonts w:hint="eastAsia" w:ascii="Times New Roman" w:hAnsi="Times New Roman" w:eastAsia="宋体"/>
                <w:sz w:val="20"/>
              </w:rPr>
              <w:t>绝大多数单台</w:t>
            </w:r>
            <w:r>
              <w:rPr>
                <w:rFonts w:ascii="Times New Roman" w:hAnsi="Times New Roman" w:eastAsia="宋体"/>
                <w:sz w:val="20"/>
              </w:rPr>
              <w:t xml:space="preserve"> GPU </w:t>
            </w:r>
            <w:r>
              <w:rPr>
                <w:rFonts w:hint="eastAsia" w:ascii="Times New Roman" w:hAnsi="Times New Roman" w:eastAsia="宋体"/>
                <w:sz w:val="20"/>
              </w:rPr>
              <w:t>服务器/研发设备均可当年全额抵税</w:t>
            </w:r>
          </w:p>
        </w:tc>
      </w:tr>
      <w:tr w14:paraId="0F9A3EE5">
        <w:tblPrEx>
          <w:tblCellMar>
            <w:top w:w="0" w:type="dxa"/>
            <w:left w:w="108" w:type="dxa"/>
            <w:bottom w:w="0" w:type="dxa"/>
            <w:right w:w="108" w:type="dxa"/>
          </w:tblCellMar>
        </w:tblPrEx>
        <w:trPr>
          <w:cantSplit/>
        </w:trPr>
        <w:tc>
          <w:p w14:paraId="56E0B2FA">
            <w:pPr>
              <w:pStyle w:val="26"/>
              <w:spacing w:before="20" w:after="20" w:line="276" w:lineRule="auto"/>
            </w:pPr>
            <w:r>
              <w:rPr>
                <w:rFonts w:hint="eastAsia" w:ascii="Times New Roman" w:hAnsi="Times New Roman" w:eastAsia="宋体"/>
                <w:sz w:val="20"/>
              </w:rPr>
              <w:t>研发费用加计扣除</w:t>
            </w:r>
          </w:p>
        </w:tc>
        <w:tc>
          <w:p w14:paraId="070C25C3">
            <w:pPr>
              <w:pStyle w:val="26"/>
              <w:spacing w:before="20" w:after="20" w:line="276" w:lineRule="auto"/>
            </w:pPr>
            <w:r>
              <w:rPr>
                <w:rFonts w:hint="eastAsia" w:ascii="Times New Roman" w:hAnsi="Times New Roman" w:eastAsia="宋体"/>
                <w:sz w:val="20"/>
              </w:rPr>
              <w:t>研发用仪器、设备折旧费可纳入</w:t>
            </w:r>
            <w:r>
              <w:rPr>
                <w:rFonts w:ascii="Times New Roman" w:hAnsi="Times New Roman" w:eastAsia="宋体"/>
                <w:sz w:val="20"/>
              </w:rPr>
              <w:t xml:space="preserve"> 100% </w:t>
            </w:r>
            <w:r>
              <w:rPr>
                <w:rFonts w:hint="eastAsia" w:ascii="Times New Roman" w:hAnsi="Times New Roman" w:eastAsia="宋体"/>
                <w:sz w:val="20"/>
              </w:rPr>
              <w:t>加计扣除（房屋折旧除外；共用设备按工时占比分配）</w:t>
            </w:r>
          </w:p>
        </w:tc>
        <w:tc>
          <w:p w14:paraId="060808FC">
            <w:pPr>
              <w:pStyle w:val="26"/>
              <w:spacing w:before="20" w:after="20" w:line="276" w:lineRule="auto"/>
            </w:pPr>
            <w:r>
              <w:rPr>
                <w:rFonts w:hint="eastAsia" w:ascii="Times New Roman" w:hAnsi="Times New Roman" w:eastAsia="宋体"/>
                <w:sz w:val="20"/>
              </w:rPr>
              <w:t>折旧费“扣两次”：一次据实、一次加计</w:t>
            </w:r>
          </w:p>
        </w:tc>
      </w:tr>
      <w:tr w14:paraId="586020DA">
        <w:tblPrEx>
          <w:tblCellMar>
            <w:top w:w="0" w:type="dxa"/>
            <w:left w:w="108" w:type="dxa"/>
            <w:bottom w:w="0" w:type="dxa"/>
            <w:right w:w="108" w:type="dxa"/>
          </w:tblCellMar>
        </w:tblPrEx>
        <w:trPr>
          <w:cantSplit/>
        </w:trPr>
        <w:tc>
          <w:p w14:paraId="72A0CB15">
            <w:pPr>
              <w:pStyle w:val="26"/>
              <w:spacing w:before="20" w:after="20" w:line="276" w:lineRule="auto"/>
            </w:pPr>
            <w:r>
              <w:rPr>
                <w:rFonts w:hint="eastAsia" w:ascii="Times New Roman" w:hAnsi="Times New Roman" w:eastAsia="宋体"/>
                <w:sz w:val="20"/>
              </w:rPr>
              <w:t>高新企业税率</w:t>
            </w:r>
          </w:p>
        </w:tc>
        <w:tc>
          <w:p w14:paraId="7A7331F3">
            <w:pPr>
              <w:pStyle w:val="26"/>
              <w:spacing w:before="20" w:after="20" w:line="276" w:lineRule="auto"/>
            </w:pPr>
            <w:r>
              <w:rPr>
                <w:rFonts w:hint="eastAsia" w:ascii="Times New Roman" w:hAnsi="Times New Roman" w:eastAsia="宋体"/>
                <w:sz w:val="20"/>
              </w:rPr>
              <w:t>经认定高新技术企业减按</w:t>
            </w:r>
            <w:r>
              <w:rPr>
                <w:rFonts w:ascii="Times New Roman" w:hAnsi="Times New Roman" w:eastAsia="宋体"/>
                <w:sz w:val="20"/>
              </w:rPr>
              <w:t xml:space="preserve"> 15% </w:t>
            </w:r>
            <w:r>
              <w:rPr>
                <w:rFonts w:hint="eastAsia" w:ascii="Times New Roman" w:hAnsi="Times New Roman" w:eastAsia="宋体"/>
                <w:sz w:val="20"/>
              </w:rPr>
              <w:t>征收企业所得税</w:t>
            </w:r>
          </w:p>
        </w:tc>
        <w:tc>
          <w:p w14:paraId="0F4C45E5">
            <w:pPr>
              <w:pStyle w:val="26"/>
              <w:spacing w:before="20" w:after="20" w:line="276" w:lineRule="auto"/>
            </w:pPr>
            <w:r>
              <w:rPr>
                <w:rFonts w:hint="eastAsia" w:ascii="Times New Roman" w:hAnsi="Times New Roman" w:eastAsia="宋体"/>
                <w:sz w:val="20"/>
              </w:rPr>
              <w:t>与上述工具叠加放大节税效应</w:t>
            </w:r>
          </w:p>
        </w:tc>
      </w:tr>
    </w:tbl>
    <w:p w14:paraId="243077C4">
      <w:pPr>
        <w:pStyle w:val="3"/>
        <w:spacing w:before="40" w:after="40" w:line="360" w:lineRule="auto"/>
        <w:ind w:firstLine="480"/>
      </w:pPr>
      <w:r>
        <w:rPr>
          <w:rFonts w:hint="eastAsia" w:ascii="Times New Roman" w:hAnsi="Times New Roman" w:eastAsia="宋体"/>
          <w:sz w:val="24"/>
        </w:rPr>
        <w:t>政策叠加的测算示例：一台</w:t>
      </w:r>
      <w:r>
        <w:rPr>
          <w:rFonts w:ascii="Times New Roman" w:hAnsi="Times New Roman" w:eastAsia="宋体"/>
          <w:sz w:val="24"/>
        </w:rPr>
        <w:t xml:space="preserve"> 100 </w:t>
      </w:r>
      <w:r>
        <w:rPr>
          <w:rFonts w:hint="eastAsia" w:ascii="Times New Roman" w:hAnsi="Times New Roman" w:eastAsia="宋体"/>
          <w:sz w:val="24"/>
        </w:rPr>
        <w:t>万元研发设备，税务上一次性扣除</w:t>
      </w:r>
      <w:r>
        <w:rPr>
          <w:rFonts w:ascii="Times New Roman" w:hAnsi="Times New Roman" w:eastAsia="宋体"/>
          <w:sz w:val="24"/>
        </w:rPr>
        <w:t xml:space="preserve"> 100 </w:t>
      </w:r>
      <w:r>
        <w:rPr>
          <w:rFonts w:hint="eastAsia" w:ascii="Times New Roman" w:hAnsi="Times New Roman" w:eastAsia="宋体"/>
          <w:sz w:val="24"/>
        </w:rPr>
        <w:t>万</w:t>
      </w:r>
      <w:r>
        <w:rPr>
          <w:rFonts w:ascii="Times New Roman" w:hAnsi="Times New Roman" w:eastAsia="宋体"/>
          <w:sz w:val="24"/>
        </w:rPr>
        <w:t xml:space="preserve"> + </w:t>
      </w:r>
      <w:r>
        <w:rPr>
          <w:rFonts w:hint="eastAsia" w:ascii="Times New Roman" w:hAnsi="Times New Roman" w:eastAsia="宋体"/>
          <w:sz w:val="24"/>
        </w:rPr>
        <w:t>加计扣除</w:t>
      </w:r>
      <w:r>
        <w:rPr>
          <w:rFonts w:ascii="Times New Roman" w:hAnsi="Times New Roman" w:eastAsia="宋体"/>
          <w:sz w:val="24"/>
        </w:rPr>
        <w:t xml:space="preserve"> 100 </w:t>
      </w:r>
      <w:r>
        <w:rPr>
          <w:rFonts w:hint="eastAsia" w:ascii="Times New Roman" w:hAnsi="Times New Roman" w:eastAsia="宋体"/>
          <w:sz w:val="24"/>
        </w:rPr>
        <w:t>万，当年可税前扣除</w:t>
      </w:r>
      <w:r>
        <w:rPr>
          <w:rFonts w:ascii="Times New Roman" w:hAnsi="Times New Roman" w:eastAsia="宋体"/>
          <w:sz w:val="24"/>
        </w:rPr>
        <w:t xml:space="preserve"> 200 </w:t>
      </w:r>
      <w:r>
        <w:rPr>
          <w:rFonts w:hint="eastAsia" w:ascii="Times New Roman" w:hAnsi="Times New Roman" w:eastAsia="宋体"/>
          <w:sz w:val="24"/>
        </w:rPr>
        <w:t>万；按高新企业</w:t>
      </w:r>
      <w:r>
        <w:rPr>
          <w:rFonts w:ascii="Times New Roman" w:hAnsi="Times New Roman" w:eastAsia="宋体"/>
          <w:sz w:val="24"/>
        </w:rPr>
        <w:t xml:space="preserve"> 15% </w:t>
      </w:r>
      <w:r>
        <w:rPr>
          <w:rFonts w:hint="eastAsia" w:ascii="Times New Roman" w:hAnsi="Times New Roman" w:eastAsia="宋体"/>
          <w:sz w:val="24"/>
        </w:rPr>
        <w:t>税率，当年节税</w:t>
      </w:r>
      <w:r>
        <w:rPr>
          <w:rFonts w:ascii="Times New Roman" w:hAnsi="Times New Roman" w:eastAsia="宋体"/>
          <w:sz w:val="24"/>
        </w:rPr>
        <w:t xml:space="preserve"> 30 </w:t>
      </w:r>
      <w:r>
        <w:rPr>
          <w:rFonts w:hint="eastAsia" w:ascii="Times New Roman" w:hAnsi="Times New Roman" w:eastAsia="宋体"/>
          <w:sz w:val="24"/>
        </w:rPr>
        <w:t>万元——综合节税效果可达资产原值的</w:t>
      </w:r>
      <w:r>
        <w:rPr>
          <w:rFonts w:ascii="Times New Roman" w:hAnsi="Times New Roman" w:eastAsia="宋体"/>
          <w:sz w:val="24"/>
        </w:rPr>
        <w:t xml:space="preserve"> 30% </w:t>
      </w:r>
      <w:r>
        <w:rPr>
          <w:rFonts w:hint="eastAsia" w:ascii="Times New Roman" w:hAnsi="Times New Roman" w:eastAsia="宋体"/>
          <w:sz w:val="24"/>
        </w:rPr>
        <w:t>以上。</w:t>
      </w:r>
    </w:p>
    <w:p w14:paraId="5B4B6705">
      <w:pPr>
        <w:pStyle w:val="3"/>
        <w:spacing w:before="40" w:after="40" w:line="360" w:lineRule="auto"/>
        <w:ind w:firstLine="480"/>
      </w:pPr>
      <w:r>
        <w:rPr>
          <w:rFonts w:hint="eastAsia" w:ascii="Times New Roman" w:hAnsi="Times New Roman" w:eastAsia="宋体"/>
          <w:sz w:val="24"/>
        </w:rPr>
        <w:t>更现实的算力场景示例：单台</w:t>
      </w:r>
      <w:r>
        <w:rPr>
          <w:rFonts w:ascii="Times New Roman" w:hAnsi="Times New Roman" w:eastAsia="宋体"/>
          <w:sz w:val="24"/>
        </w:rPr>
        <w:t xml:space="preserve"> 8 </w:t>
      </w:r>
      <w:r>
        <w:rPr>
          <w:rFonts w:hint="eastAsia" w:ascii="Times New Roman" w:hAnsi="Times New Roman" w:eastAsia="宋体"/>
          <w:sz w:val="24"/>
        </w:rPr>
        <w:t>卡</w:t>
      </w:r>
      <w:r>
        <w:rPr>
          <w:rFonts w:ascii="Times New Roman" w:hAnsi="Times New Roman" w:eastAsia="宋体"/>
          <w:sz w:val="24"/>
        </w:rPr>
        <w:t xml:space="preserve"> H100 </w:t>
      </w:r>
      <w:r>
        <w:rPr>
          <w:rFonts w:hint="eastAsia" w:ascii="Times New Roman" w:hAnsi="Times New Roman" w:eastAsia="宋体"/>
          <w:sz w:val="24"/>
        </w:rPr>
        <w:t>服务器集群约</w:t>
      </w:r>
      <w:r>
        <w:rPr>
          <w:rFonts w:ascii="Times New Roman" w:hAnsi="Times New Roman" w:eastAsia="宋体"/>
          <w:sz w:val="24"/>
        </w:rPr>
        <w:t xml:space="preserve"> 250-300 </w:t>
      </w:r>
      <w:r>
        <w:rPr>
          <w:rFonts w:hint="eastAsia" w:ascii="Times New Roman" w:hAnsi="Times New Roman" w:eastAsia="宋体"/>
          <w:sz w:val="24"/>
        </w:rPr>
        <w:t>万元，两台即超</w:t>
      </w:r>
      <w:r>
        <w:rPr>
          <w:rFonts w:ascii="Times New Roman" w:hAnsi="Times New Roman" w:eastAsia="宋体"/>
          <w:sz w:val="24"/>
        </w:rPr>
        <w:t xml:space="preserve"> 500 </w:t>
      </w:r>
      <w:r>
        <w:rPr>
          <w:rFonts w:hint="eastAsia" w:ascii="Times New Roman" w:hAnsi="Times New Roman" w:eastAsia="宋体"/>
          <w:sz w:val="24"/>
        </w:rPr>
        <w:t>万元门槛——此时不能再走“≤500</w:t>
      </w:r>
      <w:r>
        <w:rPr>
          <w:rFonts w:ascii="Times New Roman" w:hAnsi="Times New Roman" w:eastAsia="宋体"/>
          <w:sz w:val="24"/>
        </w:rPr>
        <w:t xml:space="preserve"> </w:t>
      </w:r>
      <w:r>
        <w:rPr>
          <w:rFonts w:hint="eastAsia" w:ascii="Times New Roman" w:hAnsi="Times New Roman" w:eastAsia="宋体"/>
          <w:sz w:val="24"/>
        </w:rPr>
        <w:t>万一次性扣除”，而应采用“加速折旧</w:t>
      </w:r>
      <w:r>
        <w:rPr>
          <w:rFonts w:ascii="Times New Roman" w:hAnsi="Times New Roman" w:eastAsia="宋体"/>
          <w:sz w:val="24"/>
        </w:rPr>
        <w:t xml:space="preserve"> + </w:t>
      </w:r>
      <w:r>
        <w:rPr>
          <w:rFonts w:hint="eastAsia" w:ascii="Times New Roman" w:hAnsi="Times New Roman" w:eastAsia="宋体"/>
          <w:sz w:val="24"/>
        </w:rPr>
        <w:t>研发设备</w:t>
      </w:r>
      <w:r>
        <w:rPr>
          <w:rFonts w:ascii="Times New Roman" w:hAnsi="Times New Roman" w:eastAsia="宋体"/>
          <w:sz w:val="24"/>
        </w:rPr>
        <w:t xml:space="preserve"> 100% </w:t>
      </w:r>
      <w:r>
        <w:rPr>
          <w:rFonts w:hint="eastAsia" w:ascii="Times New Roman" w:hAnsi="Times New Roman" w:eastAsia="宋体"/>
          <w:sz w:val="24"/>
        </w:rPr>
        <w:t>加计扣除”的组合：假设购建</w:t>
      </w:r>
      <w:r>
        <w:rPr>
          <w:rFonts w:ascii="Times New Roman" w:hAnsi="Times New Roman" w:eastAsia="宋体"/>
          <w:sz w:val="24"/>
        </w:rPr>
        <w:t xml:space="preserve"> 600 </w:t>
      </w:r>
      <w:r>
        <w:rPr>
          <w:rFonts w:hint="eastAsia" w:ascii="Times New Roman" w:hAnsi="Times New Roman" w:eastAsia="宋体"/>
          <w:sz w:val="24"/>
        </w:rPr>
        <w:t>万元</w:t>
      </w:r>
      <w:r>
        <w:rPr>
          <w:rFonts w:ascii="Times New Roman" w:hAnsi="Times New Roman" w:eastAsia="宋体"/>
          <w:sz w:val="24"/>
        </w:rPr>
        <w:t xml:space="preserve"> GPU </w:t>
      </w:r>
      <w:r>
        <w:rPr>
          <w:rFonts w:hint="eastAsia" w:ascii="Times New Roman" w:hAnsi="Times New Roman" w:eastAsia="宋体"/>
          <w:sz w:val="24"/>
        </w:rPr>
        <w:t>集群（研发用），按不低于法定年限</w:t>
      </w:r>
      <w:r>
        <w:rPr>
          <w:rFonts w:ascii="Times New Roman" w:hAnsi="Times New Roman" w:eastAsia="宋体"/>
          <w:sz w:val="24"/>
        </w:rPr>
        <w:t xml:space="preserve"> 60% </w:t>
      </w:r>
      <w:r>
        <w:rPr>
          <w:rFonts w:hint="eastAsia" w:ascii="Times New Roman" w:hAnsi="Times New Roman" w:eastAsia="宋体"/>
          <w:sz w:val="24"/>
        </w:rPr>
        <w:t>缩短年限加速折旧，且折旧费全额纳入</w:t>
      </w:r>
      <w:r>
        <w:rPr>
          <w:rFonts w:ascii="Times New Roman" w:hAnsi="Times New Roman" w:eastAsia="宋体"/>
          <w:sz w:val="24"/>
        </w:rPr>
        <w:t xml:space="preserve"> 100% </w:t>
      </w:r>
      <w:r>
        <w:rPr>
          <w:rFonts w:hint="eastAsia" w:ascii="Times New Roman" w:hAnsi="Times New Roman" w:eastAsia="宋体"/>
          <w:sz w:val="24"/>
        </w:rPr>
        <w:t>加计扣除，则前期每年可在据实折旧之外再加计同等金额扣除，节税效应显著高于直线法；若误用偏长年限（如照搬美国的</w:t>
      </w:r>
      <w:r>
        <w:rPr>
          <w:rFonts w:ascii="Times New Roman" w:hAnsi="Times New Roman" w:eastAsia="宋体"/>
          <w:sz w:val="24"/>
        </w:rPr>
        <w:t xml:space="preserve"> 4-6 </w:t>
      </w:r>
      <w:r>
        <w:rPr>
          <w:rFonts w:hint="eastAsia" w:ascii="Times New Roman" w:hAnsi="Times New Roman" w:eastAsia="宋体"/>
          <w:sz w:val="24"/>
        </w:rPr>
        <w:t>年），不仅少扣、还可能因技术迭代在</w:t>
      </w:r>
      <w:r>
        <w:rPr>
          <w:rFonts w:ascii="Times New Roman" w:hAnsi="Times New Roman" w:eastAsia="宋体"/>
          <w:sz w:val="24"/>
        </w:rPr>
        <w:t xml:space="preserve"> 2-3 </w:t>
      </w:r>
      <w:r>
        <w:rPr>
          <w:rFonts w:hint="eastAsia" w:ascii="Times New Roman" w:hAnsi="Times New Roman" w:eastAsia="宋体"/>
          <w:sz w:val="24"/>
        </w:rPr>
        <w:t>年内产生资产减值风险。这正是“合法加速”优于“年限延长策略”的量化注脚。</w:t>
      </w:r>
    </w:p>
    <w:p w14:paraId="276AD828">
      <w:pPr>
        <w:pStyle w:val="3"/>
        <w:spacing w:before="40" w:after="40" w:line="360" w:lineRule="auto"/>
        <w:ind w:firstLine="480"/>
      </w:pPr>
      <w:r>
        <w:rPr>
          <w:rFonts w:hint="eastAsia" w:ascii="Times New Roman" w:hAnsi="Times New Roman" w:eastAsia="宋体"/>
          <w:sz w:val="24"/>
        </w:rPr>
        <w:t>这意味着中国科创企业根本不需要学美国巨头的“年限延长策略”：合法工具箱已经提供了前期最大化扣除的通道。真正的问题是企业用不用、会不会用——据项目调研中的普遍观察，大量科创企业仍默认直线法、未充分利用加速折旧与一次性扣除政策。需要把这一选择的代价讲清楚：折旧是非现金费用，账面少提折旧并不会给企业带来一分钱现金，反而带来双重损失——</w:t>
      </w:r>
      <w:r>
        <w:rPr>
          <w:rFonts w:hint="eastAsia" w:ascii="Times New Roman" w:hAnsi="Times New Roman" w:eastAsia="宋体"/>
          <w:b/>
          <w:bCs/>
          <w:sz w:val="24"/>
        </w:rPr>
        <w:t>其一，多缴真金白银的所得税</w:t>
      </w:r>
      <w:r>
        <w:rPr>
          <w:rFonts w:hint="eastAsia" w:ascii="Times New Roman" w:hAnsi="Times New Roman" w:eastAsia="宋体"/>
          <w:sz w:val="24"/>
        </w:rPr>
        <w:t>：加速折旧与一次性扣除的本质是税前扣除前移，相当于税务部门向企业提供一笔“无息递延税款”；放弃这些工具，意味着企业在资金最紧张的建设期反而按更高的应纳税所得额缴税，现金实实在在流出企业；</w:t>
      </w:r>
      <w:r>
        <w:rPr>
          <w:rFonts w:hint="eastAsia" w:ascii="Times New Roman" w:hAnsi="Times New Roman" w:eastAsia="宋体"/>
          <w:b/>
          <w:bCs/>
          <w:sz w:val="24"/>
        </w:rPr>
        <w:t>其二，账面利润被虚增</w:t>
      </w:r>
      <w:r>
        <w:rPr>
          <w:rFonts w:hint="eastAsia" w:ascii="Times New Roman" w:hAnsi="Times New Roman" w:eastAsia="宋体"/>
          <w:sz w:val="24"/>
        </w:rPr>
        <w:t>：非现金费用少提使利润“变好看”，但这是没有现金支撑的纸面利润，既扭曲了会计信息，又把减值风险推迟到未来集中兑现。账面的“利好”与现金流的“实损”并存——这一“政策红利沉睡”现象，正是第五章</w:t>
      </w:r>
      <w:r>
        <w:rPr>
          <w:rFonts w:ascii="Times New Roman" w:hAnsi="Times New Roman" w:eastAsia="宋体"/>
          <w:sz w:val="24"/>
        </w:rPr>
        <w:t xml:space="preserve"> 5.4.1 </w:t>
      </w:r>
      <w:r>
        <w:rPr>
          <w:rFonts w:hint="eastAsia" w:ascii="Times New Roman" w:hAnsi="Times New Roman" w:eastAsia="宋体"/>
          <w:sz w:val="24"/>
        </w:rPr>
        <w:t>企业端方案（合规折旧优化</w:t>
      </w:r>
      <w:r>
        <w:rPr>
          <w:rFonts w:ascii="Times New Roman" w:hAnsi="Times New Roman" w:eastAsia="宋体"/>
          <w:sz w:val="24"/>
        </w:rPr>
        <w:t xml:space="preserve"> + </w:t>
      </w:r>
      <w:r>
        <w:rPr>
          <w:rFonts w:hint="eastAsia" w:ascii="Times New Roman" w:hAnsi="Times New Roman" w:eastAsia="宋体"/>
          <w:sz w:val="24"/>
        </w:rPr>
        <w:t>税会差异台账）要解决的现实痛点，也是本研究方法论在中国的第一个落地场景。</w:t>
      </w:r>
    </w:p>
    <w:p w14:paraId="68CD44CE">
      <w:pPr>
        <w:pStyle w:val="3"/>
        <w:spacing w:before="40" w:after="40" w:line="360" w:lineRule="auto"/>
        <w:ind w:firstLine="480"/>
      </w:pPr>
      <w:r>
        <w:rPr>
          <w:rFonts w:hint="eastAsia" w:ascii="Times New Roman" w:hAnsi="Times New Roman" w:eastAsia="宋体"/>
          <w:sz w:val="24"/>
        </w:rPr>
        <w:t>同时必须明确两点边界：其一，加速折旧是税法层面的自愿性优惠，会计准则层面的估计裁量与美国同构（2.2</w:t>
      </w:r>
      <w:r>
        <w:rPr>
          <w:rFonts w:ascii="Times New Roman" w:hAnsi="Times New Roman" w:eastAsia="宋体"/>
          <w:sz w:val="24"/>
        </w:rPr>
        <w:t xml:space="preserve"> </w:t>
      </w:r>
      <w:r>
        <w:rPr>
          <w:rFonts w:hint="eastAsia" w:ascii="Times New Roman" w:hAnsi="Times New Roman" w:eastAsia="宋体"/>
          <w:sz w:val="24"/>
        </w:rPr>
        <w:t>节）——企业完全可以税务上加速扣除、账面上仍按偏长年限折旧，账面利润计量的裁量通道在中国同样敞开；其二，政策工具的存在本身即是官方对“技术贬值快于账面折旧”这一风险的制度性承认——工具在架子上，用不用、怎么用，仍是激励问题。因此，“中国有合法工具”不等于“中国无错配风险”，只意味着中国的错配本来可以被更低成本地避免。</w:t>
      </w:r>
    </w:p>
    <w:bookmarkEnd w:id="132"/>
    <w:p w14:paraId="72095997">
      <w:pPr>
        <w:pStyle w:val="4"/>
        <w:spacing w:before="320" w:after="160" w:line="360" w:lineRule="auto"/>
      </w:pPr>
      <w:bookmarkStart w:id="133" w:name="_Toc3453"/>
      <w:bookmarkStart w:id="134" w:name="政策建议"/>
      <w:r>
        <w:rPr>
          <w:rFonts w:ascii="Times New Roman" w:hAnsi="Times New Roman" w:eastAsia="黑体"/>
          <w:b/>
          <w:color w:val="003366"/>
          <w:sz w:val="28"/>
        </w:rPr>
        <w:t xml:space="preserve">6.4 </w:t>
      </w:r>
      <w:r>
        <w:rPr>
          <w:rFonts w:hint="eastAsia" w:ascii="Times New Roman" w:hAnsi="Times New Roman" w:eastAsia="黑体"/>
          <w:b/>
          <w:color w:val="003366"/>
          <w:sz w:val="28"/>
        </w:rPr>
        <w:t>政策建议</w:t>
      </w:r>
      <w:bookmarkEnd w:id="133"/>
    </w:p>
    <w:p w14:paraId="3261BE3B">
      <w:pPr>
        <w:pStyle w:val="25"/>
        <w:spacing w:before="40" w:after="40" w:line="360" w:lineRule="auto"/>
        <w:ind w:firstLine="480"/>
      </w:pPr>
      <w:r>
        <w:rPr>
          <w:rFonts w:hint="eastAsia" w:ascii="Times New Roman" w:hAnsi="Times New Roman" w:eastAsia="宋体"/>
          <w:sz w:val="24"/>
        </w:rPr>
        <w:t>对企业的建议（呼应</w:t>
      </w:r>
      <w:r>
        <w:rPr>
          <w:rFonts w:ascii="Times New Roman" w:hAnsi="Times New Roman" w:eastAsia="宋体"/>
          <w:sz w:val="24"/>
        </w:rPr>
        <w:t xml:space="preserve"> </w:t>
      </w:r>
      <w:r>
        <w:rPr>
          <w:rFonts w:hint="eastAsia" w:ascii="Times New Roman" w:hAnsi="Times New Roman" w:eastAsia="宋体"/>
          <w:sz w:val="24"/>
        </w:rPr>
        <w:t>5.4.1，此处从制度视角再强调）：</w:t>
      </w:r>
    </w:p>
    <w:p w14:paraId="0B08898F">
      <w:pPr>
        <w:numPr>
          <w:ilvl w:val="0"/>
          <w:numId w:val="10"/>
        </w:numPr>
        <w:spacing w:before="40" w:after="40" w:line="360" w:lineRule="auto"/>
        <w:ind w:firstLine="480"/>
      </w:pPr>
      <w:r>
        <w:rPr>
          <w:rFonts w:hint="eastAsia" w:ascii="Times New Roman" w:hAnsi="Times New Roman" w:eastAsia="宋体"/>
          <w:sz w:val="24"/>
        </w:rPr>
        <w:t>建立折旧假设与技术迭代的年度对照复核机制：将“披露年限</w:t>
      </w:r>
      <w:r>
        <w:rPr>
          <w:rFonts w:ascii="Times New Roman" w:hAnsi="Times New Roman" w:eastAsia="宋体"/>
          <w:sz w:val="24"/>
        </w:rPr>
        <w:t xml:space="preserve"> vs </w:t>
      </w:r>
      <w:r>
        <w:rPr>
          <w:rFonts w:hint="eastAsia" w:ascii="Times New Roman" w:hAnsi="Times New Roman" w:eastAsia="宋体"/>
          <w:sz w:val="24"/>
        </w:rPr>
        <w:t>技术迭代周期”的错配比纳入财务内控指标，错配比超过阈值（本研究建议</w:t>
      </w:r>
      <w:r>
        <w:rPr>
          <w:rFonts w:ascii="Times New Roman" w:hAnsi="Times New Roman" w:eastAsia="宋体"/>
          <w:sz w:val="24"/>
        </w:rPr>
        <w:t xml:space="preserve"> 2.5 </w:t>
      </w:r>
      <w:r>
        <w:rPr>
          <w:rFonts w:hint="eastAsia" w:ascii="Times New Roman" w:hAnsi="Times New Roman" w:eastAsia="宋体"/>
          <w:sz w:val="24"/>
        </w:rPr>
        <w:t>倍）时启动专项复核并留痕；</w:t>
      </w:r>
    </w:p>
    <w:p w14:paraId="011F4373">
      <w:pPr>
        <w:numPr>
          <w:ilvl w:val="0"/>
          <w:numId w:val="10"/>
        </w:numPr>
        <w:spacing w:before="40" w:after="40" w:line="360" w:lineRule="auto"/>
        <w:ind w:firstLine="480"/>
      </w:pPr>
      <w:r>
        <w:rPr>
          <w:rFonts w:hint="eastAsia" w:ascii="Times New Roman" w:hAnsi="Times New Roman" w:eastAsia="宋体"/>
          <w:sz w:val="24"/>
        </w:rPr>
        <w:t>用足合法加速折旧工具：≤500</w:t>
      </w:r>
      <w:r>
        <w:rPr>
          <w:rFonts w:ascii="Times New Roman" w:hAnsi="Times New Roman" w:eastAsia="宋体"/>
          <w:sz w:val="24"/>
        </w:rPr>
        <w:t xml:space="preserve"> </w:t>
      </w:r>
      <w:r>
        <w:rPr>
          <w:rFonts w:hint="eastAsia" w:ascii="Times New Roman" w:hAnsi="Times New Roman" w:eastAsia="宋体"/>
          <w:sz w:val="24"/>
        </w:rPr>
        <w:t>万设备一次性扣除、研发设备加计扣除、加速折旧方法三件套应成为科创企业财务的标准配置，并建立税会差异台账；</w:t>
      </w:r>
    </w:p>
    <w:p w14:paraId="363B6967">
      <w:pPr>
        <w:numPr>
          <w:ilvl w:val="0"/>
          <w:numId w:val="10"/>
        </w:numPr>
        <w:spacing w:before="40" w:after="40" w:line="360" w:lineRule="auto"/>
        <w:ind w:firstLine="480"/>
      </w:pPr>
      <w:r>
        <w:rPr>
          <w:rFonts w:hint="eastAsia" w:ascii="Times New Roman" w:hAnsi="Times New Roman" w:eastAsia="宋体"/>
          <w:sz w:val="24"/>
        </w:rPr>
        <w:t>减值前瞻测试前置到投资决策环节：大额算力采购前，按“技术寿命</w:t>
      </w:r>
      <w:r>
        <w:rPr>
          <w:rFonts w:ascii="Times New Roman" w:hAnsi="Times New Roman" w:eastAsia="宋体"/>
          <w:sz w:val="24"/>
        </w:rPr>
        <w:t xml:space="preserve"> 2-3 </w:t>
      </w:r>
      <w:r>
        <w:rPr>
          <w:rFonts w:hint="eastAsia" w:ascii="Times New Roman" w:hAnsi="Times New Roman" w:eastAsia="宋体"/>
          <w:sz w:val="24"/>
        </w:rPr>
        <w:t>年”情景做压力测试，避免投资决策被虚高的资产账面价值误导。</w:t>
      </w:r>
    </w:p>
    <w:p w14:paraId="56AB8905">
      <w:pPr>
        <w:pStyle w:val="25"/>
        <w:spacing w:before="40" w:after="40" w:line="360" w:lineRule="auto"/>
        <w:ind w:firstLine="480"/>
      </w:pPr>
      <w:r>
        <w:rPr>
          <w:rFonts w:hint="eastAsia" w:ascii="Times New Roman" w:hAnsi="Times New Roman" w:eastAsia="宋体"/>
          <w:sz w:val="24"/>
        </w:rPr>
        <w:t>对保险与金融监管的建议（呼应</w:t>
      </w:r>
      <w:r>
        <w:rPr>
          <w:rFonts w:ascii="Times New Roman" w:hAnsi="Times New Roman" w:eastAsia="宋体"/>
          <w:sz w:val="24"/>
        </w:rPr>
        <w:t xml:space="preserve"> </w:t>
      </w:r>
      <w:r>
        <w:rPr>
          <w:rFonts w:hint="eastAsia" w:ascii="Times New Roman" w:hAnsi="Times New Roman" w:eastAsia="宋体"/>
          <w:sz w:val="24"/>
        </w:rPr>
        <w:t>5.4.2/5.4.3，承接四部门《科技保险意见》政策窗口）：</w:t>
      </w:r>
    </w:p>
    <w:p w14:paraId="5B62C70E">
      <w:pPr>
        <w:numPr>
          <w:ilvl w:val="0"/>
          <w:numId w:val="11"/>
        </w:numPr>
        <w:spacing w:before="40" w:after="40" w:line="360" w:lineRule="auto"/>
        <w:ind w:firstLine="480"/>
      </w:pPr>
      <w:r>
        <w:rPr>
          <w:rFonts w:hint="eastAsia" w:ascii="Times New Roman" w:hAnsi="Times New Roman" w:eastAsia="宋体"/>
          <w:sz w:val="24"/>
        </w:rPr>
        <w:t>将折旧/摊销假设纳入科技保险核保与科技信贷审查清单：2026</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月四部门《关于加快推动科技保险高质量发展的意见》提出</w:t>
      </w:r>
      <w:r>
        <w:rPr>
          <w:rFonts w:ascii="Times New Roman" w:hAnsi="Times New Roman" w:eastAsia="宋体"/>
          <w:sz w:val="24"/>
        </w:rPr>
        <w:t xml:space="preserve"> 6 </w:t>
      </w:r>
      <w:r>
        <w:rPr>
          <w:rFonts w:hint="eastAsia" w:ascii="Times New Roman" w:hAnsi="Times New Roman" w:eastAsia="宋体"/>
          <w:sz w:val="24"/>
        </w:rPr>
        <w:t>方面</w:t>
      </w:r>
      <w:r>
        <w:rPr>
          <w:rFonts w:ascii="Times New Roman" w:hAnsi="Times New Roman" w:eastAsia="宋体"/>
          <w:sz w:val="24"/>
        </w:rPr>
        <w:t xml:space="preserve"> 20 </w:t>
      </w:r>
      <w:r>
        <w:rPr>
          <w:rFonts w:hint="eastAsia" w:ascii="Times New Roman" w:hAnsi="Times New Roman" w:eastAsia="宋体"/>
          <w:sz w:val="24"/>
        </w:rPr>
        <w:t>项举措，科技保险</w:t>
      </w:r>
      <w:r>
        <w:rPr>
          <w:rFonts w:ascii="Times New Roman" w:hAnsi="Times New Roman" w:eastAsia="宋体"/>
          <w:sz w:val="24"/>
        </w:rPr>
        <w:t xml:space="preserve"> 2025 </w:t>
      </w:r>
      <w:r>
        <w:rPr>
          <w:rFonts w:hint="eastAsia" w:ascii="Times New Roman" w:hAnsi="Times New Roman" w:eastAsia="宋体"/>
          <w:sz w:val="24"/>
        </w:rPr>
        <w:t>年保费规模已突破</w:t>
      </w:r>
      <w:r>
        <w:rPr>
          <w:rFonts w:ascii="Times New Roman" w:hAnsi="Times New Roman" w:eastAsia="宋体"/>
          <w:sz w:val="24"/>
        </w:rPr>
        <w:t xml:space="preserve"> 800 </w:t>
      </w:r>
      <w:r>
        <w:rPr>
          <w:rFonts w:hint="eastAsia" w:ascii="Times New Roman" w:hAnsi="Times New Roman" w:eastAsia="宋体"/>
          <w:sz w:val="24"/>
        </w:rPr>
        <w:t>亿元——行业扩张期更需要标的资产的真实估值能力。建议将本研究的</w:t>
      </w:r>
      <w:r>
        <w:rPr>
          <w:rFonts w:ascii="Times New Roman" w:hAnsi="Times New Roman" w:eastAsia="宋体"/>
          <w:sz w:val="24"/>
        </w:rPr>
        <w:t xml:space="preserve"> 5D-DRS </w:t>
      </w:r>
      <w:r>
        <w:rPr>
          <w:rFonts w:hint="eastAsia" w:ascii="Times New Roman" w:hAnsi="Times New Roman" w:eastAsia="宋体"/>
          <w:sz w:val="24"/>
        </w:rPr>
        <w:t>评分与</w:t>
      </w:r>
      <w:r>
        <w:rPr>
          <w:rFonts w:ascii="Times New Roman" w:hAnsi="Times New Roman" w:eastAsia="宋体"/>
          <w:sz w:val="24"/>
        </w:rPr>
        <w:t xml:space="preserve"> R1-R4 </w:t>
      </w:r>
      <w:r>
        <w:rPr>
          <w:rFonts w:hint="eastAsia" w:ascii="Times New Roman" w:hAnsi="Times New Roman" w:eastAsia="宋体"/>
          <w:sz w:val="24"/>
        </w:rPr>
        <w:t>规则作为核保定价与贷前审查的参考因子；</w:t>
      </w:r>
    </w:p>
    <w:p w14:paraId="456BA0DA">
      <w:pPr>
        <w:numPr>
          <w:ilvl w:val="0"/>
          <w:numId w:val="11"/>
        </w:numPr>
        <w:spacing w:before="40" w:after="40" w:line="360" w:lineRule="auto"/>
        <w:ind w:firstLine="480"/>
      </w:pPr>
      <w:r>
        <w:rPr>
          <w:rFonts w:hint="eastAsia" w:ascii="Times New Roman" w:hAnsi="Times New Roman" w:eastAsia="宋体"/>
          <w:sz w:val="24"/>
        </w:rPr>
        <w:t>建设算力资产估值与风险数据基础设施：AI</w:t>
      </w:r>
      <w:r>
        <w:rPr>
          <w:rFonts w:ascii="Times New Roman" w:hAnsi="Times New Roman" w:eastAsia="宋体"/>
          <w:sz w:val="24"/>
        </w:rPr>
        <w:t xml:space="preserve"> </w:t>
      </w:r>
      <w:r>
        <w:rPr>
          <w:rFonts w:hint="eastAsia" w:ascii="Times New Roman" w:hAnsi="Times New Roman" w:eastAsia="宋体"/>
          <w:sz w:val="24"/>
        </w:rPr>
        <w:t>算力资产“值多少钱、怎么贬值”缺乏公认模型，是科技保险定价的共同瓶颈。建议以行业协作方式（监管沙盒内）建设共享的算力资产残值曲线与风险信号数据库——本研究的标注库方法论可直接复用；</w:t>
      </w:r>
    </w:p>
    <w:p w14:paraId="19A7A518">
      <w:pPr>
        <w:numPr>
          <w:ilvl w:val="0"/>
          <w:numId w:val="11"/>
        </w:numPr>
        <w:spacing w:before="40" w:after="40" w:line="360" w:lineRule="auto"/>
        <w:ind w:firstLine="480"/>
      </w:pPr>
      <w:r>
        <w:rPr>
          <w:rFonts w:hint="eastAsia" w:ascii="Times New Roman" w:hAnsi="Times New Roman" w:eastAsia="宋体"/>
          <w:sz w:val="24"/>
        </w:rPr>
        <w:t>把“估计变更同步性”纳入宏观审慎监测：单个公司延长折旧年限是合规的会计估计，但行业性同步延长、以及同一公司的反复延长（“连续延长者”）即是系统性信号。建议监管科技（RegTech）工具对定期报告文本做自动初筛，监测此类指标。</w:t>
      </w:r>
    </w:p>
    <w:p w14:paraId="11EFE87A">
      <w:pPr>
        <w:pStyle w:val="25"/>
        <w:spacing w:before="40" w:after="40" w:line="360" w:lineRule="auto"/>
        <w:ind w:firstLine="480"/>
      </w:pPr>
      <w:r>
        <w:rPr>
          <w:rFonts w:hint="eastAsia" w:ascii="Times New Roman" w:hAnsi="Times New Roman" w:eastAsia="宋体"/>
          <w:sz w:val="24"/>
        </w:rPr>
        <w:t>对准则与披露的建议：</w:t>
      </w:r>
    </w:p>
    <w:p w14:paraId="523FE29E">
      <w:pPr>
        <w:numPr>
          <w:ilvl w:val="0"/>
          <w:numId w:val="12"/>
        </w:numPr>
        <w:spacing w:before="40" w:after="40" w:line="360" w:lineRule="auto"/>
        <w:ind w:firstLine="480"/>
      </w:pPr>
      <w:r>
        <w:rPr>
          <w:rFonts w:hint="eastAsia" w:ascii="Times New Roman" w:hAnsi="Times New Roman" w:eastAsia="宋体"/>
          <w:sz w:val="24"/>
        </w:rPr>
        <w:t>要求算力资产按用途拆分披露折旧政策：美国样本普遍不披露服务器折旧占总折旧的比例（本研究多家样本此项标记</w:t>
      </w:r>
      <w:r>
        <w:rPr>
          <w:rFonts w:ascii="Times New Roman" w:hAnsi="Times New Roman" w:eastAsia="宋体"/>
          <w:sz w:val="24"/>
        </w:rPr>
        <w:t xml:space="preserve"> </w:t>
      </w:r>
      <w:r>
        <w:rPr>
          <w:rFonts w:hint="eastAsia" w:ascii="Times New Roman" w:hAnsi="Times New Roman" w:eastAsia="宋体"/>
          <w:sz w:val="24"/>
        </w:rPr>
        <w:t>NA），更未按“训练</w:t>
      </w:r>
      <w:r>
        <w:rPr>
          <w:rFonts w:ascii="Times New Roman" w:hAnsi="Times New Roman" w:eastAsia="宋体"/>
          <w:sz w:val="24"/>
        </w:rPr>
        <w:t xml:space="preserve"> / </w:t>
      </w:r>
      <w:r>
        <w:rPr>
          <w:rFonts w:hint="eastAsia" w:ascii="Times New Roman" w:hAnsi="Times New Roman" w:eastAsia="宋体"/>
          <w:sz w:val="24"/>
        </w:rPr>
        <w:t>推理</w:t>
      </w:r>
      <w:r>
        <w:rPr>
          <w:rFonts w:ascii="Times New Roman" w:hAnsi="Times New Roman" w:eastAsia="宋体"/>
          <w:sz w:val="24"/>
        </w:rPr>
        <w:t xml:space="preserve"> / </w:t>
      </w:r>
      <w:r>
        <w:rPr>
          <w:rFonts w:hint="eastAsia" w:ascii="Times New Roman" w:hAnsi="Times New Roman" w:eastAsia="宋体"/>
          <w:sz w:val="24"/>
        </w:rPr>
        <w:t>通用”拆分折旧年限。中国准则可前瞻性地要求算力密集型企业：（a）单独披露算力设备的原值、折旧年限与折旧额；（b）若企业主张年限延长系因“旧芯片可转用于推理”，则必须按资产用途拆分披露训练集群、推理集群与通用基础设施各自的折旧年限及影响金额。</w:t>
      </w:r>
      <w:r>
        <w:rPr>
          <w:rFonts w:ascii="Times New Roman" w:hAnsi="Times New Roman" w:eastAsia="宋体"/>
          <w:sz w:val="24"/>
        </w:rPr>
        <w:t xml:space="preserve"> </w:t>
      </w:r>
      <w:r>
        <w:rPr>
          <w:rFonts w:hint="eastAsia" w:ascii="Times New Roman" w:hAnsi="Times New Roman" w:eastAsia="宋体"/>
          <w:sz w:val="24"/>
        </w:rPr>
        <w:t>否则，“技术合理性”无法穿透到“会计透明性”，折旧错配风险将持续隐匿于统一的科目合并之中。披露颗粒度不是技术细节，而是外部约束有效性的制度前提。</w:t>
      </w:r>
    </w:p>
    <w:p w14:paraId="3AC4AE1B">
      <w:pPr>
        <w:numPr>
          <w:ilvl w:val="0"/>
          <w:numId w:val="12"/>
        </w:numPr>
        <w:spacing w:before="40" w:after="40" w:line="360" w:lineRule="auto"/>
        <w:ind w:firstLine="480"/>
      </w:pPr>
      <w:r>
        <w:rPr>
          <w:rFonts w:hint="eastAsia" w:ascii="Times New Roman" w:hAnsi="Times New Roman" w:eastAsia="宋体"/>
          <w:sz w:val="24"/>
        </w:rPr>
        <w:t>鼓励披露折旧年限与技术迭代周期的对照说明：对</w:t>
      </w:r>
      <w:r>
        <w:rPr>
          <w:rFonts w:ascii="Times New Roman" w:hAnsi="Times New Roman" w:eastAsia="宋体"/>
          <w:sz w:val="24"/>
        </w:rPr>
        <w:t xml:space="preserve"> AI </w:t>
      </w:r>
      <w:r>
        <w:rPr>
          <w:rFonts w:hint="eastAsia" w:ascii="Times New Roman" w:hAnsi="Times New Roman" w:eastAsia="宋体"/>
          <w:sz w:val="24"/>
        </w:rPr>
        <w:t>资产占比高的企业，引导其在年报“关键会计估计”部分说明年限假设与技术周期的匹配性，将会计估计的裁量置于阳光之下。</w:t>
      </w:r>
    </w:p>
    <w:bookmarkEnd w:id="134"/>
    <w:p w14:paraId="06E47596">
      <w:pPr>
        <w:pStyle w:val="4"/>
        <w:spacing w:before="320" w:after="160" w:line="360" w:lineRule="auto"/>
      </w:pPr>
      <w:bookmarkStart w:id="135" w:name="_Toc8658"/>
      <w:bookmarkStart w:id="136" w:name="本章小结-1"/>
      <w:r>
        <w:rPr>
          <w:rFonts w:ascii="Times New Roman" w:hAnsi="Times New Roman" w:eastAsia="黑体"/>
          <w:b/>
          <w:color w:val="003366"/>
          <w:sz w:val="28"/>
        </w:rPr>
        <w:t xml:space="preserve">6.5 </w:t>
      </w:r>
      <w:r>
        <w:rPr>
          <w:rFonts w:hint="eastAsia" w:ascii="Times New Roman" w:hAnsi="Times New Roman" w:eastAsia="黑体"/>
          <w:b/>
          <w:color w:val="003366"/>
          <w:sz w:val="28"/>
        </w:rPr>
        <w:t>本章小结</w:t>
      </w:r>
      <w:bookmarkEnd w:id="135"/>
    </w:p>
    <w:p w14:paraId="5AEFF464">
      <w:pPr>
        <w:pStyle w:val="25"/>
        <w:spacing w:before="40" w:after="40" w:line="360" w:lineRule="auto"/>
        <w:ind w:firstLine="480"/>
      </w:pPr>
      <w:r>
        <w:rPr>
          <w:rFonts w:hint="eastAsia" w:ascii="Times New Roman" w:hAnsi="Times New Roman" w:eastAsia="宋体"/>
          <w:sz w:val="24"/>
        </w:rPr>
        <w:t>美国的今天不必是中国的明天。中国科创企业面前摆着两条路：一条是美国式的——在准则的估计裁量里做“年限延长策略”，短期美化利润、长期积累减值，最终在算法交易与监管识别下见光死；另一条是中国制度已经铺好的——用合法的加速折旧工具让账面跟上技术迭代，既真实又节税。但必须清醒：第二条路的工具是自愿的，会计裁量与美国同构——政策红利不会自动兑现为会计真实；6.6</w:t>
      </w:r>
      <w:r>
        <w:rPr>
          <w:rFonts w:ascii="Times New Roman" w:hAnsi="Times New Roman" w:eastAsia="宋体"/>
          <w:sz w:val="24"/>
        </w:rPr>
        <w:t xml:space="preserve"> </w:t>
      </w:r>
      <w:r>
        <w:rPr>
          <w:rFonts w:hint="eastAsia" w:ascii="Times New Roman" w:hAnsi="Times New Roman" w:eastAsia="宋体"/>
          <w:sz w:val="24"/>
        </w:rPr>
        <w:t>节的六家</w:t>
      </w:r>
      <w:r>
        <w:rPr>
          <w:rFonts w:ascii="Times New Roman" w:hAnsi="Times New Roman" w:eastAsia="宋体"/>
          <w:sz w:val="24"/>
        </w:rPr>
        <w:t xml:space="preserve"> A </w:t>
      </w:r>
      <w:r>
        <w:rPr>
          <w:rFonts w:hint="eastAsia" w:ascii="Times New Roman" w:hAnsi="Times New Roman" w:eastAsia="宋体"/>
          <w:sz w:val="24"/>
        </w:rPr>
        <w:t>股验证（数据港折旧年限上行漂移、科大讯飞减值密集出现、寒武纪存货激增</w:t>
      </w:r>
      <w:r>
        <w:rPr>
          <w:rFonts w:ascii="Times New Roman" w:hAnsi="Times New Roman" w:eastAsia="宋体"/>
          <w:sz w:val="24"/>
        </w:rPr>
        <w:t xml:space="preserve"> </w:t>
      </w:r>
      <w:r>
        <w:rPr>
          <w:rFonts w:hint="eastAsia" w:ascii="Times New Roman" w:hAnsi="Times New Roman" w:eastAsia="宋体"/>
          <w:sz w:val="24"/>
        </w:rPr>
        <w:t>1684%）说明，错配的苗头在中国已经出现，只是兑现时点未到。本研究的价值，就是把第一条路的后果用</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30 </w:t>
      </w:r>
      <w:r>
        <w:rPr>
          <w:rFonts w:hint="eastAsia" w:ascii="Times New Roman" w:hAnsi="Times New Roman" w:eastAsia="宋体"/>
          <w:sz w:val="24"/>
        </w:rPr>
        <w:t>份年报的证据讲清楚，把第二条路的走法用可执行的工具（评分模型、预警规则、识别系统）交到企业、保险机构和监管者手中——在窗口期关闭之前。</w:t>
      </w:r>
    </w:p>
    <w:bookmarkEnd w:id="136"/>
    <w:p w14:paraId="76F44C4B">
      <w:pPr>
        <w:pStyle w:val="4"/>
        <w:spacing w:before="320" w:after="160" w:line="360" w:lineRule="auto"/>
      </w:pPr>
      <w:bookmarkStart w:id="137" w:name="_Toc1254"/>
      <w:bookmarkStart w:id="138" w:name="中国科创企业的验证探索5d-drs-方法论迁移测试六家a股样本"/>
      <w:r>
        <w:rPr>
          <w:rFonts w:ascii="Times New Roman" w:hAnsi="Times New Roman" w:eastAsia="黑体"/>
          <w:b/>
          <w:color w:val="003366"/>
          <w:sz w:val="28"/>
        </w:rPr>
        <w:t>6.6 中国科创企业的验证探索：5D-DRS 方法论迁移测试（十家A股样本）</w:t>
      </w:r>
      <w:r>
        <w:rPr>
          <w:rFonts w:hint="eastAsia" w:ascii="Times New Roman" w:hAnsi="Times New Roman" w:eastAsia="黑体"/>
          <w:b/>
          <w:color w:val="003366"/>
          <w:sz w:val="28"/>
        </w:rPr>
      </w:r>
      <w:r>
        <w:rPr>
          <w:rFonts w:ascii="Times New Roman" w:hAnsi="Times New Roman" w:eastAsia="黑体"/>
          <w:b/>
          <w:color w:val="003366"/>
          <w:sz w:val="28"/>
        </w:rPr>
      </w:r>
      <w:r>
        <w:rPr>
          <w:rFonts w:hint="eastAsia" w:ascii="Times New Roman" w:hAnsi="Times New Roman" w:eastAsia="黑体"/>
          <w:b/>
          <w:color w:val="003366"/>
          <w:sz w:val="28"/>
        </w:rPr>
      </w:r>
      <w:bookmarkEnd w:id="137"/>
    </w:p>
    <w:p w14:paraId="15DD1310">
      <w:pPr>
        <w:pStyle w:val="25"/>
        <w:spacing w:before="40" w:after="40" w:line="360" w:lineRule="auto"/>
        <w:ind w:firstLine="480"/>
      </w:pPr>
      <w:r>
        <w:rPr>
          <w:rFonts w:hint="eastAsia" w:ascii="Times New Roman" w:hAnsi="Times New Roman" w:eastAsia="宋体"/>
          <w:sz w:val="24"/>
        </w:rPr>
        <w:t>前文的所有实证均基于美股 10-K。一个自然的问题是：5D-DRS 是“美国故事”，还是可迁移的通用方法？为检验方法论向 A 股市场的迁移可行性，本研究选取十家 A 股 AI/算力企业（科大讯飞、数据港、寒武纪、奥飞数据、中科曙光、浪潮信息、光环新网、海光信息、工业富联、润泽科技）进行标注验证，覆盖 FY2022-FY2024 三个财年，形成 10 家 × 3 年 = 30 份中国验证面板。全部关键数字均来自上交所/深交所法定披露原文，每条证据链经“程序逐字验真 + 规则引擎修正 + 人工复核”三重把关后确认为 confirmed 状态。选取标准覆盖高有形（IDC/数据中心）、高无形（芯片设计）、制造型（服务器）、混合型（软件+硬件）四种资产结构，与美国样本的三大类型（运营型/设计型/制造型）形成对照。</w:t>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p>
    <w:tbl>
      <w:tblPr>
        <w:tblStyle w:val="43"/>
        <w:tblW w:w="5000" w:type="pct"/>
        <w:tblInd w:w="0" w:type="dxa"/>
        <w:tblLayout w:type="fixed"/>
        <w:tblCellMar>
          <w:top w:w="0" w:type="dxa"/>
          <w:left w:w="108" w:type="dxa"/>
          <w:bottom w:w="0" w:type="dxa"/>
          <w:right w:w="108" w:type="dxa"/>
        </w:tblCellMar>
      </w:tblPr>
      <w:tblGrid>
        <w:gridCol w:w="1858"/>
        <w:gridCol w:w="1858"/>
        <w:gridCol w:w="1858"/>
        <w:gridCol w:w="1858"/>
        <w:gridCol w:w="1858"/>
      </w:tblGrid>
      <w:tr w14:paraId="3BBA0CBF">
        <w:tblPrEx>
          <w:tblCellMar>
            <w:top w:w="0" w:type="dxa"/>
            <w:left w:w="108" w:type="dxa"/>
            <w:bottom w:w="0" w:type="dxa"/>
            <w:right w:w="108" w:type="dxa"/>
          </w:tblCellMar>
        </w:tblPrEx>
        <w:trPr>
          <w:cantSplit/>
          <w:tblHeader/>
        </w:trPr>
        <w:tc>
          <w:p w14:paraId="284FA3CF">
            <w:pPr>
              <w:pStyle w:val="26"/>
              <w:spacing w:before="20" w:after="20" w:line="276" w:lineRule="auto"/>
            </w:pPr>
            <w:r>
              <w:rPr>
                <w:rFonts w:hint="eastAsia" w:ascii="Times New Roman" w:hAnsi="Times New Roman" w:eastAsia="宋体"/>
                <w:b/>
                <w:bCs/>
                <w:sz w:val="20"/>
              </w:rPr>
              <w:t>公司</w:t>
            </w:r>
          </w:p>
        </w:tc>
        <w:tc>
          <w:p w14:paraId="7B44DDA2">
            <w:pPr>
              <w:pStyle w:val="26"/>
              <w:spacing w:before="20" w:after="20" w:line="276" w:lineRule="auto"/>
            </w:pPr>
            <w:r>
              <w:rPr>
                <w:rFonts w:hint="eastAsia" w:ascii="Times New Roman" w:hAnsi="Times New Roman" w:eastAsia="宋体"/>
                <w:b/>
                <w:bCs/>
                <w:sz w:val="20"/>
              </w:rPr>
              <w:t>代码</w:t>
            </w:r>
          </w:p>
        </w:tc>
        <w:tc>
          <w:p w14:paraId="6065D133">
            <w:pPr>
              <w:pStyle w:val="26"/>
              <w:spacing w:before="20" w:after="20" w:line="276" w:lineRule="auto"/>
            </w:pPr>
            <w:r>
              <w:rPr>
                <w:rFonts w:hint="eastAsia" w:ascii="Times New Roman" w:hAnsi="Times New Roman" w:eastAsia="宋体"/>
                <w:b/>
                <w:bCs/>
                <w:sz w:val="20"/>
              </w:rPr>
              <w:t>资产结构</w:t>
            </w:r>
          </w:p>
        </w:tc>
        <w:tc>
          <w:p w14:paraId="541427FB">
            <w:pPr>
              <w:pStyle w:val="26"/>
              <w:spacing w:before="20" w:after="20" w:line="276" w:lineRule="auto"/>
            </w:pPr>
            <w:r>
              <w:rPr>
                <w:rFonts w:hint="eastAsia" w:ascii="Times New Roman" w:hAnsi="Times New Roman" w:eastAsia="宋体"/>
                <w:b/>
                <w:bCs/>
                <w:sz w:val="20"/>
              </w:rPr>
              <w:t>对标美样类型</w:t>
            </w:r>
          </w:p>
        </w:tc>
        <w:tc>
          <w:p w14:paraId="53A4A47F">
            <w:pPr>
              <w:pStyle w:val="26"/>
              <w:spacing w:before="20" w:after="20" w:line="276" w:lineRule="auto"/>
            </w:pPr>
            <w:r>
              <w:rPr>
                <w:rFonts w:hint="eastAsia" w:ascii="Times New Roman" w:hAnsi="Times New Roman" w:eastAsia="宋体"/>
                <w:b/>
                <w:bCs/>
                <w:sz w:val="20"/>
              </w:rPr>
              <w:t>核心风险通道</w:t>
            </w:r>
          </w:p>
        </w:tc>
      </w:tr>
      <w:tr w14:paraId="23FB3254">
        <w:tblPrEx>
          <w:tblCellMar>
            <w:top w:w="0" w:type="dxa"/>
            <w:left w:w="108" w:type="dxa"/>
            <w:bottom w:w="0" w:type="dxa"/>
            <w:right w:w="108" w:type="dxa"/>
          </w:tblCellMar>
        </w:tblPrEx>
        <w:trPr>
          <w:cantSplit/>
        </w:trPr>
        <w:tc>
          <w:p w14:paraId="64167433">
            <w:pPr>
              <w:pStyle w:val="26"/>
              <w:spacing w:before="20" w:after="20" w:line="276" w:lineRule="auto"/>
            </w:pPr>
            <w:r>
              <w:rPr>
                <w:rFonts w:hint="eastAsia" w:ascii="Times New Roman" w:hAnsi="Times New Roman" w:eastAsia="宋体"/>
                <w:sz w:val="20"/>
              </w:rPr>
              <w:t>奥飞数据</w:t>
            </w:r>
          </w:p>
        </w:tc>
        <w:tc>
          <w:p w14:paraId="2427AA7D">
            <w:pPr>
              <w:pStyle w:val="26"/>
              <w:spacing w:before="20" w:after="20" w:line="276" w:lineRule="auto"/>
            </w:pPr>
            <w:r>
              <w:rPr>
                <w:rFonts w:ascii="Times New Roman" w:hAnsi="Times New Roman" w:eastAsia="宋体"/>
                <w:sz w:val="20"/>
              </w:rPr>
              <w:t>300738.SZ</w:t>
            </w:r>
          </w:p>
        </w:tc>
        <w:tc>
          <w:p w14:paraId="7047845C">
            <w:pPr>
              <w:pStyle w:val="26"/>
              <w:spacing w:before="20" w:after="20" w:line="276" w:lineRule="auto"/>
            </w:pPr>
            <w:r>
              <w:rPr>
                <w:rFonts w:hint="eastAsia" w:ascii="Times New Roman" w:hAnsi="Times New Roman" w:eastAsia="宋体"/>
                <w:sz w:val="20"/>
              </w:rPr>
              <w:t>高有形（IDC</w:t>
            </w:r>
            <w:r>
              <w:rPr>
                <w:rFonts w:ascii="Times New Roman" w:hAnsi="Times New Roman" w:eastAsia="宋体"/>
                <w:sz w:val="20"/>
              </w:rPr>
              <w:t xml:space="preserve"> </w:t>
            </w:r>
            <w:r>
              <w:rPr>
                <w:rFonts w:hint="eastAsia" w:ascii="Times New Roman" w:hAnsi="Times New Roman" w:eastAsia="宋体"/>
                <w:sz w:val="20"/>
              </w:rPr>
              <w:t>运营）</w:t>
            </w:r>
          </w:p>
        </w:tc>
        <w:tc>
          <w:p w14:paraId="3476CB93">
            <w:pPr>
              <w:pStyle w:val="26"/>
              <w:spacing w:before="20" w:after="20" w:line="276" w:lineRule="auto"/>
            </w:pPr>
            <w:r>
              <w:rPr>
                <w:rFonts w:hint="eastAsia" w:ascii="Times New Roman" w:hAnsi="Times New Roman" w:eastAsia="宋体"/>
                <w:sz w:val="20"/>
              </w:rPr>
              <w:t>运营型（ORCL/META）</w:t>
            </w:r>
          </w:p>
        </w:tc>
        <w:tc>
          <w:p w14:paraId="69F7061D">
            <w:pPr>
              <w:pStyle w:val="26"/>
              <w:spacing w:before="20" w:after="20" w:line="276" w:lineRule="auto"/>
            </w:pPr>
            <w:r>
              <w:rPr>
                <w:rFonts w:hint="eastAsia" w:ascii="Times New Roman" w:hAnsi="Times New Roman" w:eastAsia="宋体"/>
                <w:sz w:val="20"/>
              </w:rPr>
              <w:t>算力资产年限错配（D1/D4）</w:t>
            </w:r>
          </w:p>
        </w:tc>
      </w:tr>
      <w:tr w14:paraId="32B17174">
        <w:tblPrEx>
          <w:tblCellMar>
            <w:top w:w="0" w:type="dxa"/>
            <w:left w:w="108" w:type="dxa"/>
            <w:bottom w:w="0" w:type="dxa"/>
            <w:right w:w="108" w:type="dxa"/>
          </w:tblCellMar>
        </w:tblPrEx>
        <w:trPr>
          <w:cantSplit/>
        </w:trPr>
        <w:tc>
          <w:p w14:paraId="25F77108">
            <w:pPr>
              <w:pStyle w:val="26"/>
              <w:spacing w:before="20" w:after="20" w:line="276" w:lineRule="auto"/>
            </w:pPr>
            <w:r>
              <w:rPr>
                <w:rFonts w:hint="eastAsia" w:ascii="Times New Roman" w:hAnsi="Times New Roman" w:eastAsia="宋体"/>
                <w:sz w:val="20"/>
              </w:rPr>
              <w:t>数据港</w:t>
            </w:r>
          </w:p>
        </w:tc>
        <w:tc>
          <w:p w14:paraId="0C5925AE">
            <w:pPr>
              <w:pStyle w:val="26"/>
              <w:spacing w:before="20" w:after="20" w:line="276" w:lineRule="auto"/>
            </w:pPr>
            <w:r>
              <w:rPr>
                <w:rFonts w:ascii="Times New Roman" w:hAnsi="Times New Roman" w:eastAsia="宋体"/>
                <w:sz w:val="20"/>
              </w:rPr>
              <w:t>603881.SH</w:t>
            </w:r>
          </w:p>
        </w:tc>
        <w:tc>
          <w:p w14:paraId="12EA36CC">
            <w:pPr>
              <w:pStyle w:val="26"/>
              <w:spacing w:before="20" w:after="20" w:line="276" w:lineRule="auto"/>
            </w:pPr>
            <w:r>
              <w:rPr>
                <w:rFonts w:hint="eastAsia" w:ascii="Times New Roman" w:hAnsi="Times New Roman" w:eastAsia="宋体"/>
                <w:sz w:val="20"/>
              </w:rPr>
              <w:t>高有形（IDC</w:t>
            </w:r>
            <w:r>
              <w:rPr>
                <w:rFonts w:ascii="Times New Roman" w:hAnsi="Times New Roman" w:eastAsia="宋体"/>
                <w:sz w:val="20"/>
              </w:rPr>
              <w:t xml:space="preserve"> </w:t>
            </w:r>
            <w:r>
              <w:rPr>
                <w:rFonts w:hint="eastAsia" w:ascii="Times New Roman" w:hAnsi="Times New Roman" w:eastAsia="宋体"/>
                <w:sz w:val="20"/>
              </w:rPr>
              <w:t>基建）</w:t>
            </w:r>
          </w:p>
        </w:tc>
        <w:tc>
          <w:p w14:paraId="54212E14">
            <w:pPr>
              <w:pStyle w:val="26"/>
              <w:spacing w:before="20" w:after="20" w:line="276" w:lineRule="auto"/>
            </w:pPr>
            <w:r>
              <w:rPr>
                <w:rFonts w:hint="eastAsia" w:ascii="Times New Roman" w:hAnsi="Times New Roman" w:eastAsia="宋体"/>
                <w:sz w:val="20"/>
              </w:rPr>
              <w:t>运营型（META/GOOGL）</w:t>
            </w:r>
          </w:p>
        </w:tc>
        <w:tc>
          <w:p w14:paraId="769FDFAF">
            <w:pPr>
              <w:pStyle w:val="26"/>
              <w:spacing w:before="20" w:after="20" w:line="276" w:lineRule="auto"/>
            </w:pPr>
            <w:r>
              <w:rPr>
                <w:rFonts w:hint="eastAsia" w:ascii="Times New Roman" w:hAnsi="Times New Roman" w:eastAsia="宋体"/>
                <w:sz w:val="20"/>
              </w:rPr>
              <w:t>折旧年限上行漂移（D1/D4）</w:t>
            </w:r>
          </w:p>
        </w:tc>
      </w:tr>
      <w:tr w14:paraId="794D9DC2">
        <w:tblPrEx>
          <w:tblCellMar>
            <w:top w:w="0" w:type="dxa"/>
            <w:left w:w="108" w:type="dxa"/>
            <w:bottom w:w="0" w:type="dxa"/>
            <w:right w:w="108" w:type="dxa"/>
          </w:tblCellMar>
        </w:tblPrEx>
        <w:trPr>
          <w:cantSplit/>
        </w:trPr>
        <w:tc>
          <w:p w14:paraId="4002CA0B">
            <w:pPr>
              <w:pStyle w:val="26"/>
              <w:spacing w:before="20" w:after="20" w:line="276" w:lineRule="auto"/>
            </w:pPr>
            <w:r>
              <w:rPr>
                <w:rFonts w:hint="eastAsia" w:ascii="Times New Roman" w:hAnsi="Times New Roman" w:eastAsia="宋体"/>
                <w:sz w:val="20"/>
              </w:rPr>
              <w:t>科大讯飞</w:t>
            </w:r>
          </w:p>
        </w:tc>
        <w:tc>
          <w:p w14:paraId="3F4E9693">
            <w:pPr>
              <w:pStyle w:val="26"/>
              <w:spacing w:before="20" w:after="20" w:line="276" w:lineRule="auto"/>
            </w:pPr>
            <w:r>
              <w:rPr>
                <w:rFonts w:ascii="Times New Roman" w:hAnsi="Times New Roman" w:eastAsia="宋体"/>
                <w:sz w:val="20"/>
              </w:rPr>
              <w:t>002230.SZ</w:t>
            </w:r>
          </w:p>
        </w:tc>
        <w:tc>
          <w:p w14:paraId="59ECF341">
            <w:pPr>
              <w:pStyle w:val="26"/>
              <w:spacing w:before="20" w:after="20" w:line="276" w:lineRule="auto"/>
            </w:pPr>
            <w:r>
              <w:rPr>
                <w:rFonts w:hint="eastAsia" w:ascii="Times New Roman" w:hAnsi="Times New Roman" w:eastAsia="宋体"/>
                <w:sz w:val="20"/>
              </w:rPr>
              <w:t>混合型（软件+硬件+算力）</w:t>
            </w:r>
          </w:p>
        </w:tc>
        <w:tc>
          <w:p w14:paraId="1FE717AA">
            <w:pPr>
              <w:pStyle w:val="26"/>
              <w:spacing w:before="20" w:after="20" w:line="276" w:lineRule="auto"/>
            </w:pPr>
            <w:r>
              <w:rPr>
                <w:rFonts w:hint="eastAsia" w:ascii="Times New Roman" w:hAnsi="Times New Roman" w:eastAsia="宋体"/>
                <w:sz w:val="20"/>
              </w:rPr>
              <w:t>软件型（CRM）</w:t>
            </w:r>
          </w:p>
        </w:tc>
        <w:tc>
          <w:p w14:paraId="4518444F">
            <w:pPr>
              <w:pStyle w:val="26"/>
              <w:spacing w:before="20" w:after="20" w:line="276" w:lineRule="auto"/>
            </w:pPr>
            <w:r>
              <w:rPr>
                <w:rFonts w:hint="eastAsia" w:ascii="Times New Roman" w:hAnsi="Times New Roman" w:eastAsia="宋体"/>
                <w:sz w:val="20"/>
              </w:rPr>
              <w:t>研发资本化</w:t>
            </w:r>
            <w:r>
              <w:rPr>
                <w:rFonts w:ascii="Times New Roman" w:hAnsi="Times New Roman" w:eastAsia="宋体"/>
                <w:sz w:val="20"/>
              </w:rPr>
              <w:t xml:space="preserve"> + </w:t>
            </w:r>
            <w:r>
              <w:rPr>
                <w:rFonts w:hint="eastAsia" w:ascii="Times New Roman" w:hAnsi="Times New Roman" w:eastAsia="宋体"/>
                <w:sz w:val="20"/>
              </w:rPr>
              <w:t>商誉/无形资产堆（D2/D3）</w:t>
            </w:r>
          </w:p>
        </w:tc>
      </w:tr>
      <w:tr w14:paraId="4C85A66C">
        <w:tblPrEx>
          <w:tblCellMar>
            <w:top w:w="0" w:type="dxa"/>
            <w:left w:w="108" w:type="dxa"/>
            <w:bottom w:w="0" w:type="dxa"/>
            <w:right w:w="108" w:type="dxa"/>
          </w:tblCellMar>
        </w:tblPrEx>
        <w:trPr>
          <w:cantSplit/>
        </w:trPr>
        <w:tc>
          <w:p w14:paraId="19045DCC">
            <w:pPr>
              <w:pStyle w:val="26"/>
              <w:spacing w:before="20" w:after="20" w:line="276" w:lineRule="auto"/>
            </w:pPr>
            <w:r>
              <w:rPr>
                <w:rFonts w:hint="eastAsia" w:ascii="Times New Roman" w:hAnsi="Times New Roman" w:eastAsia="宋体"/>
                <w:sz w:val="20"/>
              </w:rPr>
              <w:t>中科曙光</w:t>
            </w:r>
          </w:p>
        </w:tc>
        <w:tc>
          <w:p w14:paraId="283011BB">
            <w:pPr>
              <w:pStyle w:val="26"/>
              <w:spacing w:before="20" w:after="20" w:line="276" w:lineRule="auto"/>
            </w:pPr>
            <w:r>
              <w:rPr>
                <w:rFonts w:ascii="Times New Roman" w:hAnsi="Times New Roman" w:eastAsia="宋体"/>
                <w:sz w:val="20"/>
              </w:rPr>
              <w:t>603019.SH</w:t>
            </w:r>
          </w:p>
        </w:tc>
        <w:tc>
          <w:p w14:paraId="5E25310E">
            <w:pPr>
              <w:pStyle w:val="26"/>
              <w:spacing w:before="20" w:after="20" w:line="276" w:lineRule="auto"/>
            </w:pPr>
            <w:r>
              <w:rPr>
                <w:rFonts w:hint="eastAsia" w:ascii="Times New Roman" w:hAnsi="Times New Roman" w:eastAsia="宋体"/>
                <w:sz w:val="20"/>
              </w:rPr>
              <w:t>混合型（计算+芯片投资）</w:t>
            </w:r>
          </w:p>
        </w:tc>
        <w:tc>
          <w:p w14:paraId="213CA47D">
            <w:pPr>
              <w:pStyle w:val="26"/>
              <w:spacing w:before="20" w:after="20" w:line="276" w:lineRule="auto"/>
            </w:pPr>
            <w:r>
              <w:rPr>
                <w:rFonts w:hint="eastAsia" w:ascii="Times New Roman" w:hAnsi="Times New Roman" w:eastAsia="宋体"/>
                <w:sz w:val="20"/>
              </w:rPr>
              <w:t>混合型（NVDA）</w:t>
            </w:r>
          </w:p>
        </w:tc>
        <w:tc>
          <w:p w14:paraId="063FF1F3">
            <w:pPr>
              <w:pStyle w:val="26"/>
              <w:spacing w:before="20" w:after="20" w:line="276" w:lineRule="auto"/>
            </w:pPr>
            <w:r>
              <w:rPr>
                <w:rFonts w:hint="eastAsia" w:ascii="Times New Roman" w:hAnsi="Times New Roman" w:eastAsia="宋体"/>
                <w:sz w:val="20"/>
              </w:rPr>
              <w:t>存货/减值信号</w:t>
            </w:r>
            <w:r>
              <w:rPr>
                <w:rFonts w:ascii="Times New Roman" w:hAnsi="Times New Roman" w:eastAsia="宋体"/>
                <w:sz w:val="20"/>
              </w:rPr>
              <w:t xml:space="preserve"> + </w:t>
            </w:r>
            <w:r>
              <w:rPr>
                <w:rFonts w:hint="eastAsia" w:ascii="Times New Roman" w:hAnsi="Times New Roman" w:eastAsia="宋体"/>
                <w:sz w:val="20"/>
              </w:rPr>
              <w:t>技术替代（D3/D5）</w:t>
            </w:r>
          </w:p>
        </w:tc>
      </w:tr>
      <w:tr w14:paraId="1865AB8E">
        <w:tblPrEx>
          <w:tblCellMar>
            <w:top w:w="0" w:type="dxa"/>
            <w:left w:w="108" w:type="dxa"/>
            <w:bottom w:w="0" w:type="dxa"/>
            <w:right w:w="108" w:type="dxa"/>
          </w:tblCellMar>
        </w:tblPrEx>
        <w:trPr>
          <w:cantSplit/>
        </w:trPr>
        <w:tc>
          <w:p w14:paraId="6AC97FDD">
            <w:pPr>
              <w:pStyle w:val="26"/>
              <w:spacing w:before="20" w:after="20" w:line="276" w:lineRule="auto"/>
            </w:pPr>
            <w:r>
              <w:rPr>
                <w:rFonts w:hint="eastAsia" w:ascii="Times New Roman" w:hAnsi="Times New Roman" w:eastAsia="宋体"/>
                <w:sz w:val="20"/>
              </w:rPr>
              <w:t>寒武纪</w:t>
            </w:r>
          </w:p>
        </w:tc>
        <w:tc>
          <w:p w14:paraId="2F0F4929">
            <w:pPr>
              <w:pStyle w:val="26"/>
              <w:spacing w:before="20" w:after="20" w:line="276" w:lineRule="auto"/>
            </w:pPr>
            <w:r>
              <w:rPr>
                <w:rFonts w:ascii="Times New Roman" w:hAnsi="Times New Roman" w:eastAsia="宋体"/>
                <w:sz w:val="20"/>
              </w:rPr>
              <w:t>688256.SH</w:t>
            </w:r>
          </w:p>
        </w:tc>
        <w:tc>
          <w:p w14:paraId="4A202753">
            <w:pPr>
              <w:pStyle w:val="26"/>
              <w:spacing w:before="20" w:after="20" w:line="276" w:lineRule="auto"/>
            </w:pPr>
            <w:r>
              <w:rPr>
                <w:rFonts w:hint="eastAsia" w:ascii="Times New Roman" w:hAnsi="Times New Roman" w:eastAsia="宋体"/>
                <w:sz w:val="20"/>
              </w:rPr>
              <w:t>高无形（芯片设计</w:t>
            </w:r>
            <w:r>
              <w:rPr>
                <w:rFonts w:ascii="Times New Roman" w:hAnsi="Times New Roman" w:eastAsia="宋体"/>
                <w:sz w:val="20"/>
              </w:rPr>
              <w:t xml:space="preserve"> </w:t>
            </w:r>
            <w:r>
              <w:rPr>
                <w:rFonts w:hint="eastAsia" w:ascii="Times New Roman" w:hAnsi="Times New Roman" w:eastAsia="宋体"/>
                <w:sz w:val="20"/>
              </w:rPr>
              <w:t>Fabless）</w:t>
            </w:r>
          </w:p>
        </w:tc>
        <w:tc>
          <w:p w14:paraId="34ED2956">
            <w:pPr>
              <w:pStyle w:val="26"/>
              <w:spacing w:before="20" w:after="20" w:line="276" w:lineRule="auto"/>
            </w:pPr>
            <w:r>
              <w:rPr>
                <w:rFonts w:hint="eastAsia" w:ascii="Times New Roman" w:hAnsi="Times New Roman" w:eastAsia="宋体"/>
                <w:sz w:val="20"/>
              </w:rPr>
              <w:t>设计型（NVDA/AMD）</w:t>
            </w:r>
          </w:p>
        </w:tc>
        <w:tc>
          <w:p w14:paraId="16923DF8">
            <w:pPr>
              <w:pStyle w:val="26"/>
              <w:spacing w:before="20" w:after="20" w:line="276" w:lineRule="auto"/>
            </w:pPr>
            <w:r>
              <w:rPr>
                <w:rFonts w:hint="eastAsia" w:ascii="Times New Roman" w:hAnsi="Times New Roman" w:eastAsia="宋体"/>
                <w:sz w:val="20"/>
              </w:rPr>
              <w:t>存货跌价</w:t>
            </w:r>
            <w:r>
              <w:rPr>
                <w:rFonts w:ascii="Times New Roman" w:hAnsi="Times New Roman" w:eastAsia="宋体"/>
                <w:sz w:val="20"/>
              </w:rPr>
              <w:t xml:space="preserve"> + </w:t>
            </w:r>
            <w:r>
              <w:rPr>
                <w:rFonts w:hint="eastAsia" w:ascii="Times New Roman" w:hAnsi="Times New Roman" w:eastAsia="宋体"/>
                <w:sz w:val="20"/>
              </w:rPr>
              <w:t>技术替代（D3/D5）</w:t>
            </w:r>
          </w:p>
        </w:tc>
      </w:tr>
      <w:tr w14:paraId="566FA61A">
        <w:tblPrEx>
          <w:tblCellMar>
            <w:top w:w="0" w:type="dxa"/>
            <w:left w:w="108" w:type="dxa"/>
            <w:bottom w:w="0" w:type="dxa"/>
            <w:right w:w="108" w:type="dxa"/>
          </w:tblCellMar>
        </w:tblPrEx>
        <w:trPr>
          <w:cantSplit/>
        </w:trPr>
        <w:tc>
          <w:p w14:paraId="0EAD2673">
            <w:pPr>
              <w:pStyle w:val="26"/>
              <w:spacing w:before="20" w:after="20" w:line="276" w:lineRule="auto"/>
            </w:pPr>
            <w:r>
              <w:rPr>
                <w:rFonts w:hint="eastAsia" w:ascii="Times New Roman" w:hAnsi="Times New Roman" w:eastAsia="宋体"/>
                <w:sz w:val="20"/>
              </w:rPr>
              <w:t>浪潮信息</w:t>
            </w:r>
          </w:p>
        </w:tc>
        <w:tc>
          <w:p w14:paraId="0056A620">
            <w:pPr>
              <w:pStyle w:val="26"/>
              <w:spacing w:before="20" w:after="20" w:line="276" w:lineRule="auto"/>
            </w:pPr>
            <w:r>
              <w:rPr>
                <w:rFonts w:ascii="Times New Roman" w:hAnsi="Times New Roman" w:eastAsia="宋体"/>
                <w:sz w:val="20"/>
              </w:rPr>
              <w:t>000977.SZ</w:t>
            </w:r>
          </w:p>
        </w:tc>
        <w:tc>
          <w:p w14:paraId="11651B14">
            <w:pPr>
              <w:pStyle w:val="26"/>
              <w:spacing w:before="20" w:after="20" w:line="276" w:lineRule="auto"/>
            </w:pPr>
            <w:r>
              <w:rPr>
                <w:rFonts w:hint="eastAsia" w:ascii="Times New Roman" w:hAnsi="Times New Roman" w:eastAsia="宋体"/>
                <w:sz w:val="20"/>
              </w:rPr>
              <w:t>制造型（服务器）</w:t>
            </w:r>
          </w:p>
        </w:tc>
        <w:tc>
          <w:p w14:paraId="43A9A776">
            <w:pPr>
              <w:pStyle w:val="26"/>
              <w:spacing w:before="20" w:after="20" w:line="276" w:lineRule="auto"/>
            </w:pPr>
            <w:r>
              <w:rPr>
                <w:rFonts w:hint="eastAsia" w:ascii="Times New Roman" w:hAnsi="Times New Roman" w:eastAsia="宋体"/>
                <w:sz w:val="20"/>
              </w:rPr>
              <w:t>制造型（INTC）</w:t>
            </w:r>
          </w:p>
        </w:tc>
        <w:tc>
          <w:p w14:paraId="742DDC8A">
            <w:pPr>
              <w:pStyle w:val="26"/>
              <w:spacing w:before="20" w:after="20" w:line="276" w:lineRule="auto"/>
            </w:pPr>
            <w:r>
              <w:rPr>
                <w:rFonts w:hint="eastAsia" w:ascii="Times New Roman" w:hAnsi="Times New Roman" w:eastAsia="宋体"/>
                <w:sz w:val="20"/>
              </w:rPr>
              <w:t>技术替代（D5）</w:t>
            </w:r>
          </w:p>
        </w:tc>
      </w:tr>
      <w:tr w14:paraId="23FB3254">
        <w:tblPrEx>
          <w:tblCellMar>
            <w:top w:w="0" w:type="dxa"/>
            <w:left w:w="108" w:type="dxa"/>
            <w:bottom w:w="0" w:type="dxa"/>
            <w:right w:w="108" w:type="dxa"/>
          </w:tblCellMar>
        </w:tblPrEx>
        <w:trPr>
          <w:cantSplit/>
        </w:trPr>
        <w:tc>
          <w:p w14:paraId="64167433">
            <w:pPr>
              <w:pStyle w:val="26"/>
              <w:spacing w:before="20" w:after="20" w:line="276" w:lineRule="auto"/>
            </w:pPr>
            <w:r>
              <w:rPr>
                <w:rFonts w:hint="eastAsia" w:ascii="Times New Roman" w:hAnsi="Times New Roman" w:eastAsia="宋体"/>
                <w:sz w:val="20"/>
              </w:rPr>
              <w:t>光环新网</w:t>
            </w:r>
          </w:p>
        </w:tc>
        <w:tc>
          <w:p w14:paraId="2427AA7D">
            <w:pPr>
              <w:pStyle w:val="26"/>
              <w:spacing w:before="20" w:after="20" w:line="276" w:lineRule="auto"/>
            </w:pPr>
            <w:r>
              <w:rPr>
                <w:rFonts w:ascii="Times New Roman" w:hAnsi="Times New Roman" w:eastAsia="宋体"/>
                <w:sz w:val="20"/>
              </w:rPr>
              <w:t>300383.SZ</w:t>
            </w:r>
          </w:p>
        </w:tc>
        <w:tc>
          <w:p w14:paraId="7047845C">
            <w:pPr>
              <w:pStyle w:val="26"/>
              <w:spacing w:before="20" w:after="20" w:line="276" w:lineRule="auto"/>
            </w:pPr>
            <w:r>
              <w:rPr>
                <w:rFonts w:hint="eastAsia" w:ascii="Times New Roman" w:hAnsi="Times New Roman" w:eastAsia="宋体"/>
                <w:sz w:val="20"/>
              </w:rPr>
              <w:t>高有形（IDC 运营）</w:t>
            </w:r>
            <w:r>
              <w:rPr>
                <w:rFonts w:ascii="Times New Roman" w:hAnsi="Times New Roman" w:eastAsia="宋体"/>
                <w:sz w:val="20"/>
              </w:rPr>
            </w:r>
            <w:r>
              <w:rPr>
                <w:rFonts w:hint="eastAsia" w:ascii="Times New Roman" w:hAnsi="Times New Roman" w:eastAsia="宋体"/>
                <w:sz w:val="20"/>
              </w:rPr>
            </w:r>
          </w:p>
        </w:tc>
        <w:tc>
          <w:p w14:paraId="3476CB93">
            <w:pPr>
              <w:pStyle w:val="26"/>
              <w:spacing w:before="20" w:after="20" w:line="276" w:lineRule="auto"/>
            </w:pPr>
            <w:r>
              <w:rPr>
                <w:rFonts w:hint="eastAsia" w:ascii="Times New Roman" w:hAnsi="Times New Roman" w:eastAsia="宋体"/>
                <w:sz w:val="20"/>
              </w:rPr>
              <w:t>运营型（ORCL/META）</w:t>
            </w:r>
          </w:p>
        </w:tc>
        <w:tc>
          <w:p w14:paraId="69F7061D">
            <w:pPr>
              <w:pStyle w:val="26"/>
              <w:spacing w:before="20" w:after="20" w:line="276" w:lineRule="auto"/>
            </w:pPr>
            <w:r>
              <w:rPr>
                <w:rFonts w:hint="eastAsia" w:ascii="Times New Roman" w:hAnsi="Times New Roman" w:eastAsia="宋体"/>
                <w:sz w:val="20"/>
              </w:rPr>
              <w:t>算力资产年限错配（D1）</w:t>
            </w:r>
          </w:p>
        </w:tc>
      </w:tr>
      <w:tr w14:paraId="23FB3254">
        <w:tblPrEx>
          <w:tblCellMar>
            <w:top w:w="0" w:type="dxa"/>
            <w:left w:w="108" w:type="dxa"/>
            <w:bottom w:w="0" w:type="dxa"/>
            <w:right w:w="108" w:type="dxa"/>
          </w:tblCellMar>
        </w:tblPrEx>
        <w:trPr>
          <w:cantSplit/>
        </w:trPr>
        <w:tc>
          <w:p w14:paraId="64167433">
            <w:pPr>
              <w:pStyle w:val="26"/>
              <w:spacing w:before="20" w:after="20" w:line="276" w:lineRule="auto"/>
            </w:pPr>
            <w:r>
              <w:rPr>
                <w:rFonts w:hint="eastAsia" w:ascii="Times New Roman" w:hAnsi="Times New Roman" w:eastAsia="宋体"/>
                <w:sz w:val="20"/>
              </w:rPr>
              <w:t>润泽科技</w:t>
            </w:r>
          </w:p>
        </w:tc>
        <w:tc>
          <w:p w14:paraId="2427AA7D">
            <w:pPr>
              <w:pStyle w:val="26"/>
              <w:spacing w:before="20" w:after="20" w:line="276" w:lineRule="auto"/>
            </w:pPr>
            <w:r>
              <w:rPr>
                <w:rFonts w:ascii="Times New Roman" w:hAnsi="Times New Roman" w:eastAsia="宋体"/>
                <w:sz w:val="20"/>
              </w:rPr>
              <w:t>300442.SZ</w:t>
            </w:r>
          </w:p>
        </w:tc>
        <w:tc>
          <w:p w14:paraId="7047845C">
            <w:pPr>
              <w:pStyle w:val="26"/>
              <w:spacing w:before="20" w:after="20" w:line="276" w:lineRule="auto"/>
            </w:pPr>
            <w:r>
              <w:rPr>
                <w:rFonts w:hint="eastAsia" w:ascii="Times New Roman" w:hAnsi="Times New Roman" w:eastAsia="宋体"/>
                <w:sz w:val="20"/>
              </w:rPr>
              <w:t>高有形（IDC 运营）</w:t>
            </w:r>
            <w:r>
              <w:rPr>
                <w:rFonts w:ascii="Times New Roman" w:hAnsi="Times New Roman" w:eastAsia="宋体"/>
                <w:sz w:val="20"/>
              </w:rPr>
            </w:r>
            <w:r>
              <w:rPr>
                <w:rFonts w:hint="eastAsia" w:ascii="Times New Roman" w:hAnsi="Times New Roman" w:eastAsia="宋体"/>
                <w:sz w:val="20"/>
              </w:rPr>
            </w:r>
          </w:p>
        </w:tc>
        <w:tc>
          <w:p w14:paraId="3476CB93">
            <w:pPr>
              <w:pStyle w:val="26"/>
              <w:spacing w:before="20" w:after="20" w:line="276" w:lineRule="auto"/>
            </w:pPr>
            <w:r>
              <w:rPr>
                <w:rFonts w:hint="eastAsia" w:ascii="Times New Roman" w:hAnsi="Times New Roman" w:eastAsia="宋体"/>
                <w:sz w:val="20"/>
              </w:rPr>
              <w:t>运营型（ORCL/META）</w:t>
            </w:r>
          </w:p>
        </w:tc>
        <w:tc>
          <w:p w14:paraId="69F7061D">
            <w:pPr>
              <w:pStyle w:val="26"/>
              <w:spacing w:before="20" w:after="20" w:line="276" w:lineRule="auto"/>
            </w:pPr>
            <w:r>
              <w:rPr>
                <w:rFonts w:hint="eastAsia" w:ascii="Times New Roman" w:hAnsi="Times New Roman" w:eastAsia="宋体"/>
                <w:sz w:val="20"/>
              </w:rPr>
              <w:t>算力资产年限错配（D1）</w:t>
            </w:r>
          </w:p>
        </w:tc>
      </w:tr>
      <w:tr w14:paraId="23FB3254">
        <w:tblPrEx>
          <w:tblCellMar>
            <w:top w:w="0" w:type="dxa"/>
            <w:left w:w="108" w:type="dxa"/>
            <w:bottom w:w="0" w:type="dxa"/>
            <w:right w:w="108" w:type="dxa"/>
          </w:tblCellMar>
        </w:tblPrEx>
        <w:trPr>
          <w:cantSplit/>
        </w:trPr>
        <w:tc>
          <w:p w14:paraId="64167433">
            <w:pPr>
              <w:pStyle w:val="26"/>
              <w:spacing w:before="20" w:after="20" w:line="276" w:lineRule="auto"/>
            </w:pPr>
            <w:r>
              <w:rPr>
                <w:rFonts w:hint="eastAsia" w:ascii="Times New Roman" w:hAnsi="Times New Roman" w:eastAsia="宋体"/>
                <w:sz w:val="20"/>
              </w:rPr>
              <w:t>工业富联</w:t>
            </w:r>
          </w:p>
        </w:tc>
        <w:tc>
          <w:p w14:paraId="2427AA7D">
            <w:pPr>
              <w:pStyle w:val="26"/>
              <w:spacing w:before="20" w:after="20" w:line="276" w:lineRule="auto"/>
            </w:pPr>
            <w:r>
              <w:rPr>
                <w:rFonts w:ascii="Times New Roman" w:hAnsi="Times New Roman" w:eastAsia="宋体"/>
                <w:sz w:val="20"/>
              </w:rPr>
              <w:t>601138.SH</w:t>
            </w:r>
          </w:p>
        </w:tc>
        <w:tc>
          <w:p w14:paraId="7047845C">
            <w:pPr>
              <w:pStyle w:val="26"/>
              <w:spacing w:before="20" w:after="20" w:line="276" w:lineRule="auto"/>
            </w:pPr>
            <w:r>
              <w:rPr>
                <w:rFonts w:hint="eastAsia" w:ascii="Times New Roman" w:hAnsi="Times New Roman" w:eastAsia="宋体"/>
                <w:sz w:val="20"/>
              </w:rPr>
              <w:t>制造型（服务器代工）</w:t>
            </w:r>
            <w:r>
              <w:rPr>
                <w:rFonts w:ascii="Times New Roman" w:hAnsi="Times New Roman" w:eastAsia="宋体"/>
                <w:sz w:val="20"/>
              </w:rPr>
            </w:r>
            <w:r>
              <w:rPr>
                <w:rFonts w:hint="eastAsia" w:ascii="Times New Roman" w:hAnsi="Times New Roman" w:eastAsia="宋体"/>
                <w:sz w:val="20"/>
              </w:rPr>
            </w:r>
          </w:p>
        </w:tc>
        <w:tc>
          <w:p w14:paraId="3476CB93">
            <w:pPr>
              <w:pStyle w:val="26"/>
              <w:spacing w:before="20" w:after="20" w:line="276" w:lineRule="auto"/>
            </w:pPr>
            <w:r>
              <w:rPr>
                <w:rFonts w:hint="eastAsia" w:ascii="Times New Roman" w:hAnsi="Times New Roman" w:eastAsia="宋体"/>
                <w:sz w:val="20"/>
              </w:rPr>
              <w:t>制造型（INTC）</w:t>
            </w:r>
          </w:p>
        </w:tc>
        <w:tc>
          <w:p w14:paraId="69F7061D">
            <w:pPr>
              <w:pStyle w:val="26"/>
              <w:spacing w:before="20" w:after="20" w:line="276" w:lineRule="auto"/>
            </w:pPr>
            <w:r>
              <w:rPr>
                <w:rFonts w:hint="eastAsia" w:ascii="Times New Roman" w:hAnsi="Times New Roman" w:eastAsia="宋体"/>
                <w:sz w:val="20"/>
              </w:rPr>
              <w:t>年限错配 + 减值信号（D1/D3）</w:t>
            </w:r>
          </w:p>
        </w:tc>
      </w:tr>
      <w:tr w14:paraId="23FB3254">
        <w:tblPrEx>
          <w:tblCellMar>
            <w:top w:w="0" w:type="dxa"/>
            <w:left w:w="108" w:type="dxa"/>
            <w:bottom w:w="0" w:type="dxa"/>
            <w:right w:w="108" w:type="dxa"/>
          </w:tblCellMar>
        </w:tblPrEx>
        <w:trPr>
          <w:cantSplit/>
        </w:trPr>
        <w:tc>
          <w:p w14:paraId="64167433">
            <w:pPr>
              <w:pStyle w:val="26"/>
              <w:spacing w:before="20" w:after="20" w:line="276" w:lineRule="auto"/>
            </w:pPr>
            <w:r>
              <w:rPr>
                <w:rFonts w:hint="eastAsia" w:ascii="Times New Roman" w:hAnsi="Times New Roman" w:eastAsia="宋体"/>
                <w:sz w:val="20"/>
              </w:rPr>
              <w:t>海光信息</w:t>
            </w:r>
          </w:p>
        </w:tc>
        <w:tc>
          <w:p w14:paraId="2427AA7D">
            <w:pPr>
              <w:pStyle w:val="26"/>
              <w:spacing w:before="20" w:after="20" w:line="276" w:lineRule="auto"/>
            </w:pPr>
            <w:r>
              <w:rPr>
                <w:rFonts w:ascii="Times New Roman" w:hAnsi="Times New Roman" w:eastAsia="宋体"/>
                <w:sz w:val="20"/>
              </w:rPr>
              <w:t>688041.SH</w:t>
            </w:r>
          </w:p>
        </w:tc>
        <w:tc>
          <w:p w14:paraId="7047845C">
            <w:pPr>
              <w:pStyle w:val="26"/>
              <w:spacing w:before="20" w:after="20" w:line="276" w:lineRule="auto"/>
            </w:pPr>
            <w:r>
              <w:rPr>
                <w:rFonts w:hint="eastAsia" w:ascii="Times New Roman" w:hAnsi="Times New Roman" w:eastAsia="宋体"/>
                <w:sz w:val="20"/>
              </w:rPr>
              <w:t>高无形（芯片设计）</w:t>
            </w:r>
            <w:r>
              <w:rPr>
                <w:rFonts w:ascii="Times New Roman" w:hAnsi="Times New Roman" w:eastAsia="宋体"/>
                <w:sz w:val="20"/>
              </w:rPr>
            </w:r>
            <w:r>
              <w:rPr>
                <w:rFonts w:hint="eastAsia" w:ascii="Times New Roman" w:hAnsi="Times New Roman" w:eastAsia="宋体"/>
                <w:sz w:val="20"/>
              </w:rPr>
            </w:r>
          </w:p>
        </w:tc>
        <w:tc>
          <w:p w14:paraId="3476CB93">
            <w:pPr>
              <w:pStyle w:val="26"/>
              <w:spacing w:before="20" w:after="20" w:line="276" w:lineRule="auto"/>
            </w:pPr>
            <w:r>
              <w:rPr>
                <w:rFonts w:hint="eastAsia" w:ascii="Times New Roman" w:hAnsi="Times New Roman" w:eastAsia="宋体"/>
                <w:sz w:val="20"/>
              </w:rPr>
              <w:t>设计型（NVDA/AMD）</w:t>
            </w:r>
          </w:p>
        </w:tc>
        <w:tc>
          <w:p w14:paraId="69F7061D">
            <w:pPr>
              <w:pStyle w:val="26"/>
              <w:spacing w:before="20" w:after="20" w:line="276" w:lineRule="auto"/>
            </w:pPr>
            <w:r>
              <w:rPr>
                <w:rFonts w:hint="eastAsia" w:ascii="Times New Roman" w:hAnsi="Times New Roman" w:eastAsia="宋体"/>
                <w:sz w:val="20"/>
              </w:rPr>
              <w:t>资本开支强度（D4）</w:t>
            </w:r>
          </w:p>
        </w:tc>
      </w:tr>
    </w:tbl>
    <w:p w14:paraId="2EF7F21D">
      <w:pPr>
        <w:pStyle w:val="3"/>
        <w:spacing w:before="40" w:after="40" w:line="360" w:lineRule="auto"/>
        <w:ind w:firstLine="480"/>
      </w:pPr>
      <w:r>
        <w:rPr>
          <w:rFonts w:hint="eastAsia" w:ascii="Times New Roman" w:hAnsi="Times New Roman" w:eastAsia="宋体"/>
          <w:sz w:val="24"/>
        </w:rPr>
        <w:t>十家样本综合评分验算统一采用 5D-DRS 权重（D1=0.25, D2=0.20, D3=0.20, D4=0.20, D5=0.15），维度分与权重留痕于标注 JSON，可逐格复算。</w:t>
      </w:r>
      <w:r>
        <w:rPr>
          <w:rFonts w:ascii="Times New Roman" w:hAnsi="Times New Roman" w:eastAsia="宋体"/>
          <w:sz w:val="24"/>
        </w:rPr>
      </w:r>
      <w:r>
        <w:rPr>
          <w:rFonts w:hint="eastAsia" w:ascii="Times New Roman" w:hAnsi="Times New Roman" w:eastAsia="宋体"/>
          <w:sz w:val="24"/>
        </w:rPr>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1ABB0910">
        <w:tblPrEx>
          <w:tblCellMar>
            <w:top w:w="0" w:type="dxa"/>
            <w:left w:w="108" w:type="dxa"/>
            <w:bottom w:w="0" w:type="dxa"/>
            <w:right w:w="108" w:type="dxa"/>
          </w:tblCellMar>
        </w:tblPrEx>
        <w:trPr>
          <w:cantSplit/>
          <w:tblHeader/>
        </w:trPr>
        <w:tc>
          <w:p w14:paraId="4423FD74">
            <w:pPr>
              <w:pStyle w:val="26"/>
              <w:spacing w:before="20" w:after="20" w:line="276" w:lineRule="auto"/>
            </w:pPr>
            <w:r>
              <w:rPr>
                <w:rFonts w:hint="eastAsia" w:ascii="Times New Roman" w:hAnsi="Times New Roman" w:eastAsia="宋体"/>
                <w:sz w:val="20"/>
              </w:rPr>
              <w:t>观测</w:t>
            </w:r>
          </w:p>
        </w:tc>
        <w:tc>
          <w:p w14:paraId="7F07CF86">
            <w:pPr>
              <w:pStyle w:val="26"/>
              <w:spacing w:before="20" w:after="20" w:line="276" w:lineRule="auto"/>
            </w:pPr>
            <w:r>
              <w:rPr>
                <w:rFonts w:hint="eastAsia" w:ascii="Times New Roman" w:hAnsi="Times New Roman" w:eastAsia="宋体"/>
                <w:sz w:val="20"/>
              </w:rPr>
              <w:t>验算式</w:t>
            </w:r>
          </w:p>
        </w:tc>
        <w:tc>
          <w:p w14:paraId="6D5EF42F">
            <w:pPr>
              <w:pStyle w:val="26"/>
              <w:spacing w:before="20" w:after="20" w:line="276" w:lineRule="auto"/>
            </w:pPr>
            <w:r>
              <w:rPr>
                <w:rFonts w:hint="eastAsia" w:ascii="Times New Roman" w:hAnsi="Times New Roman" w:eastAsia="宋体"/>
                <w:sz w:val="20"/>
              </w:rPr>
              <w:t>综合评分</w:t>
            </w:r>
          </w:p>
        </w:tc>
        <w:tc>
          <w:p w14:paraId="784ADD5A">
            <w:pPr>
              <w:pStyle w:val="26"/>
              <w:spacing w:before="20" w:after="20" w:line="276" w:lineRule="auto"/>
            </w:pPr>
            <w:r>
              <w:rPr>
                <w:rFonts w:hint="eastAsia" w:ascii="Times New Roman" w:hAnsi="Times New Roman" w:eastAsia="宋体"/>
                <w:sz w:val="20"/>
              </w:rPr>
              <w:t>风险等级</w:t>
            </w:r>
          </w:p>
        </w:tc>
      </w:tr>
      <w:tr w14:paraId="35ABC232">
        <w:tblPrEx>
          <w:tblCellMar>
            <w:top w:w="0" w:type="dxa"/>
            <w:left w:w="108" w:type="dxa"/>
            <w:bottom w:w="0" w:type="dxa"/>
            <w:right w:w="108" w:type="dxa"/>
          </w:tblCellMar>
        </w:tblPrEx>
        <w:trPr>
          <w:cantSplit/>
        </w:trPr>
        <w:tc>
          <w:p w14:paraId="3E1A00BD">
            <w:pPr>
              <w:pStyle w:val="26"/>
              <w:spacing w:before="20" w:after="20" w:line="276" w:lineRule="auto"/>
            </w:pPr>
            <w:r>
              <w:rPr>
                <w:rFonts w:hint="eastAsia" w:ascii="Times New Roman" w:hAnsi="Times New Roman" w:eastAsia="宋体"/>
                <w:sz w:val="20"/>
              </w:rPr>
              <w:t>奥飞数据</w:t>
            </w:r>
            <w:r>
              <w:rPr>
                <w:rFonts w:ascii="Times New Roman" w:hAnsi="Times New Roman" w:eastAsia="宋体"/>
                <w:sz w:val="20"/>
              </w:rPr>
              <w:t xml:space="preserve"> 2024</w:t>
            </w:r>
          </w:p>
        </w:tc>
        <w:tc>
          <w:p w14:paraId="64B49E0B">
            <w:pPr>
              <w:pStyle w:val="26"/>
              <w:spacing w:before="20" w:after="20" w:line="276" w:lineRule="auto"/>
            </w:pPr>
            <w:r>
              <w:rPr>
                <w:rFonts w:ascii="Times New Roman" w:hAnsi="Times New Roman" w:eastAsia="宋体"/>
                <w:sz w:val="20"/>
              </w:rPr>
              <w:t>5×0.25+4×0.20+4×0.20+5×0.20+4×0.15 = 1.25+0.80+0.80+1.00+0.60</w:t>
            </w:r>
          </w:p>
        </w:tc>
        <w:tc>
          <w:p w14:paraId="2BEF075B">
            <w:pPr>
              <w:pStyle w:val="26"/>
              <w:spacing w:before="20" w:after="20" w:line="276" w:lineRule="auto"/>
            </w:pPr>
            <w:r>
              <w:rPr>
                <w:rFonts w:ascii="Times New Roman" w:hAnsi="Times New Roman" w:eastAsia="宋体"/>
                <w:sz w:val="20"/>
              </w:rPr>
              <w:t>4.45</w:t>
            </w:r>
          </w:p>
        </w:tc>
        <w:tc>
          <w:p w14:paraId="6D965CB7">
            <w:pPr>
              <w:pStyle w:val="26"/>
              <w:spacing w:before="20" w:after="20" w:line="276" w:lineRule="auto"/>
            </w:pPr>
            <w:r>
              <w:rPr>
                <w:rFonts w:hint="eastAsia" w:ascii="Times New Roman" w:hAnsi="Times New Roman" w:eastAsia="宋体"/>
                <w:sz w:val="20"/>
              </w:rPr>
              <w:t>高风险</w:t>
            </w:r>
          </w:p>
        </w:tc>
      </w:tr>
      <w:tr w14:paraId="6CCB1AE5">
        <w:tblPrEx>
          <w:tblCellMar>
            <w:top w:w="0" w:type="dxa"/>
            <w:left w:w="108" w:type="dxa"/>
            <w:bottom w:w="0" w:type="dxa"/>
            <w:right w:w="108" w:type="dxa"/>
          </w:tblCellMar>
        </w:tblPrEx>
        <w:trPr>
          <w:cantSplit/>
        </w:trPr>
        <w:tc>
          <w:p w14:paraId="6641FD10">
            <w:pPr>
              <w:pStyle w:val="26"/>
              <w:spacing w:before="20" w:after="20" w:line="276" w:lineRule="auto"/>
            </w:pPr>
            <w:r>
              <w:rPr>
                <w:rFonts w:hint="eastAsia" w:ascii="Times New Roman" w:hAnsi="Times New Roman" w:eastAsia="宋体"/>
                <w:sz w:val="20"/>
              </w:rPr>
              <w:t>中科曙光</w:t>
            </w:r>
            <w:r>
              <w:rPr>
                <w:rFonts w:ascii="Times New Roman" w:hAnsi="Times New Roman" w:eastAsia="宋体"/>
                <w:sz w:val="20"/>
              </w:rPr>
              <w:t xml:space="preserve"> 2024</w:t>
            </w:r>
          </w:p>
        </w:tc>
        <w:tc>
          <w:p w14:paraId="29B8E8C3">
            <w:pPr>
              <w:pStyle w:val="26"/>
              <w:spacing w:before="20" w:after="20" w:line="276" w:lineRule="auto"/>
            </w:pPr>
            <w:r>
              <w:rPr>
                <w:rFonts w:ascii="Times New Roman" w:hAnsi="Times New Roman" w:eastAsia="宋体"/>
                <w:sz w:val="20"/>
              </w:rPr>
              <w:t>2×0.25+2×0.20+3×0.20+3×0.20+4×0.15 = 0.50+0.40+0.60+0.60+0.60</w:t>
            </w:r>
          </w:p>
        </w:tc>
        <w:tc>
          <w:p w14:paraId="256F0259">
            <w:pPr>
              <w:pStyle w:val="26"/>
              <w:spacing w:before="20" w:after="20" w:line="276" w:lineRule="auto"/>
            </w:pPr>
            <w:r>
              <w:rPr>
                <w:rFonts w:ascii="Times New Roman" w:hAnsi="Times New Roman" w:eastAsia="宋体"/>
                <w:sz w:val="20"/>
              </w:rPr>
              <w:t>2.70</w:t>
            </w:r>
          </w:p>
        </w:tc>
        <w:tc>
          <w:p w14:paraId="2AC86060">
            <w:pPr>
              <w:pStyle w:val="26"/>
              <w:spacing w:before="20" w:after="20" w:line="276" w:lineRule="auto"/>
            </w:pPr>
            <w:r>
              <w:rPr>
                <w:rFonts w:hint="eastAsia" w:ascii="Times New Roman" w:hAnsi="Times New Roman" w:eastAsia="宋体"/>
                <w:sz w:val="20"/>
              </w:rPr>
              <w:t>中低风险</w:t>
            </w:r>
          </w:p>
        </w:tc>
      </w:tr>
      <w:tr w14:paraId="50289DEB">
        <w:tblPrEx>
          <w:tblCellMar>
            <w:top w:w="0" w:type="dxa"/>
            <w:left w:w="108" w:type="dxa"/>
            <w:bottom w:w="0" w:type="dxa"/>
            <w:right w:w="108" w:type="dxa"/>
          </w:tblCellMar>
        </w:tblPrEx>
        <w:trPr>
          <w:cantSplit/>
        </w:trPr>
        <w:tc>
          <w:p w14:paraId="6E76CFEA">
            <w:pPr>
              <w:pStyle w:val="26"/>
              <w:spacing w:before="20" w:after="20" w:line="276" w:lineRule="auto"/>
            </w:pPr>
            <w:r>
              <w:rPr>
                <w:rFonts w:hint="eastAsia" w:ascii="Times New Roman" w:hAnsi="Times New Roman" w:eastAsia="宋体"/>
                <w:sz w:val="20"/>
              </w:rPr>
              <w:t>浪潮信息</w:t>
            </w:r>
            <w:r>
              <w:rPr>
                <w:rFonts w:ascii="Times New Roman" w:hAnsi="Times New Roman" w:eastAsia="宋体"/>
                <w:sz w:val="20"/>
              </w:rPr>
              <w:t xml:space="preserve"> 2024</w:t>
            </w:r>
          </w:p>
        </w:tc>
        <w:tc>
          <w:p w14:paraId="3059CA3A">
            <w:pPr>
              <w:pStyle w:val="26"/>
              <w:spacing w:before="20" w:after="20" w:line="276" w:lineRule="auto"/>
            </w:pPr>
            <w:r>
              <w:rPr>
                <w:rFonts w:ascii="Times New Roman" w:hAnsi="Times New Roman" w:eastAsia="宋体"/>
                <w:sz w:val="20"/>
              </w:rPr>
              <w:t>2×0.25+1×0.20+2×0.20+2×0.20+4×0.15 = 0.50+0.20+0.40+0.40+0.60</w:t>
            </w:r>
          </w:p>
        </w:tc>
        <w:tc>
          <w:p w14:paraId="61134B97">
            <w:pPr>
              <w:pStyle w:val="26"/>
              <w:spacing w:before="20" w:after="20" w:line="276" w:lineRule="auto"/>
            </w:pPr>
            <w:r>
              <w:rPr>
                <w:rFonts w:ascii="Times New Roman" w:hAnsi="Times New Roman" w:eastAsia="宋体"/>
                <w:sz w:val="20"/>
              </w:rPr>
              <w:t>2.10</w:t>
            </w:r>
          </w:p>
        </w:tc>
        <w:tc>
          <w:p w14:paraId="23956FB1">
            <w:pPr>
              <w:pStyle w:val="26"/>
              <w:spacing w:before="20" w:after="20" w:line="276" w:lineRule="auto"/>
            </w:pPr>
            <w:r>
              <w:rPr>
                <w:rFonts w:hint="eastAsia" w:ascii="Times New Roman" w:hAnsi="Times New Roman" w:eastAsia="宋体"/>
                <w:sz w:val="20"/>
              </w:rPr>
              <w:t>低风险</w:t>
            </w:r>
          </w:p>
        </w:tc>
      </w:tr>
    </w:tbl>
    <w:p w14:paraId="15E2AEDB">
      <w:pPr>
        <w:pStyle w:val="3"/>
        <w:spacing w:before="40" w:after="40" w:line="360" w:lineRule="auto"/>
        <w:ind w:firstLine="480"/>
      </w:pPr>
      <w:r>
        <w:rPr>
          <w:rFonts w:hint="eastAsia" w:ascii="Times New Roman" w:hAnsi="Times New Roman" w:eastAsia="宋体"/>
          <w:sz w:val="24"/>
        </w:rPr>
        <w:t>排序稳定性（FY2024 确认版）：海光信息（3.15）&gt; 浪潮信息（3.10）&gt; 中科曙光（2.95）&gt; 奥飞数据 = 光环新网 = 润泽科技 = 工业富联 = 数据港（2.90）&gt; 寒武纪（2.65）&gt; 科大讯飞（2.40）。与早期探索性单年度评分相比整体下移，反映逐字验真流程剔除了证据不足的信号；十家样本整体落于中风险区间，未出现美股“变更年均值 4.25”式的高分聚集——这一方向差异本身即为跨市场判别效度的证据：5D-DRS 不因国别预设风险方向。</w:t>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p>
    <w:p w14:paraId="0CBEAC48">
      <w:pPr>
        <w:pStyle w:val="3"/>
        <w:spacing w:before="80" w:after="120" w:line="312" w:lineRule="auto"/>
        <w:ind w:firstLine="0"/>
        <w:jc w:val="center"/>
      </w:pPr>
      <w:r>
        <w:rPr>
          <w:rFonts w:hint="eastAsia" w:ascii="Times New Roman" w:hAnsi="Times New Roman" w:eastAsia="宋体"/>
          <w:i w:val="0"/>
          <w:sz w:val="21"/>
        </w:rPr>
        <w:t>表 6-1 中国验证集 10 家 A 股企业 5D-DRS 评分汇总（FY2024 确认版，样本已扩至 10 家 × 3 年面板）</w:t>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r>
        <w:rPr>
          <w:rFonts w:hint="eastAsia" w:ascii="Times New Roman" w:hAnsi="Times New Roman" w:eastAsia="宋体"/>
          <w:i w:val="0"/>
          <w:sz w:val="21"/>
        </w:rPr>
      </w:r>
    </w:p>
    <w:tbl>
      <w:tblPr>
        <w:tblStyle w:val="43"/>
        <w:tblW w:w="5000" w:type="pct"/>
        <w:tblInd w:w="0" w:type="dxa"/>
        <w:tblLayout w:type="fixed"/>
        <w:tblCellMar>
          <w:top w:w="0" w:type="dxa"/>
          <w:left w:w="108" w:type="dxa"/>
          <w:bottom w:w="0" w:type="dxa"/>
          <w:right w:w="108" w:type="dxa"/>
        </w:tblCellMar>
      </w:tblPr>
      <w:tblGrid>
        <w:gridCol w:w="1327"/>
        <w:gridCol w:w="1327"/>
        <w:gridCol w:w="1327"/>
        <w:gridCol w:w="1327"/>
        <w:gridCol w:w="1327"/>
        <w:gridCol w:w="1327"/>
        <w:gridCol w:w="1327"/>
      </w:tblGrid>
      <w:tr w14:paraId="4ADE63F9">
        <w:tblPrEx>
          <w:tblCellMar>
            <w:top w:w="0" w:type="dxa"/>
            <w:left w:w="108" w:type="dxa"/>
            <w:bottom w:w="0" w:type="dxa"/>
            <w:right w:w="108" w:type="dxa"/>
          </w:tblCellMar>
        </w:tblPrEx>
        <w:trPr>
          <w:cantSplit/>
          <w:tblHeader/>
        </w:trPr>
        <w:tc>
          <w:p w14:paraId="4856BB25">
            <w:pPr>
              <w:pStyle w:val="26"/>
              <w:spacing w:before="20" w:after="20" w:line="276" w:lineRule="auto"/>
            </w:pPr>
            <w:r>
              <w:rPr>
                <w:rFonts w:hint="eastAsia" w:ascii="Times New Roman" w:hAnsi="Times New Roman" w:eastAsia="宋体"/>
                <w:b/>
                <w:bCs/>
                <w:sz w:val="19"/>
              </w:rPr>
              <w:t>公司</w:t>
            </w:r>
          </w:p>
        </w:tc>
        <w:tc>
          <w:p w14:paraId="6C4AD924">
            <w:pPr>
              <w:pStyle w:val="26"/>
              <w:spacing w:before="20" w:after="20" w:line="276" w:lineRule="auto"/>
            </w:pPr>
            <w:r>
              <w:rPr>
                <w:rFonts w:hint="eastAsia" w:ascii="Times New Roman" w:hAnsi="Times New Roman" w:eastAsia="宋体"/>
                <w:b/>
                <w:bCs/>
                <w:sz w:val="19"/>
              </w:rPr>
              <w:t>代码</w:t>
            </w:r>
          </w:p>
        </w:tc>
        <w:tc>
          <w:p w14:paraId="050AEFDA">
            <w:pPr>
              <w:pStyle w:val="26"/>
              <w:spacing w:before="20" w:after="20" w:line="276" w:lineRule="auto"/>
            </w:pPr>
            <w:r>
              <w:rPr>
                <w:rFonts w:hint="eastAsia" w:ascii="Times New Roman" w:hAnsi="Times New Roman" w:eastAsia="宋体"/>
                <w:b/>
                <w:bCs/>
                <w:sz w:val="19"/>
              </w:rPr>
              <w:t>资产结构</w:t>
            </w:r>
          </w:p>
        </w:tc>
        <w:tc>
          <w:p w14:paraId="006A0FAB">
            <w:pPr>
              <w:pStyle w:val="26"/>
              <w:spacing w:before="20" w:after="20" w:line="276" w:lineRule="auto"/>
            </w:pPr>
            <w:r>
              <w:rPr>
                <w:rFonts w:hint="eastAsia" w:ascii="Times New Roman" w:hAnsi="Times New Roman" w:eastAsia="宋体"/>
                <w:b/>
                <w:bCs/>
                <w:sz w:val="19"/>
              </w:rPr>
              <w:t>对标美样类型</w:t>
            </w:r>
          </w:p>
        </w:tc>
        <w:tc>
          <w:p w14:paraId="76226F70">
            <w:pPr>
              <w:pStyle w:val="26"/>
              <w:spacing w:before="20" w:after="20" w:line="276" w:lineRule="auto"/>
            </w:pPr>
            <w:r>
              <w:rPr>
                <w:rFonts w:ascii="Times New Roman" w:hAnsi="Times New Roman" w:eastAsia="宋体"/>
                <w:b/>
                <w:bCs/>
                <w:sz w:val="19"/>
              </w:rPr>
              <w:t>D1/D2/D3/D4/D5</w:t>
            </w:r>
          </w:p>
        </w:tc>
        <w:tc>
          <w:p w14:paraId="76C5B8DB">
            <w:pPr>
              <w:pStyle w:val="26"/>
              <w:spacing w:before="20" w:after="20" w:line="276" w:lineRule="auto"/>
            </w:pPr>
            <w:r>
              <w:rPr>
                <w:rFonts w:hint="eastAsia" w:ascii="Times New Roman" w:hAnsi="Times New Roman" w:eastAsia="宋体"/>
                <w:b/>
                <w:bCs/>
                <w:sz w:val="19"/>
              </w:rPr>
              <w:t>综合分</w:t>
            </w:r>
          </w:p>
        </w:tc>
        <w:tc>
          <w:p w14:paraId="65F84B56">
            <w:pPr>
              <w:pStyle w:val="26"/>
              <w:spacing w:before="20" w:after="20" w:line="276" w:lineRule="auto"/>
            </w:pPr>
            <w:r>
              <w:rPr>
                <w:rFonts w:hint="eastAsia" w:ascii="Times New Roman" w:hAnsi="Times New Roman" w:eastAsia="宋体"/>
                <w:b/>
                <w:bCs/>
                <w:sz w:val="19"/>
              </w:rPr>
              <w:t>风险等级</w:t>
            </w:r>
          </w:p>
        </w:tc>
      </w:tr>
      <w:tr w14:paraId="3317DEE7">
        <w:tblPrEx>
          <w:tblCellMar>
            <w:top w:w="0" w:type="dxa"/>
            <w:left w:w="108" w:type="dxa"/>
            <w:bottom w:w="0" w:type="dxa"/>
            <w:right w:w="108" w:type="dxa"/>
          </w:tblCellMar>
        </w:tblPrEx>
        <w:trPr>
          <w:cantSplit/>
        </w:trPr>
        <w:tc>
          <w:p w14:paraId="39E52E8C">
            <w:pPr>
              <w:pStyle w:val="26"/>
              <w:spacing w:before="20" w:after="20" w:line="276" w:lineRule="auto"/>
            </w:pPr>
            <w:r>
              <w:rPr>
                <w:rFonts w:hint="eastAsia" w:ascii="Times New Roman" w:hAnsi="Times New Roman" w:eastAsia="宋体"/>
                <w:sz w:val="19"/>
              </w:rPr>
              <w:t>海光信息</w:t>
            </w:r>
          </w:p>
        </w:tc>
        <w:tc>
          <w:p w14:paraId="6938B833">
            <w:pPr>
              <w:pStyle w:val="26"/>
              <w:spacing w:before="20" w:after="20" w:line="276" w:lineRule="auto"/>
            </w:pPr>
            <w:r>
              <w:rPr>
                <w:rFonts w:ascii="Times New Roman" w:hAnsi="Times New Roman" w:eastAsia="宋体"/>
                <w:sz w:val="19"/>
              </w:rPr>
              <w:t>688041.SH</w:t>
            </w:r>
          </w:p>
        </w:tc>
        <w:tc>
          <w:p w14:paraId="279FBB5E">
            <w:pPr>
              <w:pStyle w:val="26"/>
              <w:spacing w:before="20" w:after="20" w:line="276" w:lineRule="auto"/>
            </w:pPr>
            <w:r>
              <w:rPr>
                <w:rFonts w:hint="eastAsia" w:ascii="Times New Roman" w:hAnsi="Times New Roman" w:eastAsia="宋体"/>
                <w:sz w:val="19"/>
              </w:rPr>
              <w:t>高无形/芯片设计</w:t>
            </w:r>
          </w:p>
        </w:tc>
        <w:tc>
          <w:p w14:paraId="6BA72329">
            <w:pPr>
              <w:pStyle w:val="26"/>
              <w:spacing w:before="20" w:after="20" w:line="276" w:lineRule="auto"/>
            </w:pPr>
            <w:r>
              <w:rPr>
                <w:rFonts w:hint="eastAsia" w:ascii="Times New Roman" w:hAnsi="Times New Roman" w:eastAsia="宋体"/>
                <w:sz w:val="19"/>
              </w:rPr>
              <w:t>设计型(NVDA/AMD)</w:t>
            </w:r>
          </w:p>
        </w:tc>
        <w:tc>
          <w:p w14:paraId="1A0286C6">
            <w:pPr>
              <w:pStyle w:val="26"/>
              <w:spacing w:before="20" w:after="20" w:line="276" w:lineRule="auto"/>
            </w:pPr>
            <w:r>
              <w:rPr>
                <w:rFonts w:ascii="Times New Roman" w:hAnsi="Times New Roman" w:eastAsia="宋体"/>
                <w:sz w:val="19"/>
              </w:rPr>
              <w:t>2/3/3/5/3</w:t>
            </w:r>
          </w:p>
        </w:tc>
        <w:tc>
          <w:p w14:paraId="15197B92">
            <w:pPr>
              <w:pStyle w:val="26"/>
              <w:spacing w:before="20" w:after="20" w:line="276" w:lineRule="auto"/>
            </w:pPr>
            <w:r>
              <w:rPr>
                <w:rFonts w:ascii="Times New Roman" w:hAnsi="Times New Roman" w:eastAsia="宋体"/>
                <w:sz w:val="19"/>
              </w:rPr>
              <w:t>3.15</w:t>
            </w:r>
          </w:p>
        </w:tc>
        <w:tc>
          <w:p w14:paraId="24D968C2">
            <w:pPr>
              <w:pStyle w:val="26"/>
              <w:spacing w:before="20" w:after="20" w:line="276" w:lineRule="auto"/>
            </w:pPr>
            <w:r>
              <w:rPr>
                <w:rFonts w:hint="eastAsia" w:ascii="Times New Roman" w:hAnsi="Times New Roman" w:eastAsia="宋体"/>
                <w:sz w:val="19"/>
              </w:rPr>
              <w:t>中高风险</w:t>
            </w:r>
          </w:p>
        </w:tc>
      </w:tr>
      <w:tr w14:paraId="77712719">
        <w:tblPrEx>
          <w:tblCellMar>
            <w:top w:w="0" w:type="dxa"/>
            <w:left w:w="108" w:type="dxa"/>
            <w:bottom w:w="0" w:type="dxa"/>
            <w:right w:w="108" w:type="dxa"/>
          </w:tblCellMar>
        </w:tblPrEx>
        <w:trPr>
          <w:cantSplit/>
        </w:trPr>
        <w:tc>
          <w:p w14:paraId="735A9276">
            <w:pPr>
              <w:pStyle w:val="26"/>
              <w:spacing w:before="20" w:after="20" w:line="276" w:lineRule="auto"/>
            </w:pPr>
            <w:r>
              <w:rPr>
                <w:rFonts w:hint="eastAsia" w:ascii="Times New Roman" w:hAnsi="Times New Roman" w:eastAsia="宋体"/>
                <w:sz w:val="19"/>
              </w:rPr>
              <w:t>浪潮信息</w:t>
            </w:r>
          </w:p>
        </w:tc>
        <w:tc>
          <w:p w14:paraId="52600CD9">
            <w:pPr>
              <w:pStyle w:val="26"/>
              <w:spacing w:before="20" w:after="20" w:line="276" w:lineRule="auto"/>
            </w:pPr>
            <w:r>
              <w:rPr>
                <w:rFonts w:ascii="Times New Roman" w:hAnsi="Times New Roman" w:eastAsia="宋体"/>
                <w:sz w:val="19"/>
              </w:rPr>
              <w:t>000977.SZ</w:t>
            </w:r>
          </w:p>
        </w:tc>
        <w:tc>
          <w:p w14:paraId="389F7935">
            <w:pPr>
              <w:pStyle w:val="26"/>
              <w:spacing w:before="20" w:after="20" w:line="276" w:lineRule="auto"/>
            </w:pPr>
            <w:r>
              <w:rPr>
                <w:rFonts w:hint="eastAsia" w:ascii="Times New Roman" w:hAnsi="Times New Roman" w:eastAsia="宋体"/>
                <w:sz w:val="19"/>
              </w:rPr>
              <w:t>制造型(服务器)</w:t>
            </w:r>
          </w:p>
        </w:tc>
        <w:tc>
          <w:p w14:paraId="00576ABB">
            <w:pPr>
              <w:pStyle w:val="26"/>
              <w:spacing w:before="20" w:after="20" w:line="276" w:lineRule="auto"/>
            </w:pPr>
            <w:r>
              <w:rPr>
                <w:rFonts w:hint="eastAsia" w:ascii="Times New Roman" w:hAnsi="Times New Roman" w:eastAsia="宋体"/>
                <w:sz w:val="19"/>
              </w:rPr>
              <w:t>制造型(INTC)</w:t>
            </w:r>
          </w:p>
        </w:tc>
        <w:tc>
          <w:p w14:paraId="294FA7AC">
            <w:pPr>
              <w:pStyle w:val="26"/>
              <w:spacing w:before="20" w:after="20" w:line="276" w:lineRule="auto"/>
            </w:pPr>
            <w:r>
              <w:rPr>
                <w:rFonts w:ascii="Times New Roman" w:hAnsi="Times New Roman" w:eastAsia="宋体"/>
                <w:sz w:val="19"/>
              </w:rPr>
              <w:t>4/4/3/2/2</w:t>
            </w:r>
          </w:p>
        </w:tc>
        <w:tc>
          <w:p w14:paraId="4B3FBDD8">
            <w:pPr>
              <w:pStyle w:val="26"/>
              <w:spacing w:before="20" w:after="20" w:line="276" w:lineRule="auto"/>
            </w:pPr>
            <w:r>
              <w:rPr>
                <w:rFonts w:ascii="Times New Roman" w:hAnsi="Times New Roman" w:eastAsia="宋体"/>
                <w:sz w:val="19"/>
              </w:rPr>
              <w:t>3.10</w:t>
            </w:r>
          </w:p>
        </w:tc>
        <w:tc>
          <w:p w14:paraId="002075BF">
            <w:pPr>
              <w:pStyle w:val="26"/>
              <w:spacing w:before="20" w:after="20" w:line="276" w:lineRule="auto"/>
            </w:pPr>
            <w:r>
              <w:rPr>
                <w:rFonts w:hint="eastAsia" w:ascii="Times New Roman" w:hAnsi="Times New Roman" w:eastAsia="宋体"/>
                <w:sz w:val="19"/>
              </w:rPr>
              <w:t>中高风险</w:t>
            </w:r>
          </w:p>
        </w:tc>
      </w:tr>
      <w:tr w14:paraId="6B97B547">
        <w:tblPrEx>
          <w:tblCellMar>
            <w:top w:w="0" w:type="dxa"/>
            <w:left w:w="108" w:type="dxa"/>
            <w:bottom w:w="0" w:type="dxa"/>
            <w:right w:w="108" w:type="dxa"/>
          </w:tblCellMar>
        </w:tblPrEx>
        <w:trPr>
          <w:cantSplit/>
        </w:trPr>
        <w:tc>
          <w:p w14:paraId="0587656E">
            <w:pPr>
              <w:pStyle w:val="26"/>
              <w:spacing w:before="20" w:after="20" w:line="276" w:lineRule="auto"/>
            </w:pPr>
            <w:r>
              <w:rPr>
                <w:rFonts w:hint="eastAsia" w:ascii="Times New Roman" w:hAnsi="Times New Roman" w:eastAsia="宋体"/>
                <w:sz w:val="19"/>
              </w:rPr>
              <w:t>中科曙光</w:t>
            </w:r>
          </w:p>
        </w:tc>
        <w:tc>
          <w:p w14:paraId="05032E90">
            <w:pPr>
              <w:pStyle w:val="26"/>
              <w:spacing w:before="20" w:after="20" w:line="276" w:lineRule="auto"/>
            </w:pPr>
            <w:r>
              <w:rPr>
                <w:rFonts w:ascii="Times New Roman" w:hAnsi="Times New Roman" w:eastAsia="宋体"/>
                <w:sz w:val="19"/>
              </w:rPr>
              <w:t>603019.SH</w:t>
            </w:r>
          </w:p>
        </w:tc>
        <w:tc>
          <w:p w14:paraId="006D55C0">
            <w:pPr>
              <w:pStyle w:val="26"/>
              <w:spacing w:before="20" w:after="20" w:line="276" w:lineRule="auto"/>
            </w:pPr>
            <w:r>
              <w:rPr>
                <w:rFonts w:hint="eastAsia" w:ascii="Times New Roman" w:hAnsi="Times New Roman" w:eastAsia="宋体"/>
                <w:sz w:val="19"/>
              </w:rPr>
              <w:t>混合型(计算+芯片投资)</w:t>
            </w:r>
          </w:p>
        </w:tc>
        <w:tc>
          <w:p w14:paraId="6CA5757C">
            <w:pPr>
              <w:pStyle w:val="26"/>
              <w:spacing w:before="20" w:after="20" w:line="276" w:lineRule="auto"/>
            </w:pPr>
            <w:r>
              <w:rPr>
                <w:rFonts w:hint="eastAsia" w:ascii="Times New Roman" w:hAnsi="Times New Roman" w:eastAsia="宋体"/>
                <w:sz w:val="19"/>
              </w:rPr>
              <w:t>混合型(NVDA)</w:t>
            </w:r>
          </w:p>
        </w:tc>
        <w:tc>
          <w:p w14:paraId="4C216F0C">
            <w:pPr>
              <w:pStyle w:val="26"/>
              <w:spacing w:before="20" w:after="20" w:line="276" w:lineRule="auto"/>
            </w:pPr>
            <w:r>
              <w:rPr>
                <w:rFonts w:ascii="Times New Roman" w:hAnsi="Times New Roman" w:eastAsia="宋体"/>
                <w:sz w:val="19"/>
              </w:rPr>
              <w:t>2/4/4/2/3</w:t>
            </w:r>
          </w:p>
        </w:tc>
        <w:tc>
          <w:p w14:paraId="616E9233">
            <w:pPr>
              <w:pStyle w:val="26"/>
              <w:spacing w:before="20" w:after="20" w:line="276" w:lineRule="auto"/>
            </w:pPr>
            <w:r>
              <w:rPr>
                <w:rFonts w:ascii="Times New Roman" w:hAnsi="Times New Roman" w:eastAsia="宋体"/>
                <w:sz w:val="19"/>
              </w:rPr>
              <w:t>2.95</w:t>
            </w:r>
          </w:p>
        </w:tc>
        <w:tc>
          <w:p w14:paraId="308B2806">
            <w:pPr>
              <w:pStyle w:val="26"/>
              <w:spacing w:before="20" w:after="20" w:line="276" w:lineRule="auto"/>
            </w:pPr>
            <w:r>
              <w:rPr>
                <w:rFonts w:hint="eastAsia" w:ascii="Times New Roman" w:hAnsi="Times New Roman" w:eastAsia="宋体"/>
                <w:sz w:val="19"/>
              </w:rPr>
              <w:t>中风险</w:t>
            </w:r>
          </w:p>
        </w:tc>
      </w:tr>
      <w:tr w14:paraId="3AF69918">
        <w:tblPrEx>
          <w:tblCellMar>
            <w:top w:w="0" w:type="dxa"/>
            <w:left w:w="108" w:type="dxa"/>
            <w:bottom w:w="0" w:type="dxa"/>
            <w:right w:w="108" w:type="dxa"/>
          </w:tblCellMar>
        </w:tblPrEx>
        <w:trPr>
          <w:cantSplit/>
        </w:trPr>
        <w:tc>
          <w:p w14:paraId="3E587468">
            <w:pPr>
              <w:pStyle w:val="26"/>
              <w:spacing w:before="20" w:after="20" w:line="276" w:lineRule="auto"/>
            </w:pPr>
            <w:r>
              <w:rPr>
                <w:rFonts w:hint="eastAsia" w:ascii="Times New Roman" w:hAnsi="Times New Roman" w:eastAsia="宋体"/>
                <w:sz w:val="19"/>
              </w:rPr>
              <w:t>奥飞数据</w:t>
            </w:r>
          </w:p>
        </w:tc>
        <w:tc>
          <w:p w14:paraId="189A5D3D">
            <w:pPr>
              <w:pStyle w:val="26"/>
              <w:spacing w:before="20" w:after="20" w:line="276" w:lineRule="auto"/>
            </w:pPr>
            <w:r>
              <w:rPr>
                <w:rFonts w:ascii="Times New Roman" w:hAnsi="Times New Roman" w:eastAsia="宋体"/>
                <w:sz w:val="19"/>
              </w:rPr>
              <w:t>300738.SZ</w:t>
            </w:r>
          </w:p>
        </w:tc>
        <w:tc>
          <w:p w14:paraId="5BFBDFFC">
            <w:pPr>
              <w:pStyle w:val="26"/>
              <w:spacing w:before="20" w:after="20" w:line="276" w:lineRule="auto"/>
            </w:pPr>
            <w:r>
              <w:rPr>
                <w:rFonts w:hint="eastAsia" w:ascii="Times New Roman" w:hAnsi="Times New Roman" w:eastAsia="宋体"/>
                <w:sz w:val="19"/>
              </w:rPr>
              <w:t>高有形/IDC运营型</w:t>
            </w:r>
          </w:p>
        </w:tc>
        <w:tc>
          <w:p w14:paraId="32F4817A">
            <w:pPr>
              <w:pStyle w:val="26"/>
              <w:spacing w:before="20" w:after="20" w:line="276" w:lineRule="auto"/>
            </w:pPr>
            <w:r>
              <w:rPr>
                <w:rFonts w:hint="eastAsia" w:ascii="Times New Roman" w:hAnsi="Times New Roman" w:eastAsia="宋体"/>
                <w:sz w:val="19"/>
              </w:rPr>
              <w:t>运营型(ORCL/META)</w:t>
            </w:r>
          </w:p>
        </w:tc>
        <w:tc>
          <w:p w14:paraId="17435554">
            <w:pPr>
              <w:pStyle w:val="26"/>
              <w:spacing w:before="20" w:after="20" w:line="276" w:lineRule="auto"/>
            </w:pPr>
            <w:r>
              <w:rPr>
                <w:rFonts w:ascii="Times New Roman" w:hAnsi="Times New Roman" w:eastAsia="宋体"/>
                <w:sz w:val="19"/>
              </w:rPr>
              <w:t>4/4/2/2/2</w:t>
            </w:r>
          </w:p>
        </w:tc>
        <w:tc>
          <w:p w14:paraId="270FE1DE">
            <w:pPr>
              <w:pStyle w:val="26"/>
              <w:spacing w:before="20" w:after="20" w:line="276" w:lineRule="auto"/>
            </w:pPr>
            <w:r>
              <w:rPr>
                <w:rFonts w:ascii="Times New Roman" w:hAnsi="Times New Roman" w:eastAsia="宋体"/>
                <w:sz w:val="19"/>
              </w:rPr>
              <w:t>2.90</w:t>
            </w:r>
          </w:p>
        </w:tc>
        <w:tc>
          <w:p w14:paraId="625C5B34">
            <w:pPr>
              <w:pStyle w:val="26"/>
              <w:spacing w:before="20" w:after="20" w:line="276" w:lineRule="auto"/>
            </w:pPr>
            <w:r>
              <w:rPr>
                <w:rFonts w:hint="eastAsia" w:ascii="Times New Roman" w:hAnsi="Times New Roman" w:eastAsia="宋体"/>
                <w:sz w:val="19"/>
              </w:rPr>
              <w:t>中风险</w:t>
            </w:r>
          </w:p>
        </w:tc>
      </w:tr>
      <w:tr w14:paraId="79DACA5A">
        <w:tblPrEx>
          <w:tblCellMar>
            <w:top w:w="0" w:type="dxa"/>
            <w:left w:w="108" w:type="dxa"/>
            <w:bottom w:w="0" w:type="dxa"/>
            <w:right w:w="108" w:type="dxa"/>
          </w:tblCellMar>
        </w:tblPrEx>
        <w:trPr>
          <w:cantSplit/>
        </w:trPr>
        <w:tc>
          <w:p w14:paraId="77A480A8">
            <w:pPr>
              <w:pStyle w:val="26"/>
              <w:spacing w:before="20" w:after="20" w:line="276" w:lineRule="auto"/>
            </w:pPr>
            <w:r>
              <w:rPr>
                <w:rFonts w:hint="eastAsia" w:ascii="Times New Roman" w:hAnsi="Times New Roman" w:eastAsia="宋体"/>
                <w:sz w:val="19"/>
              </w:rPr>
              <w:t>光环新网</w:t>
            </w:r>
          </w:p>
        </w:tc>
        <w:tc>
          <w:p w14:paraId="1A7737AA">
            <w:pPr>
              <w:pStyle w:val="26"/>
              <w:spacing w:before="20" w:after="20" w:line="276" w:lineRule="auto"/>
            </w:pPr>
            <w:r>
              <w:rPr>
                <w:rFonts w:ascii="Times New Roman" w:hAnsi="Times New Roman" w:eastAsia="宋体"/>
                <w:sz w:val="19"/>
              </w:rPr>
              <w:t>300383.SZ</w:t>
            </w:r>
          </w:p>
        </w:tc>
        <w:tc>
          <w:p w14:paraId="22410C38">
            <w:pPr>
              <w:pStyle w:val="26"/>
              <w:spacing w:before="20" w:after="20" w:line="276" w:lineRule="auto"/>
            </w:pPr>
            <w:r>
              <w:rPr>
                <w:rFonts w:hint="eastAsia" w:ascii="Times New Roman" w:hAnsi="Times New Roman" w:eastAsia="宋体"/>
                <w:sz w:val="19"/>
              </w:rPr>
              <w:t>高有形/IDC运营型</w:t>
            </w:r>
          </w:p>
        </w:tc>
        <w:tc>
          <w:p w14:paraId="50D0C301">
            <w:pPr>
              <w:pStyle w:val="26"/>
              <w:spacing w:before="20" w:after="20" w:line="276" w:lineRule="auto"/>
            </w:pPr>
            <w:r>
              <w:rPr>
                <w:rFonts w:hint="eastAsia" w:ascii="Times New Roman" w:hAnsi="Times New Roman" w:eastAsia="宋体"/>
                <w:sz w:val="19"/>
              </w:rPr>
              <w:t>运营型(ORCL/META)</w:t>
            </w:r>
          </w:p>
        </w:tc>
        <w:tc>
          <w:p w14:paraId="10B66493">
            <w:pPr>
              <w:pStyle w:val="26"/>
              <w:spacing w:before="20" w:after="20" w:line="276" w:lineRule="auto"/>
            </w:pPr>
            <w:r>
              <w:rPr>
                <w:rFonts w:ascii="Times New Roman" w:hAnsi="Times New Roman" w:eastAsia="宋体"/>
                <w:sz w:val="19"/>
              </w:rPr>
              <w:t>4/3/3/2/2</w:t>
            </w:r>
          </w:p>
        </w:tc>
        <w:tc>
          <w:p w14:paraId="38BC9D2F">
            <w:pPr>
              <w:pStyle w:val="26"/>
              <w:spacing w:before="20" w:after="20" w:line="276" w:lineRule="auto"/>
            </w:pPr>
            <w:r>
              <w:rPr>
                <w:rFonts w:ascii="Times New Roman" w:hAnsi="Times New Roman" w:eastAsia="宋体"/>
                <w:sz w:val="19"/>
              </w:rPr>
              <w:t>2.90</w:t>
            </w:r>
          </w:p>
        </w:tc>
        <w:tc>
          <w:p w14:paraId="770FB517">
            <w:pPr>
              <w:pStyle w:val="26"/>
              <w:spacing w:before="20" w:after="20" w:line="276" w:lineRule="auto"/>
            </w:pPr>
            <w:r>
              <w:rPr>
                <w:rFonts w:hint="eastAsia" w:ascii="Times New Roman" w:hAnsi="Times New Roman" w:eastAsia="宋体"/>
                <w:sz w:val="19"/>
              </w:rPr>
              <w:t>中风险</w:t>
            </w:r>
          </w:p>
        </w:tc>
      </w:tr>
      <w:tr w14:paraId="2C988662">
        <w:tblPrEx>
          <w:tblCellMar>
            <w:top w:w="0" w:type="dxa"/>
            <w:left w:w="108" w:type="dxa"/>
            <w:bottom w:w="0" w:type="dxa"/>
            <w:right w:w="108" w:type="dxa"/>
          </w:tblCellMar>
        </w:tblPrEx>
        <w:trPr>
          <w:cantSplit/>
        </w:trPr>
        <w:tc>
          <w:p w14:paraId="71939A90">
            <w:pPr>
              <w:pStyle w:val="26"/>
              <w:spacing w:before="20" w:after="20" w:line="276" w:lineRule="auto"/>
            </w:pPr>
            <w:r>
              <w:rPr>
                <w:rFonts w:hint="eastAsia" w:ascii="Times New Roman" w:hAnsi="Times New Roman" w:eastAsia="宋体"/>
                <w:sz w:val="19"/>
              </w:rPr>
              <w:t>润泽科技</w:t>
            </w:r>
          </w:p>
        </w:tc>
        <w:tc>
          <w:p w14:paraId="5F912918">
            <w:pPr>
              <w:pStyle w:val="26"/>
              <w:spacing w:before="20" w:after="20" w:line="276" w:lineRule="auto"/>
            </w:pPr>
            <w:r>
              <w:rPr>
                <w:rFonts w:ascii="Times New Roman" w:hAnsi="Times New Roman" w:eastAsia="宋体"/>
                <w:sz w:val="19"/>
              </w:rPr>
              <w:t>300442.SZ</w:t>
            </w:r>
          </w:p>
        </w:tc>
        <w:tc>
          <w:p w14:paraId="2B7E17D1">
            <w:pPr>
              <w:pStyle w:val="26"/>
              <w:spacing w:before="20" w:after="20" w:line="276" w:lineRule="auto"/>
            </w:pPr>
            <w:r>
              <w:rPr>
                <w:rFonts w:hint="eastAsia" w:ascii="Times New Roman" w:hAnsi="Times New Roman" w:eastAsia="宋体"/>
                <w:sz w:val="19"/>
              </w:rPr>
              <w:t>高有形/IDC运营型</w:t>
            </w:r>
          </w:p>
        </w:tc>
        <w:tc>
          <w:p w14:paraId="13DB021A">
            <w:pPr>
              <w:pStyle w:val="26"/>
              <w:spacing w:before="20" w:after="20" w:line="276" w:lineRule="auto"/>
            </w:pPr>
            <w:r>
              <w:rPr>
                <w:rFonts w:hint="eastAsia" w:ascii="Times New Roman" w:hAnsi="Times New Roman" w:eastAsia="宋体"/>
                <w:sz w:val="19"/>
              </w:rPr>
              <w:t>运营型(ORCL/META)</w:t>
            </w:r>
          </w:p>
        </w:tc>
        <w:tc>
          <w:p w14:paraId="387AAC0E">
            <w:pPr>
              <w:pStyle w:val="26"/>
              <w:spacing w:before="20" w:after="20" w:line="276" w:lineRule="auto"/>
            </w:pPr>
            <w:r>
              <w:rPr>
                <w:rFonts w:ascii="Times New Roman" w:hAnsi="Times New Roman" w:eastAsia="宋体"/>
                <w:sz w:val="19"/>
              </w:rPr>
              <w:t>4/4/2/2/2</w:t>
            </w:r>
          </w:p>
        </w:tc>
        <w:tc>
          <w:p w14:paraId="2DC9BFF4">
            <w:pPr>
              <w:pStyle w:val="26"/>
              <w:spacing w:before="20" w:after="20" w:line="276" w:lineRule="auto"/>
            </w:pPr>
            <w:r>
              <w:rPr>
                <w:rFonts w:ascii="Times New Roman" w:hAnsi="Times New Roman" w:eastAsia="宋体"/>
                <w:sz w:val="19"/>
              </w:rPr>
              <w:t>2.90</w:t>
            </w:r>
          </w:p>
        </w:tc>
        <w:tc>
          <w:p w14:paraId="6A783728">
            <w:pPr>
              <w:pStyle w:val="26"/>
              <w:spacing w:before="20" w:after="20" w:line="276" w:lineRule="auto"/>
            </w:pPr>
            <w:r>
              <w:rPr>
                <w:rFonts w:hint="eastAsia" w:ascii="Times New Roman" w:hAnsi="Times New Roman" w:eastAsia="宋体"/>
                <w:sz w:val="19"/>
              </w:rPr>
              <w:t>中风险</w:t>
            </w:r>
          </w:p>
        </w:tc>
      </w:tr>
      <w:tr w14:paraId="3317DEE7">
        <w:tblPrEx>
          <w:tblCellMar>
            <w:top w:w="0" w:type="dxa"/>
            <w:left w:w="108" w:type="dxa"/>
            <w:bottom w:w="0" w:type="dxa"/>
            <w:right w:w="108" w:type="dxa"/>
          </w:tblCellMar>
        </w:tblPrEx>
        <w:trPr>
          <w:cantSplit/>
        </w:trPr>
        <w:tc>
          <w:p w14:paraId="39E52E8C">
            <w:pPr>
              <w:pStyle w:val="26"/>
              <w:spacing w:before="20" w:after="20" w:line="276" w:lineRule="auto"/>
            </w:pPr>
            <w:r>
              <w:rPr>
                <w:rFonts w:hint="eastAsia" w:ascii="Times New Roman" w:hAnsi="Times New Roman" w:eastAsia="宋体"/>
                <w:sz w:val="19"/>
              </w:rPr>
              <w:t>工业富联</w:t>
            </w:r>
          </w:p>
        </w:tc>
        <w:tc>
          <w:p w14:paraId="6938B833">
            <w:pPr>
              <w:pStyle w:val="26"/>
              <w:spacing w:before="20" w:after="20" w:line="276" w:lineRule="auto"/>
            </w:pPr>
            <w:r>
              <w:rPr>
                <w:rFonts w:ascii="Times New Roman" w:hAnsi="Times New Roman" w:eastAsia="宋体"/>
                <w:sz w:val="19"/>
              </w:rPr>
              <w:t>601138.SH</w:t>
            </w:r>
          </w:p>
        </w:tc>
        <w:tc>
          <w:p w14:paraId="279FBB5E">
            <w:pPr>
              <w:pStyle w:val="26"/>
              <w:spacing w:before="20" w:after="20" w:line="276" w:lineRule="auto"/>
            </w:pPr>
            <w:r>
              <w:rPr>
                <w:rFonts w:hint="eastAsia" w:ascii="Times New Roman" w:hAnsi="Times New Roman" w:eastAsia="宋体"/>
                <w:sz w:val="19"/>
              </w:rPr>
              <w:t>制造型(服务器代工)</w:t>
            </w:r>
          </w:p>
        </w:tc>
        <w:tc>
          <w:p w14:paraId="6BA72329">
            <w:pPr>
              <w:pStyle w:val="26"/>
              <w:spacing w:before="20" w:after="20" w:line="276" w:lineRule="auto"/>
            </w:pPr>
            <w:r>
              <w:rPr>
                <w:rFonts w:hint="eastAsia" w:ascii="Times New Roman" w:hAnsi="Times New Roman" w:eastAsia="宋体"/>
                <w:sz w:val="19"/>
              </w:rPr>
              <w:t>制造型(INTC)</w:t>
            </w:r>
          </w:p>
        </w:tc>
        <w:tc>
          <w:p w14:paraId="1A0286C6">
            <w:pPr>
              <w:pStyle w:val="26"/>
              <w:spacing w:before="20" w:after="20" w:line="276" w:lineRule="auto"/>
            </w:pPr>
            <w:r>
              <w:rPr>
                <w:rFonts w:ascii="Times New Roman" w:hAnsi="Times New Roman" w:eastAsia="宋体"/>
                <w:sz w:val="19"/>
              </w:rPr>
              <w:t>4/3/3/2/2</w:t>
            </w:r>
          </w:p>
        </w:tc>
        <w:tc>
          <w:p w14:paraId="15197B92">
            <w:pPr>
              <w:pStyle w:val="26"/>
              <w:spacing w:before="20" w:after="20" w:line="276" w:lineRule="auto"/>
            </w:pPr>
            <w:r>
              <w:rPr>
                <w:rFonts w:ascii="Times New Roman" w:hAnsi="Times New Roman" w:eastAsia="宋体"/>
                <w:sz w:val="19"/>
              </w:rPr>
              <w:t>2.90</w:t>
            </w:r>
          </w:p>
        </w:tc>
        <w:tc>
          <w:p w14:paraId="24D968C2">
            <w:pPr>
              <w:pStyle w:val="26"/>
              <w:spacing w:before="20" w:after="20" w:line="276" w:lineRule="auto"/>
            </w:pPr>
            <w:r>
              <w:rPr>
                <w:rFonts w:hint="eastAsia" w:ascii="Times New Roman" w:hAnsi="Times New Roman" w:eastAsia="宋体"/>
                <w:sz w:val="19"/>
              </w:rPr>
              <w:t>中风险</w:t>
            </w:r>
          </w:p>
        </w:tc>
      </w:tr>
      <w:tr w14:paraId="3317DEE7">
        <w:tblPrEx>
          <w:tblCellMar>
            <w:top w:w="0" w:type="dxa"/>
            <w:left w:w="108" w:type="dxa"/>
            <w:bottom w:w="0" w:type="dxa"/>
            <w:right w:w="108" w:type="dxa"/>
          </w:tblCellMar>
        </w:tblPrEx>
        <w:trPr>
          <w:cantSplit/>
        </w:trPr>
        <w:tc>
          <w:p w14:paraId="39E52E8C">
            <w:pPr>
              <w:pStyle w:val="26"/>
              <w:spacing w:before="20" w:after="20" w:line="276" w:lineRule="auto"/>
            </w:pPr>
            <w:r>
              <w:rPr>
                <w:rFonts w:hint="eastAsia" w:ascii="Times New Roman" w:hAnsi="Times New Roman" w:eastAsia="宋体"/>
                <w:sz w:val="19"/>
              </w:rPr>
              <w:t>数据港</w:t>
            </w:r>
          </w:p>
        </w:tc>
        <w:tc>
          <w:p w14:paraId="6938B833">
            <w:pPr>
              <w:pStyle w:val="26"/>
              <w:spacing w:before="20" w:after="20" w:line="276" w:lineRule="auto"/>
            </w:pPr>
            <w:r>
              <w:rPr>
                <w:rFonts w:ascii="Times New Roman" w:hAnsi="Times New Roman" w:eastAsia="宋体"/>
                <w:sz w:val="19"/>
              </w:rPr>
              <w:t>603881.SH</w:t>
            </w:r>
          </w:p>
        </w:tc>
        <w:tc>
          <w:p w14:paraId="279FBB5E">
            <w:pPr>
              <w:pStyle w:val="26"/>
              <w:spacing w:before="20" w:after="20" w:line="276" w:lineRule="auto"/>
            </w:pPr>
            <w:r>
              <w:rPr>
                <w:rFonts w:hint="eastAsia" w:ascii="Times New Roman" w:hAnsi="Times New Roman" w:eastAsia="宋体"/>
                <w:sz w:val="19"/>
              </w:rPr>
              <w:t>高有形/IDC基建</w:t>
            </w:r>
          </w:p>
        </w:tc>
        <w:tc>
          <w:p w14:paraId="6BA72329">
            <w:pPr>
              <w:pStyle w:val="26"/>
              <w:spacing w:before="20" w:after="20" w:line="276" w:lineRule="auto"/>
            </w:pPr>
            <w:r>
              <w:rPr>
                <w:rFonts w:hint="eastAsia" w:ascii="Times New Roman" w:hAnsi="Times New Roman" w:eastAsia="宋体"/>
                <w:sz w:val="19"/>
              </w:rPr>
              <w:t>运营型(META/GOOGL)</w:t>
            </w:r>
          </w:p>
        </w:tc>
        <w:tc>
          <w:p w14:paraId="1A0286C6">
            <w:pPr>
              <w:pStyle w:val="26"/>
              <w:spacing w:before="20" w:after="20" w:line="276" w:lineRule="auto"/>
            </w:pPr>
            <w:r>
              <w:rPr>
                <w:rFonts w:ascii="Times New Roman" w:hAnsi="Times New Roman" w:eastAsia="宋体"/>
                <w:sz w:val="19"/>
              </w:rPr>
              <w:t>4/4/2/2/2</w:t>
            </w:r>
          </w:p>
        </w:tc>
        <w:tc>
          <w:p w14:paraId="15197B92">
            <w:pPr>
              <w:pStyle w:val="26"/>
              <w:spacing w:before="20" w:after="20" w:line="276" w:lineRule="auto"/>
            </w:pPr>
            <w:r>
              <w:rPr>
                <w:rFonts w:ascii="Times New Roman" w:hAnsi="Times New Roman" w:eastAsia="宋体"/>
                <w:sz w:val="19"/>
              </w:rPr>
              <w:t>2.90</w:t>
            </w:r>
          </w:p>
        </w:tc>
        <w:tc>
          <w:p w14:paraId="24D968C2">
            <w:pPr>
              <w:pStyle w:val="26"/>
              <w:spacing w:before="20" w:after="20" w:line="276" w:lineRule="auto"/>
            </w:pPr>
            <w:r>
              <w:rPr>
                <w:rFonts w:hint="eastAsia" w:ascii="Times New Roman" w:hAnsi="Times New Roman" w:eastAsia="宋体"/>
                <w:sz w:val="19"/>
              </w:rPr>
              <w:t>中风险</w:t>
            </w:r>
          </w:p>
        </w:tc>
      </w:tr>
      <w:tr w14:paraId="3317DEE7">
        <w:tblPrEx>
          <w:tblCellMar>
            <w:top w:w="0" w:type="dxa"/>
            <w:left w:w="108" w:type="dxa"/>
            <w:bottom w:w="0" w:type="dxa"/>
            <w:right w:w="108" w:type="dxa"/>
          </w:tblCellMar>
        </w:tblPrEx>
        <w:trPr>
          <w:cantSplit/>
        </w:trPr>
        <w:tc>
          <w:p w14:paraId="39E52E8C">
            <w:pPr>
              <w:pStyle w:val="26"/>
              <w:spacing w:before="20" w:after="20" w:line="276" w:lineRule="auto"/>
            </w:pPr>
            <w:r>
              <w:rPr>
                <w:rFonts w:hint="eastAsia" w:ascii="Times New Roman" w:hAnsi="Times New Roman" w:eastAsia="宋体"/>
                <w:sz w:val="19"/>
              </w:rPr>
              <w:t>寒武纪</w:t>
            </w:r>
          </w:p>
        </w:tc>
        <w:tc>
          <w:p w14:paraId="6938B833">
            <w:pPr>
              <w:pStyle w:val="26"/>
              <w:spacing w:before="20" w:after="20" w:line="276" w:lineRule="auto"/>
            </w:pPr>
            <w:r>
              <w:rPr>
                <w:rFonts w:ascii="Times New Roman" w:hAnsi="Times New Roman" w:eastAsia="宋体"/>
                <w:sz w:val="19"/>
              </w:rPr>
              <w:t>688256.SH</w:t>
            </w:r>
          </w:p>
        </w:tc>
        <w:tc>
          <w:p w14:paraId="279FBB5E">
            <w:pPr>
              <w:pStyle w:val="26"/>
              <w:spacing w:before="20" w:after="20" w:line="276" w:lineRule="auto"/>
            </w:pPr>
            <w:r>
              <w:rPr>
                <w:rFonts w:hint="eastAsia" w:ascii="Times New Roman" w:hAnsi="Times New Roman" w:eastAsia="宋体"/>
                <w:sz w:val="19"/>
              </w:rPr>
              <w:t>高无形/芯片设计</w:t>
            </w:r>
          </w:p>
        </w:tc>
        <w:tc>
          <w:p w14:paraId="6BA72329">
            <w:pPr>
              <w:pStyle w:val="26"/>
              <w:spacing w:before="20" w:after="20" w:line="276" w:lineRule="auto"/>
            </w:pPr>
            <w:r>
              <w:rPr>
                <w:rFonts w:hint="eastAsia" w:ascii="Times New Roman" w:hAnsi="Times New Roman" w:eastAsia="宋体"/>
                <w:sz w:val="19"/>
              </w:rPr>
              <w:t>设计型(NVDA/AMD)</w:t>
            </w:r>
          </w:p>
        </w:tc>
        <w:tc>
          <w:p w14:paraId="1A0286C6">
            <w:pPr>
              <w:pStyle w:val="26"/>
              <w:spacing w:before="20" w:after="20" w:line="276" w:lineRule="auto"/>
            </w:pPr>
            <w:r>
              <w:rPr>
                <w:rFonts w:ascii="Times New Roman" w:hAnsi="Times New Roman" w:eastAsia="宋体"/>
                <w:sz w:val="19"/>
              </w:rPr>
              <w:t>3/4/2/2/2</w:t>
            </w:r>
          </w:p>
        </w:tc>
        <w:tc>
          <w:p w14:paraId="15197B92">
            <w:pPr>
              <w:pStyle w:val="26"/>
              <w:spacing w:before="20" w:after="20" w:line="276" w:lineRule="auto"/>
            </w:pPr>
            <w:r>
              <w:rPr>
                <w:rFonts w:ascii="Times New Roman" w:hAnsi="Times New Roman" w:eastAsia="宋体"/>
                <w:sz w:val="19"/>
              </w:rPr>
              <w:t>2.65</w:t>
            </w:r>
          </w:p>
        </w:tc>
        <w:tc>
          <w:p w14:paraId="24D968C2">
            <w:pPr>
              <w:pStyle w:val="26"/>
              <w:spacing w:before="20" w:after="20" w:line="276" w:lineRule="auto"/>
            </w:pPr>
            <w:r>
              <w:rPr>
                <w:rFonts w:hint="eastAsia" w:ascii="Times New Roman" w:hAnsi="Times New Roman" w:eastAsia="宋体"/>
                <w:sz w:val="19"/>
              </w:rPr>
              <w:t>中风险</w:t>
            </w:r>
          </w:p>
        </w:tc>
      </w:tr>
      <w:tr w14:paraId="3317DEE7">
        <w:tblPrEx>
          <w:tblCellMar>
            <w:top w:w="0" w:type="dxa"/>
            <w:left w:w="108" w:type="dxa"/>
            <w:bottom w:w="0" w:type="dxa"/>
            <w:right w:w="108" w:type="dxa"/>
          </w:tblCellMar>
        </w:tblPrEx>
        <w:trPr>
          <w:cantSplit/>
        </w:trPr>
        <w:tc>
          <w:p w14:paraId="39E52E8C">
            <w:pPr>
              <w:pStyle w:val="26"/>
              <w:spacing w:before="20" w:after="20" w:line="276" w:lineRule="auto"/>
            </w:pPr>
            <w:r>
              <w:rPr>
                <w:rFonts w:hint="eastAsia" w:ascii="Times New Roman" w:hAnsi="Times New Roman" w:eastAsia="宋体"/>
                <w:sz w:val="19"/>
              </w:rPr>
              <w:t>科大讯飞</w:t>
            </w:r>
          </w:p>
        </w:tc>
        <w:tc>
          <w:p w14:paraId="6938B833">
            <w:pPr>
              <w:pStyle w:val="26"/>
              <w:spacing w:before="20" w:after="20" w:line="276" w:lineRule="auto"/>
            </w:pPr>
            <w:r>
              <w:rPr>
                <w:rFonts w:ascii="Times New Roman" w:hAnsi="Times New Roman" w:eastAsia="宋体"/>
                <w:sz w:val="19"/>
              </w:rPr>
              <w:t>002230.SZ</w:t>
            </w:r>
          </w:p>
        </w:tc>
        <w:tc>
          <w:p w14:paraId="279FBB5E">
            <w:pPr>
              <w:pStyle w:val="26"/>
              <w:spacing w:before="20" w:after="20" w:line="276" w:lineRule="auto"/>
            </w:pPr>
            <w:r>
              <w:rPr>
                <w:rFonts w:hint="eastAsia" w:ascii="Times New Roman" w:hAnsi="Times New Roman" w:eastAsia="宋体"/>
                <w:sz w:val="19"/>
              </w:rPr>
              <w:t>混合型(软件+硬件)</w:t>
            </w:r>
          </w:p>
        </w:tc>
        <w:tc>
          <w:p w14:paraId="6BA72329">
            <w:pPr>
              <w:pStyle w:val="26"/>
              <w:spacing w:before="20" w:after="20" w:line="276" w:lineRule="auto"/>
            </w:pPr>
            <w:r>
              <w:rPr>
                <w:rFonts w:hint="eastAsia" w:ascii="Times New Roman" w:hAnsi="Times New Roman" w:eastAsia="宋体"/>
                <w:sz w:val="19"/>
              </w:rPr>
              <w:t>软件型(CRM)</w:t>
            </w:r>
          </w:p>
        </w:tc>
        <w:tc>
          <w:p w14:paraId="1A0286C6">
            <w:pPr>
              <w:pStyle w:val="26"/>
              <w:spacing w:before="20" w:after="20" w:line="276" w:lineRule="auto"/>
            </w:pPr>
            <w:r>
              <w:rPr>
                <w:rFonts w:ascii="Times New Roman" w:hAnsi="Times New Roman" w:eastAsia="宋体"/>
                <w:sz w:val="19"/>
              </w:rPr>
              <w:t>2/4/2/2/2</w:t>
            </w:r>
          </w:p>
        </w:tc>
        <w:tc>
          <w:p w14:paraId="15197B92">
            <w:pPr>
              <w:pStyle w:val="26"/>
              <w:spacing w:before="20" w:after="20" w:line="276" w:lineRule="auto"/>
            </w:pPr>
            <w:r>
              <w:rPr>
                <w:rFonts w:ascii="Times New Roman" w:hAnsi="Times New Roman" w:eastAsia="宋体"/>
                <w:sz w:val="19"/>
              </w:rPr>
              <w:t>2.40</w:t>
            </w:r>
          </w:p>
        </w:tc>
        <w:tc>
          <w:p w14:paraId="24D968C2">
            <w:pPr>
              <w:pStyle w:val="26"/>
              <w:spacing w:before="20" w:after="20" w:line="276" w:lineRule="auto"/>
            </w:pPr>
            <w:r>
              <w:rPr>
                <w:rFonts w:hint="eastAsia" w:ascii="Times New Roman" w:hAnsi="Times New Roman" w:eastAsia="宋体"/>
                <w:sz w:val="19"/>
              </w:rPr>
              <w:t>中风险</w:t>
            </w:r>
          </w:p>
        </w:tc>
      </w:tr>
    </w:tbl>
    <w:p w14:paraId="349A2301">
      <w:pPr>
        <w:pStyle w:val="3"/>
        <w:spacing w:before="40" w:after="120" w:line="312" w:lineRule="auto"/>
        <w:ind w:firstLine="0"/>
        <w:jc w:val="left"/>
      </w:pPr>
      <w:r>
        <w:rPr>
          <w:rFonts w:hint="eastAsia" w:ascii="Times New Roman" w:hAnsi="Times New Roman" w:eastAsia="宋体"/>
          <w:i w:val="0"/>
          <w:sz w:val="21"/>
        </w:rPr>
        <w:t>注：表中为 FY2024 确认版评分（程序逐字验真 + 人工复核），全部维度分、权重与证据链留痕于标注 JSON（data/annotated_cn/），可逐格复算；FY2022-FY2023 评分轨迹见系统 P3「跨年轨迹」。</w:t>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r>
        <w:rPr>
          <w:rFonts w:hint="eastAsia" w:ascii="Times New Roman" w:hAnsi="Times New Roman" w:eastAsia="宋体"/>
          <w:i w:val="0"/>
          <w:sz w:val="21"/>
        </w:rPr>
      </w:r>
      <w:r>
        <w:rPr>
          <w:rFonts w:ascii="Times New Roman" w:hAnsi="Times New Roman" w:eastAsia="宋体"/>
          <w:i w:val="0"/>
          <w:sz w:val="21"/>
        </w:rPr>
      </w:r>
    </w:p>
    <w:p w14:paraId="433CA632">
      <w:pPr>
        <w:pStyle w:val="3"/>
        <w:spacing w:before="40" w:after="40" w:line="360" w:lineRule="auto"/>
        <w:ind w:firstLine="480"/>
      </w:pPr>
      <w:r>
        <w:rPr>
          <w:rFonts w:hint="eastAsia" w:ascii="Times New Roman" w:hAnsi="Times New Roman" w:eastAsia="宋体"/>
          <w:sz w:val="24"/>
        </w:rPr>
        <w:t>方法学完全同构：沿用同一套 5D-DRS 权重（0.25/0.20/0.20/0.20/0.15）、同一证据链标注体系（“原文—行号—会计含义—推断链”四列），产出与美国样本同构的标注 JSON（30 份，存于 data/annotated_cn/），并形成平行的中国验证集 CSV（training_v07_china_validation_3.csv）。六家公司 2024 年报关键数字（营收、净利、研发投入及资本化率、固定资产、无形资产、商誉、减值损失）均来自上交所/深交所法定披露原文并已核对；逐字页码与行号待团队用年报 PDF 终核，故本验证集置信度为 0.8（略低于美股样本的 0.9）。</w:t>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p>
    <w:p w14:paraId="344FA5CE">
      <w:pPr>
        <w:pStyle w:val="5"/>
        <w:spacing w:before="240" w:after="120" w:line="360" w:lineRule="auto"/>
      </w:pPr>
      <w:bookmarkStart w:id="139" w:name="验证结果"/>
      <w:r>
        <w:rPr>
          <w:rFonts w:ascii="Times New Roman" w:hAnsi="Times New Roman" w:eastAsia="黑体"/>
          <w:b/>
          <w:color w:val="003366"/>
          <w:sz w:val="24"/>
        </w:rPr>
        <w:t xml:space="preserve">6.6.1 </w:t>
      </w:r>
      <w:r>
        <w:rPr>
          <w:rFonts w:hint="eastAsia" w:ascii="Times New Roman" w:hAnsi="Times New Roman" w:eastAsia="黑体"/>
          <w:b/>
          <w:color w:val="003366"/>
          <w:sz w:val="24"/>
        </w:rPr>
        <w:t>验证结果</w:t>
      </w:r>
    </w:p>
    <w:p w14:paraId="60FCC7D0">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本研究先选取 3 家 A 股企业（科大讯飞、数据港、寒武纪）进行探索性标注，验证方法论可行性后扩样至 6 家（新增奥飞数据、中科曙光、浪潮信息），2026 年 8 月进一步扩样至 10 家（新增光环新网、海光信息、工业富联、润泽科技），并将标注覆盖从单一年度扩展至 FY2022-FY2024 三个财年，形成 10 家 × 3 年 = 30 份中国验证面板。</w:t>
        <w:br/>
        <w:t>三年面板揭示了单年度截面看不到的动态信息：海光信息连续三年位居中高风险（3.45 → 3.40 → 3.15），其 DCU 产线资本开支强度（D4=5）是主要驱动；浪潮信息 2024 年综合分由 2.65 上行至 3.10，为面板最大升幅；寒武纪 2023 年冲高 3.25 后于 2024 年回落至 2.65，与存货备货节奏同步。十家样本 FY2024 评分区间为 2.40-3.15，整体低于美股变更年均值（4.25），与美股面板“重资产霸榜、轻资产居尾”的规律相比，中国验证集的资产结构梯度更平缓——风险排序由“假设激进度 × 资产敞口”内生决定，而非制度环境预设。</w:t>
      </w:r>
      <w:r>
        <w:rPr>
          <w:rFonts w:hint="eastAsia" w:ascii="Times New Roman" w:hAnsi="Times New Roman" w:eastAsia="宋体"/>
          <w:sz w:val="24"/>
        </w:rPr>
      </w:r>
      <w:r>
        <w:rPr>
          <w:rFonts w:hint="eastAsia" w:ascii="Times New Roman" w:hAnsi="Times New Roman" w:eastAsia="宋体"/>
          <w:sz w:val="24"/>
        </w:rPr>
      </w:r>
      <w:r>
        <w:rPr>
          <w:rFonts w:hint="eastAsia" w:ascii="Times New Roman" w:hAnsi="Times New Roman" w:eastAsia="宋体"/>
          <w:sz w:val="24"/>
        </w:rPr>
      </w:r>
    </w:p>
    <w:bookmarkEnd w:id="139"/>
    <w:p w14:paraId="08339EE5">
      <w:pPr>
        <w:pStyle w:val="5"/>
        <w:spacing w:before="240" w:after="120" w:line="360" w:lineRule="auto"/>
      </w:pPr>
      <w:bookmarkStart w:id="140" w:name="六条典型路径与美股对照"/>
      <w:r>
        <w:rPr>
          <w:rFonts w:ascii="Times New Roman" w:hAnsi="Times New Roman" w:eastAsia="黑体"/>
          <w:b/>
          <w:color w:val="003366"/>
          <w:sz w:val="24"/>
        </w:rPr>
        <w:t xml:space="preserve">6.6.2 </w:t>
      </w:r>
      <w:r>
        <w:rPr>
          <w:rFonts w:hint="eastAsia" w:ascii="Times New Roman" w:hAnsi="Times New Roman" w:eastAsia="黑体"/>
          <w:b/>
          <w:color w:val="003366"/>
          <w:sz w:val="24"/>
        </w:rPr>
        <w:t>六条典型路径与美股对照</w:t>
      </w:r>
    </w:p>
    <w:p w14:paraId="14EAA51C">
      <w:pPr>
        <w:pStyle w:val="25"/>
        <w:spacing w:before="40" w:after="40" w:line="360" w:lineRule="auto"/>
        <w:ind w:firstLine="480"/>
      </w:pPr>
      <w:r>
        <w:rPr>
          <w:rFonts w:hint="eastAsia" w:ascii="Times New Roman" w:hAnsi="Times New Roman" w:eastAsia="宋体"/>
          <w:sz w:val="24"/>
        </w:rPr>
        <w:t>数据港</w:t>
      </w:r>
      <w:r>
        <w:rPr>
          <w:rFonts w:ascii="Times New Roman" w:hAnsi="Times New Roman" w:eastAsia="宋体"/>
          <w:sz w:val="24"/>
        </w:rPr>
        <w:t xml:space="preserve"> = </w:t>
      </w:r>
      <w:r>
        <w:rPr>
          <w:rFonts w:hint="eastAsia" w:ascii="Times New Roman" w:hAnsi="Times New Roman" w:eastAsia="宋体"/>
          <w:sz w:val="24"/>
        </w:rPr>
        <w:t>美股运营型的中国映射，且出现首个“折旧年限上行漂移”实证。</w:t>
      </w:r>
      <w:r>
        <w:rPr>
          <w:rFonts w:ascii="Times New Roman" w:hAnsi="Times New Roman" w:eastAsia="宋体"/>
          <w:sz w:val="24"/>
        </w:rPr>
        <w:t xml:space="preserve"> 2024-10-01 </w:t>
      </w:r>
      <w:r>
        <w:rPr>
          <w:rFonts w:hint="eastAsia" w:ascii="Times New Roman" w:hAnsi="Times New Roman" w:eastAsia="宋体"/>
          <w:sz w:val="24"/>
        </w:rPr>
        <w:t>起，公司将房屋建筑物折旧年限由</w:t>
      </w:r>
      <w:r>
        <w:rPr>
          <w:rFonts w:ascii="Times New Roman" w:hAnsi="Times New Roman" w:eastAsia="宋体"/>
          <w:sz w:val="24"/>
        </w:rPr>
        <w:t xml:space="preserve"> 20-30 </w:t>
      </w:r>
      <w:r>
        <w:rPr>
          <w:rFonts w:hint="eastAsia" w:ascii="Times New Roman" w:hAnsi="Times New Roman" w:eastAsia="宋体"/>
          <w:sz w:val="24"/>
        </w:rPr>
        <w:t>年调整为</w:t>
      </w:r>
      <w:r>
        <w:rPr>
          <w:rFonts w:ascii="Times New Roman" w:hAnsi="Times New Roman" w:eastAsia="宋体"/>
          <w:sz w:val="24"/>
        </w:rPr>
        <w:t xml:space="preserve"> 20-40 </w:t>
      </w:r>
      <w:r>
        <w:rPr>
          <w:rFonts w:hint="eastAsia" w:ascii="Times New Roman" w:hAnsi="Times New Roman" w:eastAsia="宋体"/>
          <w:sz w:val="24"/>
        </w:rPr>
        <w:t>年、专用设备由</w:t>
      </w:r>
      <w:r>
        <w:rPr>
          <w:rFonts w:ascii="Times New Roman" w:hAnsi="Times New Roman" w:eastAsia="宋体"/>
          <w:sz w:val="24"/>
        </w:rPr>
        <w:t xml:space="preserve"> 5-10 </w:t>
      </w:r>
      <w:r>
        <w:rPr>
          <w:rFonts w:hint="eastAsia" w:ascii="Times New Roman" w:hAnsi="Times New Roman" w:eastAsia="宋体"/>
          <w:sz w:val="24"/>
        </w:rPr>
        <w:t>年调整为</w:t>
      </w:r>
      <w:r>
        <w:rPr>
          <w:rFonts w:ascii="Times New Roman" w:hAnsi="Times New Roman" w:eastAsia="宋体"/>
          <w:sz w:val="24"/>
        </w:rPr>
        <w:t xml:space="preserve"> 5-15 </w:t>
      </w:r>
      <w:r>
        <w:rPr>
          <w:rFonts w:hint="eastAsia" w:ascii="Times New Roman" w:hAnsi="Times New Roman" w:eastAsia="宋体"/>
          <w:sz w:val="24"/>
        </w:rPr>
        <w:t>年（未来适用法），方向与</w:t>
      </w:r>
      <w:r>
        <w:rPr>
          <w:rFonts w:ascii="Times New Roman" w:hAnsi="Times New Roman" w:eastAsia="宋体"/>
          <w:sz w:val="24"/>
        </w:rPr>
        <w:t xml:space="preserve"> Meta/Google </w:t>
      </w:r>
      <w:r>
        <w:rPr>
          <w:rFonts w:hint="eastAsia" w:ascii="Times New Roman" w:hAnsi="Times New Roman" w:eastAsia="宋体"/>
          <w:sz w:val="24"/>
        </w:rPr>
        <w:t>的“延长年限”一致——这是本研究在</w:t>
      </w:r>
      <w:r>
        <w:rPr>
          <w:rFonts w:ascii="Times New Roman" w:hAnsi="Times New Roman" w:eastAsia="宋体"/>
          <w:sz w:val="24"/>
        </w:rPr>
        <w:t xml:space="preserve"> A </w:t>
      </w:r>
      <w:r>
        <w:rPr>
          <w:rFonts w:hint="eastAsia" w:ascii="Times New Roman" w:hAnsi="Times New Roman" w:eastAsia="宋体"/>
          <w:sz w:val="24"/>
        </w:rPr>
        <w:t>股发现的第一个“年限延长策略”苗头，验证了</w:t>
      </w:r>
      <w:r>
        <w:rPr>
          <w:rFonts w:ascii="Times New Roman" w:hAnsi="Times New Roman" w:eastAsia="宋体"/>
          <w:sz w:val="24"/>
        </w:rPr>
        <w:t xml:space="preserve"> 6.2 </w:t>
      </w:r>
      <w:r>
        <w:rPr>
          <w:rFonts w:hint="eastAsia" w:ascii="Times New Roman" w:hAnsi="Times New Roman" w:eastAsia="宋体"/>
          <w:sz w:val="24"/>
        </w:rPr>
        <w:t>节“智算中心建设潮下的会计前瞻”隐患假设。但当前金额影响极小（增加</w:t>
      </w:r>
      <w:r>
        <w:rPr>
          <w:rFonts w:ascii="Times New Roman" w:hAnsi="Times New Roman" w:eastAsia="宋体"/>
          <w:sz w:val="24"/>
        </w:rPr>
        <w:t xml:space="preserve"> 2024 </w:t>
      </w:r>
      <w:r>
        <w:rPr>
          <w:rFonts w:hint="eastAsia" w:ascii="Times New Roman" w:hAnsi="Times New Roman" w:eastAsia="宋体"/>
          <w:sz w:val="24"/>
        </w:rPr>
        <w:t>年净利润仅</w:t>
      </w:r>
      <w:r>
        <w:rPr>
          <w:rFonts w:ascii="Times New Roman" w:hAnsi="Times New Roman" w:eastAsia="宋体"/>
          <w:sz w:val="24"/>
        </w:rPr>
        <w:t xml:space="preserve"> 1,678,038.57 </w:t>
      </w:r>
      <w:r>
        <w:rPr>
          <w:rFonts w:hint="eastAsia" w:ascii="Times New Roman" w:hAnsi="Times New Roman" w:eastAsia="宋体"/>
          <w:sz w:val="24"/>
        </w:rPr>
        <w:t>元，占归母净利</w:t>
      </w:r>
      <w:r>
        <w:rPr>
          <w:rFonts w:ascii="Times New Roman" w:hAnsi="Times New Roman" w:eastAsia="宋体"/>
          <w:sz w:val="24"/>
        </w:rPr>
        <w:t xml:space="preserve"> </w:t>
      </w:r>
      <w:r>
        <w:rPr>
          <w:rFonts w:hint="eastAsia" w:ascii="Times New Roman" w:hAnsi="Times New Roman" w:eastAsia="宋体"/>
          <w:sz w:val="24"/>
        </w:rPr>
        <w:t>0.13%），且有自持廊坊项目“建筑实际寿命长”的业务依据，资产为</w:t>
      </w:r>
      <w:r>
        <w:rPr>
          <w:rFonts w:ascii="Times New Roman" w:hAnsi="Times New Roman" w:eastAsia="宋体"/>
          <w:sz w:val="24"/>
        </w:rPr>
        <w:t xml:space="preserve"> IDC </w:t>
      </w:r>
      <w:r>
        <w:rPr>
          <w:rFonts w:hint="eastAsia" w:ascii="Times New Roman" w:hAnsi="Times New Roman" w:eastAsia="宋体"/>
          <w:sz w:val="24"/>
        </w:rPr>
        <w:t>基建而非迭代</w:t>
      </w:r>
      <w:r>
        <w:rPr>
          <w:rFonts w:ascii="Times New Roman" w:hAnsi="Times New Roman" w:eastAsia="宋体"/>
          <w:sz w:val="24"/>
        </w:rPr>
        <w:t xml:space="preserve"> 1-2 </w:t>
      </w:r>
      <w:r>
        <w:rPr>
          <w:rFonts w:hint="eastAsia" w:ascii="Times New Roman" w:hAnsi="Times New Roman" w:eastAsia="宋体"/>
          <w:sz w:val="24"/>
        </w:rPr>
        <w:t>年的</w:t>
      </w:r>
      <w:r>
        <w:rPr>
          <w:rFonts w:ascii="Times New Roman" w:hAnsi="Times New Roman" w:eastAsia="宋体"/>
          <w:sz w:val="24"/>
        </w:rPr>
        <w:t xml:space="preserve"> AI </w:t>
      </w:r>
      <w:r>
        <w:rPr>
          <w:rFonts w:hint="eastAsia" w:ascii="Times New Roman" w:hAnsi="Times New Roman" w:eastAsia="宋体"/>
          <w:sz w:val="24"/>
        </w:rPr>
        <w:t>训练芯片，故评中风险、属早期监测信号而非已兑现风险。</w:t>
      </w:r>
    </w:p>
    <w:p w14:paraId="62F6BDB3">
      <w:pPr>
        <w:pStyle w:val="3"/>
        <w:spacing w:before="40" w:after="40" w:line="360" w:lineRule="auto"/>
        <w:ind w:firstLine="480"/>
      </w:pPr>
      <w:r>
        <w:rPr>
          <w:rFonts w:hint="eastAsia" w:ascii="Times New Roman" w:hAnsi="Times New Roman" w:eastAsia="宋体" w:cstheme="minorBidi"/>
          <w:sz w:val="24"/>
          <w:szCs w:val="24"/>
          <w:lang w:val="en-US" w:eastAsia="zh-CN" w:bidi="ar-SA"/>
        </w:rPr>
        <w:t>科大讯飞 = 美股软件型的中国映射，“风险藏摊销/商誉”路径在中国同样成立。 其 2024 年研发投入 45.8 亿元、资本化率 43.58%（资本化额约 19.96 亿），形成开发支出 16.36 亿 + 无形资产 29.17 亿 + 商誉 11.35 亿的巨额无形资产堆；同年信用减值损失 9.65 亿（+42.58%）、资产减值损失 1.07 亿，减值触发已密集出现。这正是美股软件巨头“激进资本化→递延费用→未来摊销与减值压力”路径的中国翻版。需说明的是，确认版评分中其折旧假设本身相对稳健（综合分 2.40，中风险），该路径风险主要经研发资本化、商誉与减值通道（D3 维度之外的多通道兑现）体现，证明模型对“混合/软件型”公司的判别效度最强。</w:t>
      </w:r>
    </w:p>
    <w:p w14:paraId="700CD84D">
      <w:pPr>
        <w:pStyle w:val="3"/>
        <w:spacing w:before="40" w:after="40" w:line="360" w:lineRule="auto"/>
        <w:ind w:firstLine="480"/>
      </w:pPr>
      <w:r>
        <w:rPr>
          <w:rFonts w:hint="eastAsia" w:ascii="Times New Roman" w:hAnsi="Times New Roman" w:eastAsia="宋体"/>
          <w:sz w:val="24"/>
        </w:rPr>
        <w:t>中科曙光</w:t>
      </w:r>
      <w:r>
        <w:rPr>
          <w:rFonts w:ascii="Times New Roman" w:hAnsi="Times New Roman" w:eastAsia="宋体"/>
          <w:sz w:val="24"/>
        </w:rPr>
        <w:t xml:space="preserve"> = </w:t>
      </w:r>
      <w:r>
        <w:rPr>
          <w:rFonts w:hint="eastAsia" w:ascii="Times New Roman" w:hAnsi="Times New Roman" w:eastAsia="宋体"/>
          <w:sz w:val="24"/>
        </w:rPr>
        <w:t>美股混合型的中国保守对照组。电子类设备折旧年限3-5年已接近技术迭代周期，无年限变更记录，整体会计姿态保守。但无形资产内部研发占比高达84.6%，巨额内部研发资本化形成的无形资产堆是未来摊销与减值的压力源--这正是美股软件型公司’激进资本化→递延费用→未来摊销’路径的中国翻版。</w:t>
      </w:r>
    </w:p>
    <w:p w14:paraId="28C011F9">
      <w:pPr>
        <w:pStyle w:val="3"/>
        <w:spacing w:before="40" w:after="40" w:line="360" w:lineRule="auto"/>
        <w:ind w:firstLine="480"/>
      </w:pPr>
      <w:r>
        <w:rPr>
          <w:rFonts w:hint="eastAsia" w:ascii="Times New Roman" w:hAnsi="Times New Roman" w:eastAsia="宋体"/>
          <w:sz w:val="24"/>
        </w:rPr>
        <w:t>奥飞数据</w:t>
      </w:r>
      <w:r>
        <w:rPr>
          <w:rFonts w:ascii="Times New Roman" w:hAnsi="Times New Roman" w:eastAsia="宋体"/>
          <w:sz w:val="24"/>
        </w:rPr>
        <w:t xml:space="preserve"> = </w:t>
      </w:r>
      <w:r>
        <w:rPr>
          <w:rFonts w:hint="eastAsia" w:ascii="Times New Roman" w:hAnsi="Times New Roman" w:eastAsia="宋体"/>
          <w:sz w:val="24"/>
        </w:rPr>
        <w:t>美股运营型的中国映射+‘披露颗粒度缺口’的极端案例。机器设备折旧年限跨度达3-18年(全样本最大)，同一家公司内既有3年的保守估计又有18年的激进估计，核心数据中心设备的真实折旧节奏完全不可识别。2024年固定资产折旧规模同比激增62%至3.74亿元，叠加8099万元减值计提，利润同比下滑12.20%--错配已从’账面累积’进入’利润冲击’阶段。</w:t>
      </w:r>
    </w:p>
    <w:p w14:paraId="2395D45F">
      <w:pPr>
        <w:pStyle w:val="3"/>
        <w:spacing w:before="40" w:after="40" w:line="360" w:lineRule="auto"/>
        <w:ind w:firstLine="480"/>
      </w:pPr>
      <w:r>
        <w:rPr>
          <w:rFonts w:hint="eastAsia" w:ascii="Times New Roman" w:hAnsi="Times New Roman" w:eastAsia="宋体"/>
          <w:sz w:val="24"/>
        </w:rPr>
        <w:t>浪潮信息</w:t>
      </w:r>
      <w:r>
        <w:rPr>
          <w:rFonts w:ascii="Times New Roman" w:hAnsi="Times New Roman" w:eastAsia="宋体"/>
          <w:sz w:val="24"/>
        </w:rPr>
        <w:t xml:space="preserve"> = </w:t>
      </w:r>
      <w:r>
        <w:rPr>
          <w:rFonts w:hint="eastAsia" w:ascii="Times New Roman" w:hAnsi="Times New Roman" w:eastAsia="宋体"/>
          <w:sz w:val="24"/>
        </w:rPr>
        <w:t>美股制造型的中国反向对照，且出现首个’主动缩短’实证。2024年10月，公司将机器设备最低折旧年限由5年缩短至3年(未来适用法)，方向与Intel/Meta的’延长年限’完全相反。这是中国样本中唯一一家在AI算力扩张期主动缩短折旧年限的公司，证明5D-DRS的判别逻辑不会因国别而系统性偏向同一方向--风险高低由’假设激进度</w:t>
      </w:r>
      <w:r>
        <w:rPr>
          <w:rFonts w:ascii="Times New Roman" w:hAnsi="Times New Roman" w:eastAsia="宋体"/>
          <w:sz w:val="24"/>
        </w:rPr>
        <w:t xml:space="preserve"> x </w:t>
      </w:r>
      <w:r>
        <w:rPr>
          <w:rFonts w:hint="eastAsia" w:ascii="Times New Roman" w:hAnsi="Times New Roman" w:eastAsia="宋体"/>
          <w:sz w:val="24"/>
        </w:rPr>
        <w:t>资产敞口’内生决定，而非制度环境预设。</w:t>
      </w:r>
    </w:p>
    <w:p w14:paraId="7FE4FB5F">
      <w:pPr>
        <w:pStyle w:val="3"/>
        <w:spacing w:before="40" w:after="40" w:line="360" w:lineRule="auto"/>
        <w:ind w:firstLine="480"/>
      </w:pPr>
      <w:r>
        <w:rPr>
          <w:rFonts w:hint="eastAsia" w:ascii="Times New Roman" w:hAnsi="Times New Roman" w:eastAsia="宋体"/>
          <w:sz w:val="24"/>
        </w:rPr>
        <w:t>寒武纪</w:t>
      </w:r>
      <w:r>
        <w:rPr>
          <w:rFonts w:ascii="Times New Roman" w:hAnsi="Times New Roman" w:eastAsia="宋体"/>
          <w:sz w:val="24"/>
        </w:rPr>
        <w:t xml:space="preserve"> = </w:t>
      </w:r>
      <w:r>
        <w:rPr>
          <w:rFonts w:hint="eastAsia" w:ascii="Times New Roman" w:hAnsi="Times New Roman" w:eastAsia="宋体"/>
          <w:sz w:val="24"/>
        </w:rPr>
        <w:t>美股设计型的中国映射，但揭示</w:t>
      </w:r>
      <w:r>
        <w:rPr>
          <w:rFonts w:ascii="Times New Roman" w:hAnsi="Times New Roman" w:eastAsia="宋体"/>
          <w:sz w:val="24"/>
        </w:rPr>
        <w:t xml:space="preserve"> 5D-DRS </w:t>
      </w:r>
      <w:r>
        <w:rPr>
          <w:rFonts w:hint="eastAsia" w:ascii="Times New Roman" w:hAnsi="Times New Roman" w:eastAsia="宋体"/>
          <w:sz w:val="24"/>
        </w:rPr>
        <w:t>的适用边界。</w:t>
      </w:r>
      <w:r>
        <w:rPr>
          <w:rFonts w:ascii="Times New Roman" w:hAnsi="Times New Roman" w:eastAsia="宋体"/>
          <w:sz w:val="24"/>
        </w:rPr>
        <w:t xml:space="preserve"> </w:t>
      </w:r>
      <w:r>
        <w:rPr>
          <w:rFonts w:hint="eastAsia" w:ascii="Times New Roman" w:hAnsi="Times New Roman" w:eastAsia="宋体"/>
          <w:sz w:val="24"/>
        </w:rPr>
        <w:t>寒武纪采用</w:t>
      </w:r>
      <w:r>
        <w:rPr>
          <w:rFonts w:ascii="Times New Roman" w:hAnsi="Times New Roman" w:eastAsia="宋体"/>
          <w:sz w:val="24"/>
        </w:rPr>
        <w:t xml:space="preserve"> Fabless </w:t>
      </w:r>
      <w:r>
        <w:rPr>
          <w:rFonts w:hint="eastAsia" w:ascii="Times New Roman" w:hAnsi="Times New Roman" w:eastAsia="宋体"/>
          <w:sz w:val="24"/>
        </w:rPr>
        <w:t>模式，固定资产仅</w:t>
      </w:r>
      <w:r>
        <w:rPr>
          <w:rFonts w:ascii="Times New Roman" w:hAnsi="Times New Roman" w:eastAsia="宋体"/>
          <w:sz w:val="24"/>
        </w:rPr>
        <w:t xml:space="preserve"> 2.31 </w:t>
      </w:r>
      <w:r>
        <w:rPr>
          <w:rFonts w:hint="eastAsia" w:ascii="Times New Roman" w:hAnsi="Times New Roman" w:eastAsia="宋体"/>
          <w:sz w:val="24"/>
        </w:rPr>
        <w:t>亿，研发投入</w:t>
      </w:r>
      <w:r>
        <w:rPr>
          <w:rFonts w:ascii="Times New Roman" w:hAnsi="Times New Roman" w:eastAsia="宋体"/>
          <w:sz w:val="24"/>
        </w:rPr>
        <w:t xml:space="preserve"> 100% </w:t>
      </w:r>
      <w:r>
        <w:rPr>
          <w:rFonts w:hint="eastAsia" w:ascii="Times New Roman" w:hAnsi="Times New Roman" w:eastAsia="宋体"/>
          <w:sz w:val="24"/>
        </w:rPr>
        <w:t>费用化（资本化比重</w:t>
      </w:r>
      <w:r>
        <w:rPr>
          <w:rFonts w:ascii="Times New Roman" w:hAnsi="Times New Roman" w:eastAsia="宋体"/>
          <w:sz w:val="24"/>
        </w:rPr>
        <w:t xml:space="preserve"> </w:t>
      </w:r>
      <w:r>
        <w:rPr>
          <w:rFonts w:hint="eastAsia" w:ascii="Times New Roman" w:hAnsi="Times New Roman" w:eastAsia="宋体"/>
          <w:sz w:val="24"/>
        </w:rPr>
        <w:t>0%），是验证集中最保守的会计姿态，故</w:t>
      </w:r>
      <w:r>
        <w:rPr>
          <w:rFonts w:ascii="Times New Roman" w:hAnsi="Times New Roman" w:eastAsia="宋体"/>
          <w:sz w:val="24"/>
        </w:rPr>
        <w:t xml:space="preserve"> D1/D2/D4 </w:t>
      </w:r>
      <w:r>
        <w:rPr>
          <w:rFonts w:hint="eastAsia" w:ascii="Times New Roman" w:hAnsi="Times New Roman" w:eastAsia="宋体"/>
          <w:sz w:val="24"/>
        </w:rPr>
        <w:t>均低、综合分中低。但企业整体风险极高——风险从</w:t>
      </w:r>
      <w:r>
        <w:rPr>
          <w:rFonts w:ascii="Times New Roman" w:hAnsi="Times New Roman" w:eastAsia="宋体"/>
          <w:sz w:val="24"/>
        </w:rPr>
        <w:t xml:space="preserve"> PP&amp;E </w:t>
      </w:r>
      <w:r>
        <w:rPr>
          <w:rFonts w:hint="eastAsia" w:ascii="Times New Roman" w:hAnsi="Times New Roman" w:eastAsia="宋体"/>
          <w:sz w:val="24"/>
        </w:rPr>
        <w:t>折旧迁移到了存货与技术替代：2024</w:t>
      </w:r>
      <w:r>
        <w:rPr>
          <w:rFonts w:ascii="Times New Roman" w:hAnsi="Times New Roman" w:eastAsia="宋体"/>
          <w:sz w:val="24"/>
        </w:rPr>
        <w:t xml:space="preserve"> </w:t>
      </w:r>
      <w:r>
        <w:rPr>
          <w:rFonts w:hint="eastAsia" w:ascii="Times New Roman" w:hAnsi="Times New Roman" w:eastAsia="宋体"/>
          <w:sz w:val="24"/>
        </w:rPr>
        <w:t>年存货暴增</w:t>
      </w:r>
      <w:r>
        <w:rPr>
          <w:rFonts w:ascii="Times New Roman" w:hAnsi="Times New Roman" w:eastAsia="宋体"/>
          <w:sz w:val="24"/>
        </w:rPr>
        <w:t xml:space="preserve"> 1684% </w:t>
      </w:r>
      <w:r>
        <w:rPr>
          <w:rFonts w:hint="eastAsia" w:ascii="Times New Roman" w:hAnsi="Times New Roman" w:eastAsia="宋体"/>
          <w:sz w:val="24"/>
        </w:rPr>
        <w:t>至</w:t>
      </w:r>
      <w:r>
        <w:rPr>
          <w:rFonts w:ascii="Times New Roman" w:hAnsi="Times New Roman" w:eastAsia="宋体"/>
          <w:sz w:val="24"/>
        </w:rPr>
        <w:t xml:space="preserve"> 17.74 </w:t>
      </w:r>
      <w:r>
        <w:rPr>
          <w:rFonts w:hint="eastAsia" w:ascii="Times New Roman" w:hAnsi="Times New Roman" w:eastAsia="宋体"/>
          <w:sz w:val="24"/>
        </w:rPr>
        <w:t>亿（约为全年营收的</w:t>
      </w:r>
      <w:r>
        <w:rPr>
          <w:rFonts w:ascii="Times New Roman" w:hAnsi="Times New Roman" w:eastAsia="宋体"/>
          <w:sz w:val="24"/>
        </w:rPr>
        <w:t xml:space="preserve"> 1.5 </w:t>
      </w:r>
      <w:r>
        <w:rPr>
          <w:rFonts w:hint="eastAsia" w:ascii="Times New Roman" w:hAnsi="Times New Roman" w:eastAsia="宋体"/>
          <w:sz w:val="24"/>
        </w:rPr>
        <w:t>倍），连续</w:t>
      </w:r>
      <w:r>
        <w:rPr>
          <w:rFonts w:ascii="Times New Roman" w:hAnsi="Times New Roman" w:eastAsia="宋体"/>
          <w:sz w:val="24"/>
        </w:rPr>
        <w:t xml:space="preserve"> 8 </w:t>
      </w:r>
      <w:r>
        <w:rPr>
          <w:rFonts w:hint="eastAsia" w:ascii="Times New Roman" w:hAnsi="Times New Roman" w:eastAsia="宋体"/>
          <w:sz w:val="24"/>
        </w:rPr>
        <w:t>年亏损，AI</w:t>
      </w:r>
      <w:r>
        <w:rPr>
          <w:rFonts w:ascii="Times New Roman" w:hAnsi="Times New Roman" w:eastAsia="宋体"/>
          <w:sz w:val="24"/>
        </w:rPr>
        <w:t xml:space="preserve"> </w:t>
      </w:r>
      <w:r>
        <w:rPr>
          <w:rFonts w:hint="eastAsia" w:ascii="Times New Roman" w:hAnsi="Times New Roman" w:eastAsia="宋体"/>
          <w:sz w:val="24"/>
        </w:rPr>
        <w:t>芯片技术替代极快（D5</w:t>
      </w:r>
      <w:r>
        <w:rPr>
          <w:rFonts w:ascii="Times New Roman" w:hAnsi="Times New Roman" w:eastAsia="宋体"/>
          <w:sz w:val="24"/>
        </w:rPr>
        <w:t xml:space="preserve"> </w:t>
      </w:r>
      <w:r>
        <w:rPr>
          <w:rFonts w:hint="eastAsia" w:ascii="Times New Roman" w:hAnsi="Times New Roman" w:eastAsia="宋体"/>
          <w:sz w:val="24"/>
        </w:rPr>
        <w:t>满分）。这说明对轻资产公司，5D-DRS</w:t>
      </w:r>
      <w:r>
        <w:rPr>
          <w:rFonts w:ascii="Times New Roman" w:hAnsi="Times New Roman" w:eastAsia="宋体"/>
          <w:sz w:val="24"/>
        </w:rPr>
        <w:t xml:space="preserve"> </w:t>
      </w:r>
      <w:r>
        <w:rPr>
          <w:rFonts w:hint="eastAsia" w:ascii="Times New Roman" w:hAnsi="Times New Roman" w:eastAsia="宋体"/>
          <w:sz w:val="24"/>
        </w:rPr>
        <w:t>的风险捕捉需依赖</w:t>
      </w:r>
      <w:r>
        <w:rPr>
          <w:rFonts w:ascii="Times New Roman" w:hAnsi="Times New Roman" w:eastAsia="宋体"/>
          <w:sz w:val="24"/>
        </w:rPr>
        <w:t xml:space="preserve"> D3/D5 </w:t>
      </w:r>
      <w:r>
        <w:rPr>
          <w:rFonts w:hint="eastAsia" w:ascii="Times New Roman" w:hAnsi="Times New Roman" w:eastAsia="宋体"/>
          <w:sz w:val="24"/>
        </w:rPr>
        <w:t>与无形资产维度——这一“边界诚实标注”本身即是方法学成熟度的体现，也与美国面板中</w:t>
      </w:r>
      <w:r>
        <w:rPr>
          <w:rFonts w:ascii="Times New Roman" w:hAnsi="Times New Roman" w:eastAsia="宋体"/>
          <w:sz w:val="24"/>
        </w:rPr>
        <w:t xml:space="preserve"> </w:t>
      </w:r>
      <w:r>
        <w:rPr>
          <w:rFonts w:hint="eastAsia" w:ascii="Times New Roman" w:hAnsi="Times New Roman" w:eastAsia="宋体"/>
          <w:sz w:val="24"/>
        </w:rPr>
        <w:t>AMD（设计型、2.40</w:t>
      </w:r>
      <w:r>
        <w:rPr>
          <w:rFonts w:ascii="Times New Roman" w:hAnsi="Times New Roman" w:eastAsia="宋体"/>
          <w:sz w:val="24"/>
        </w:rPr>
        <w:t xml:space="preserve"> </w:t>
      </w:r>
      <w:r>
        <w:rPr>
          <w:rFonts w:hint="eastAsia" w:ascii="Times New Roman" w:hAnsi="Times New Roman" w:eastAsia="宋体"/>
          <w:sz w:val="24"/>
        </w:rPr>
        <w:t>分）居尾的规律相互印证。</w:t>
      </w:r>
    </w:p>
    <w:p w14:paraId="4948BD8B">
      <w:pPr>
        <w:pStyle w:val="3"/>
        <w:spacing w:before="40" w:after="40" w:line="360" w:lineRule="auto"/>
        <w:ind w:firstLine="480"/>
      </w:pPr>
      <w:r>
        <w:rPr>
          <w:rFonts w:hint="eastAsia" w:ascii="Times New Roman" w:hAnsi="Times New Roman" w:eastAsia="宋体"/>
          <w:sz w:val="24"/>
        </w:rPr>
        <w:t>证据链迁移示例（寒武纪存货通道）：寒武纪</w:t>
      </w:r>
      <w:r>
        <w:rPr>
          <w:rFonts w:ascii="Times New Roman" w:hAnsi="Times New Roman" w:eastAsia="宋体"/>
          <w:sz w:val="24"/>
        </w:rPr>
        <w:t xml:space="preserve"> 2024 </w:t>
      </w:r>
      <w:r>
        <w:rPr>
          <w:rFonts w:hint="eastAsia" w:ascii="Times New Roman" w:hAnsi="Times New Roman" w:eastAsia="宋体"/>
          <w:sz w:val="24"/>
        </w:rPr>
        <w:t>年报披露存货账面价值</w:t>
      </w:r>
      <w:r>
        <w:rPr>
          <w:rFonts w:ascii="Times New Roman" w:hAnsi="Times New Roman" w:eastAsia="宋体"/>
          <w:sz w:val="24"/>
        </w:rPr>
        <w:t xml:space="preserve"> 17.74 </w:t>
      </w:r>
      <w:r>
        <w:rPr>
          <w:rFonts w:hint="eastAsia" w:ascii="Times New Roman" w:hAnsi="Times New Roman" w:eastAsia="宋体"/>
          <w:sz w:val="24"/>
        </w:rPr>
        <w:t>亿元，同比增长</w:t>
      </w:r>
      <w:r>
        <w:rPr>
          <w:rFonts w:ascii="Times New Roman" w:hAnsi="Times New Roman" w:eastAsia="宋体"/>
          <w:sz w:val="24"/>
        </w:rPr>
        <w:t xml:space="preserve"> </w:t>
      </w:r>
      <w:r>
        <w:rPr>
          <w:rFonts w:hint="eastAsia" w:ascii="Times New Roman" w:hAnsi="Times New Roman" w:eastAsia="宋体"/>
          <w:sz w:val="24"/>
        </w:rPr>
        <w:t>1684%，附注称主要系根据市场预期进行的原材料备货增加。依证据链四列结构：①原文——存货同比增长</w:t>
      </w:r>
      <w:r>
        <w:rPr>
          <w:rFonts w:ascii="Times New Roman" w:hAnsi="Times New Roman" w:eastAsia="宋体"/>
          <w:sz w:val="24"/>
        </w:rPr>
        <w:t xml:space="preserve"> </w:t>
      </w:r>
      <w:r>
        <w:rPr>
          <w:rFonts w:hint="eastAsia" w:ascii="Times New Roman" w:hAnsi="Times New Roman" w:eastAsia="宋体"/>
          <w:sz w:val="24"/>
        </w:rPr>
        <w:t>1684%；②位置——2024</w:t>
      </w:r>
      <w:r>
        <w:rPr>
          <w:rFonts w:ascii="Times New Roman" w:hAnsi="Times New Roman" w:eastAsia="宋体"/>
          <w:sz w:val="24"/>
        </w:rPr>
        <w:t xml:space="preserve"> </w:t>
      </w:r>
      <w:r>
        <w:rPr>
          <w:rFonts w:hint="eastAsia" w:ascii="Times New Roman" w:hAnsi="Times New Roman" w:eastAsia="宋体"/>
          <w:sz w:val="24"/>
        </w:rPr>
        <w:t>年报附注七、存货（第</w:t>
      </w:r>
      <w:r>
        <w:rPr>
          <w:rFonts w:ascii="Times New Roman" w:hAnsi="Times New Roman" w:eastAsia="宋体"/>
          <w:sz w:val="24"/>
        </w:rPr>
        <w:t xml:space="preserve"> XX </w:t>
      </w:r>
      <w:r>
        <w:rPr>
          <w:rFonts w:hint="eastAsia" w:ascii="Times New Roman" w:hAnsi="Times New Roman" w:eastAsia="宋体"/>
          <w:sz w:val="24"/>
        </w:rPr>
        <w:t>页）；③会计含义——存货激增提示技术迭代导致的可变现净值下跌风险；④推断链——AI</w:t>
      </w:r>
      <w:r>
        <w:rPr>
          <w:rFonts w:ascii="Times New Roman" w:hAnsi="Times New Roman" w:eastAsia="宋体"/>
          <w:sz w:val="24"/>
        </w:rPr>
        <w:t xml:space="preserve"> </w:t>
      </w:r>
      <w:r>
        <w:rPr>
          <w:rFonts w:hint="eastAsia" w:ascii="Times New Roman" w:hAnsi="Times New Roman" w:eastAsia="宋体"/>
          <w:sz w:val="24"/>
        </w:rPr>
        <w:t>芯片技术替代加速（D5</w:t>
      </w:r>
      <w:r>
        <w:rPr>
          <w:rFonts w:ascii="Times New Roman" w:hAnsi="Times New Roman" w:eastAsia="宋体"/>
          <w:sz w:val="24"/>
        </w:rPr>
        <w:t xml:space="preserve"> </w:t>
      </w:r>
      <w:r>
        <w:rPr>
          <w:rFonts w:hint="eastAsia" w:ascii="Times New Roman" w:hAnsi="Times New Roman" w:eastAsia="宋体"/>
          <w:sz w:val="24"/>
        </w:rPr>
        <w:t>满分）→</w:t>
      </w:r>
      <w:r>
        <w:rPr>
          <w:rFonts w:ascii="Times New Roman" w:hAnsi="Times New Roman" w:eastAsia="宋体"/>
          <w:sz w:val="24"/>
        </w:rPr>
        <w:t xml:space="preserve"> </w:t>
      </w:r>
      <w:r>
        <w:rPr>
          <w:rFonts w:hint="eastAsia" w:ascii="Times New Roman" w:hAnsi="Times New Roman" w:eastAsia="宋体"/>
          <w:sz w:val="24"/>
        </w:rPr>
        <w:t>上一代芯片库存可能面临断崖式减值</w:t>
      </w:r>
      <w:r>
        <w:rPr>
          <w:rFonts w:ascii="Times New Roman" w:hAnsi="Times New Roman" w:eastAsia="宋体"/>
          <w:sz w:val="24"/>
        </w:rPr>
        <w:t xml:space="preserve"> → </w:t>
      </w:r>
      <w:r>
        <w:rPr>
          <w:rFonts w:hint="eastAsia" w:ascii="Times New Roman" w:hAnsi="Times New Roman" w:eastAsia="宋体"/>
          <w:sz w:val="24"/>
        </w:rPr>
        <w:t>风险从</w:t>
      </w:r>
      <w:r>
        <w:rPr>
          <w:rFonts w:ascii="Times New Roman" w:hAnsi="Times New Roman" w:eastAsia="宋体"/>
          <w:sz w:val="24"/>
        </w:rPr>
        <w:t xml:space="preserve"> PP&amp;E </w:t>
      </w:r>
      <w:r>
        <w:rPr>
          <w:rFonts w:hint="eastAsia" w:ascii="Times New Roman" w:hAnsi="Times New Roman" w:eastAsia="宋体"/>
          <w:sz w:val="24"/>
        </w:rPr>
        <w:t>折旧通道迁移至存货跌价通道。此示例表明证据链标注框架可跨通道复用，但存货/商誉的专用关键词矩阵需后续研究构建。</w:t>
      </w:r>
    </w:p>
    <w:bookmarkEnd w:id="140"/>
    <w:p w14:paraId="146CAC31">
      <w:pPr>
        <w:pStyle w:val="5"/>
        <w:spacing w:before="240" w:after="120" w:line="360" w:lineRule="auto"/>
      </w:pPr>
      <w:bookmarkStart w:id="141" w:name="与政策建议的呼应"/>
      <w:r>
        <w:rPr>
          <w:rFonts w:ascii="Times New Roman" w:hAnsi="Times New Roman" w:eastAsia="黑体"/>
          <w:b/>
          <w:color w:val="003366"/>
          <w:sz w:val="24"/>
        </w:rPr>
        <w:t xml:space="preserve">6.6.3 </w:t>
      </w:r>
      <w:r>
        <w:rPr>
          <w:rFonts w:hint="eastAsia" w:ascii="Times New Roman" w:hAnsi="Times New Roman" w:eastAsia="黑体"/>
          <w:b/>
          <w:color w:val="003366"/>
          <w:sz w:val="24"/>
        </w:rPr>
        <w:t>与政策建议的呼应</w:t>
      </w:r>
    </w:p>
    <w:p w14:paraId="09E1FF07">
      <w:pPr>
        <w:pStyle w:val="25"/>
        <w:spacing w:before="40" w:after="40" w:line="360" w:lineRule="auto"/>
        <w:ind w:firstLine="480"/>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sz w:val="24"/>
          <w:szCs w:val="24"/>
          <w:lang w:val="en-US" w:eastAsia="zh-CN" w:bidi="ar-SA"/>
        </w:rPr>
        <w:t>首期 3 家结果初步提示：中国科创企业的折旧/减值风险可能并非“美国故事”的孤立现象，而是会计准则同构（估计变更均采未来适用法）下的共性隐患；但其风险载体随资产结构分化——重资产走“折旧”，轻资产走“存货/技术替代”，混合/软件型走“研发资本化/商誉”。这正是 6.4 节建议 1-3（折旧假设年度复核、用足加速折旧、减值前瞻测试前置）的现实靶心：企业可将 5D-DRS 评分作为财务内控的参考工具，关注折旧政策的合理性，而非等到监管识别后被动应对。</w:t>
      </w:r>
    </w:p>
    <w:p w14:paraId="23413A08">
      <w:pPr>
        <w:pStyle w:val="3"/>
        <w:spacing w:before="40" w:after="40" w:line="360" w:lineRule="auto"/>
        <w:ind w:firstLine="480"/>
      </w:pPr>
      <w:r>
        <w:rPr>
          <w:rFonts w:hint="eastAsia" w:ascii="Times New Roman" w:hAnsi="Times New Roman" w:eastAsia="宋体"/>
          <w:sz w:val="24"/>
        </w:rPr>
        <w:t>局限与下一步：本验证集已扩展至 10 家 × 3 年 = 30 份，全部证据链完成程序逐字验真与人工复核；但 30 份样本量仍偏小，且 A股年报的折旧政策披露颗粒度整体低于美股 10-K。下一步可扩展至算力与半导体板块更多标的（50-100 家），并与美股 30 份样本合并做跨市场判别效度检验。</w:t>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p>
    <w:bookmarkEnd w:id="138"/>
    <w:bookmarkEnd w:id="141"/>
    <w:p w14:paraId="29BB3DC1">
      <w:pPr>
        <w:pStyle w:val="4"/>
        <w:spacing w:before="320" w:after="160" w:line="360" w:lineRule="auto"/>
      </w:pPr>
      <w:bookmarkStart w:id="142" w:name="_Toc31971"/>
      <w:bookmarkStart w:id="143" w:name="ai技术深化从规则引擎到认知增强"/>
      <w:r>
        <w:rPr>
          <w:rFonts w:ascii="Times New Roman" w:hAnsi="Times New Roman" w:eastAsia="黑体"/>
          <w:b/>
          <w:color w:val="003366"/>
          <w:sz w:val="28"/>
        </w:rPr>
        <w:t xml:space="preserve">6.7 </w:t>
      </w:r>
      <w:r>
        <w:rPr>
          <w:rFonts w:hint="eastAsia" w:ascii="Times New Roman" w:hAnsi="Times New Roman" w:eastAsia="黑体"/>
          <w:b/>
          <w:color w:val="003366"/>
          <w:sz w:val="28"/>
        </w:rPr>
        <w:t>AI技术深化：从“规则引擎”到“认知增强”</w:t>
      </w:r>
      <w:bookmarkEnd w:id="142"/>
    </w:p>
    <w:p w14:paraId="3444D997">
      <w:pPr>
        <w:pStyle w:val="25"/>
        <w:spacing w:before="40" w:after="40" w:line="360" w:lineRule="auto"/>
        <w:ind w:firstLine="480"/>
      </w:pPr>
      <w:r>
        <w:rPr>
          <w:rFonts w:hint="eastAsia" w:ascii="Times New Roman" w:hAnsi="Times New Roman" w:eastAsia="宋体"/>
          <w:sz w:val="24"/>
        </w:rPr>
        <w:t>5D-DRS系统目前基于规则驱动（R1-R4规则+面板数据评分），这一设计在保证可解释性和稳定性的同时，也存在两个天然局限：其一，规则库依赖人工维护，难以自动适应新出现的折旧操纵模式；其二，系统输出的是“评分+结论”，但对“为什么这家公司的折旧政策有问题”的解释仍需要人工撰写。本节提出两个AI技术深化方向——RAG（检索增强生成）与FinBERT金融文本分析——作为5D-DRS系统从“规则引擎”向“认知增强”演进的未来路径。</w:t>
      </w:r>
    </w:p>
    <w:p w14:paraId="1CAE172D">
      <w:pPr>
        <w:pStyle w:val="5"/>
        <w:spacing w:before="240" w:after="120" w:line="360" w:lineRule="auto"/>
      </w:pPr>
      <w:bookmarkStart w:id="144" w:name="rag架构设计让5d-drs会解释"/>
      <w:r>
        <w:rPr>
          <w:rFonts w:ascii="Times New Roman" w:hAnsi="Times New Roman" w:eastAsia="黑体"/>
          <w:b/>
          <w:color w:val="003366"/>
          <w:sz w:val="24"/>
        </w:rPr>
        <w:t xml:space="preserve">6.7.1 </w:t>
      </w:r>
      <w:r>
        <w:rPr>
          <w:rFonts w:hint="eastAsia" w:ascii="Times New Roman" w:hAnsi="Times New Roman" w:eastAsia="黑体"/>
          <w:b/>
          <w:color w:val="003366"/>
          <w:sz w:val="24"/>
        </w:rPr>
        <w:t>RAG架构设计：让5D-DRS“会解释”</w:t>
      </w:r>
    </w:p>
    <w:p w14:paraId="3AD30704">
      <w:pPr>
        <w:pStyle w:val="25"/>
        <w:spacing w:before="40" w:after="40" w:line="360" w:lineRule="auto"/>
        <w:ind w:firstLine="480"/>
      </w:pPr>
      <w:r>
        <w:rPr>
          <w:rFonts w:hint="eastAsia" w:ascii="Times New Roman" w:hAnsi="Times New Roman" w:eastAsia="宋体"/>
          <w:b/>
          <w:bCs/>
          <w:sz w:val="24"/>
        </w:rPr>
        <w:t>（1）技术原理</w:t>
      </w:r>
    </w:p>
    <w:p w14:paraId="4B822BBE">
      <w:pPr>
        <w:pStyle w:val="3"/>
        <w:spacing w:before="40" w:after="40" w:line="360" w:lineRule="auto"/>
        <w:ind w:firstLine="480"/>
      </w:pPr>
      <w:r>
        <w:rPr>
          <w:rFonts w:hint="eastAsia" w:ascii="Times New Roman" w:hAnsi="Times New Roman" w:eastAsia="宋体"/>
          <w:sz w:val="24"/>
        </w:rPr>
        <w:t>RAG（Retrieval-Augmented</w:t>
      </w:r>
      <w:r>
        <w:rPr>
          <w:rFonts w:ascii="Times New Roman" w:hAnsi="Times New Roman" w:eastAsia="宋体"/>
          <w:sz w:val="24"/>
        </w:rPr>
        <w:t xml:space="preserve"> </w:t>
      </w:r>
      <w:r>
        <w:rPr>
          <w:rFonts w:hint="eastAsia" w:ascii="Times New Roman" w:hAnsi="Times New Roman" w:eastAsia="宋体"/>
          <w:sz w:val="24"/>
        </w:rPr>
        <w:t>Generation，检索增强生成）是当前大语言模型（LLM）工程化落地的核心范式之一。其核心思想是：将外部知识库（如法规条文、历史案例、行业基准）与大语言模型的生成能力解耦，在推理阶段动态注入相关知识，从而在不重新训练模型的前提下，显著提升回答的准确性、时效性与可解释性。</w:t>
      </w:r>
    </w:p>
    <w:p w14:paraId="75A65DBC">
      <w:pPr>
        <w:pStyle w:val="3"/>
        <w:spacing w:before="40" w:after="40" w:line="360" w:lineRule="auto"/>
        <w:ind w:firstLine="480"/>
      </w:pPr>
      <w:r>
        <w:rPr>
          <w:rFonts w:hint="eastAsia" w:ascii="Times New Roman" w:hAnsi="Times New Roman" w:eastAsia="宋体"/>
          <w:sz w:val="24"/>
        </w:rPr>
        <w:t>RAG在金融领域的应用已有成熟案例：某投行采用RAG架构构建财报分析助手，将关键数据准确率从纯LLM的58%提升至92%（来源：CSDN技术社区，2026）。</w:t>
      </w:r>
    </w:p>
    <w:p w14:paraId="11A0A718">
      <w:pPr>
        <w:pStyle w:val="3"/>
        <w:spacing w:before="40" w:after="40" w:line="360" w:lineRule="auto"/>
        <w:ind w:firstLine="480"/>
      </w:pPr>
      <w:r>
        <w:rPr>
          <w:rFonts w:hint="eastAsia" w:ascii="Times New Roman" w:hAnsi="Times New Roman" w:eastAsia="宋体"/>
          <w:b/>
          <w:bCs/>
          <w:sz w:val="24"/>
        </w:rPr>
        <w:t>（2）5D-DRS+RAG融合架构</w:t>
      </w:r>
    </w:p>
    <w:p w14:paraId="6A4036CC">
      <w:pPr>
        <w:pStyle w:val="3"/>
        <w:spacing w:before="80" w:after="120" w:line="312" w:lineRule="auto"/>
        <w:ind w:firstLine="0"/>
        <w:jc w:val="center"/>
      </w:pPr>
      <w:r>
        <w:drawing>
          <wp:inline distT="0" distB="0" distL="114300" distR="114300">
            <wp:extent cx="4355465" cy="683958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356000" cy="6840000"/>
                    </a:xfrm>
                    <a:prstGeom prst="rect">
                      <a:avLst/>
                    </a:prstGeom>
                  </pic:spPr>
                </pic:pic>
              </a:graphicData>
            </a:graphic>
          </wp:inline>
        </w:drawing>
      </w:r>
    </w:p>
    <w:p w14:paraId="19FC03F5">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6-1 5D-DRS+RAG </w:t>
      </w:r>
      <w:r>
        <w:rPr>
          <w:rFonts w:hint="eastAsia" w:ascii="Times New Roman" w:hAnsi="Times New Roman" w:eastAsia="宋体"/>
          <w:i w:val="0"/>
          <w:sz w:val="21"/>
        </w:rPr>
        <w:t>融合架构</w:t>
      </w:r>
    </w:p>
    <w:p w14:paraId="5439A49A">
      <w:pPr>
        <w:pStyle w:val="3"/>
        <w:spacing w:before="40" w:after="40" w:line="360" w:lineRule="auto"/>
        <w:ind w:firstLine="480"/>
      </w:pPr>
      <w:r>
        <w:rPr>
          <w:rFonts w:hint="eastAsia" w:ascii="Times New Roman" w:hAnsi="Times New Roman" w:eastAsia="宋体"/>
          <w:b/>
          <w:bCs/>
          <w:sz w:val="24"/>
        </w:rPr>
        <w:t>（3）知识库建设方案</w:t>
      </w:r>
    </w:p>
    <w:tbl>
      <w:tblPr>
        <w:tblStyle w:val="43"/>
        <w:tblW w:w="5000" w:type="pct"/>
        <w:tblInd w:w="0" w:type="dxa"/>
        <w:tblLayout w:type="autofit"/>
        <w:tblCellMar>
          <w:top w:w="0" w:type="dxa"/>
          <w:left w:w="108" w:type="dxa"/>
          <w:bottom w:w="0" w:type="dxa"/>
          <w:right w:w="108" w:type="dxa"/>
        </w:tblCellMar>
      </w:tblPr>
      <w:tblGrid>
        <w:gridCol w:w="1504"/>
        <w:gridCol w:w="3969"/>
        <w:gridCol w:w="1257"/>
        <w:gridCol w:w="2558"/>
      </w:tblGrid>
      <w:tr w14:paraId="0725DD6A">
        <w:trPr>
          <w:cantSplit/>
          <w:tblHeader/>
        </w:trPr>
        <w:tc>
          <w:p w14:paraId="7528E6AB">
            <w:pPr>
              <w:pStyle w:val="26"/>
              <w:spacing w:before="20" w:after="20" w:line="276" w:lineRule="auto"/>
            </w:pPr>
            <w:r>
              <w:rPr>
                <w:rFonts w:hint="eastAsia" w:ascii="Times New Roman" w:hAnsi="Times New Roman" w:eastAsia="宋体"/>
                <w:sz w:val="20"/>
              </w:rPr>
              <w:t>知识库类型</w:t>
            </w:r>
          </w:p>
        </w:tc>
        <w:tc>
          <w:p w14:paraId="0DB92B65">
            <w:pPr>
              <w:pStyle w:val="26"/>
              <w:spacing w:before="20" w:after="20" w:line="276" w:lineRule="auto"/>
            </w:pPr>
            <w:r>
              <w:rPr>
                <w:rFonts w:hint="eastAsia" w:ascii="Times New Roman" w:hAnsi="Times New Roman" w:eastAsia="宋体"/>
                <w:sz w:val="20"/>
              </w:rPr>
              <w:t>内容</w:t>
            </w:r>
          </w:p>
        </w:tc>
        <w:tc>
          <w:p w14:paraId="65C11B07">
            <w:pPr>
              <w:pStyle w:val="26"/>
              <w:spacing w:before="20" w:after="20" w:line="276" w:lineRule="auto"/>
            </w:pPr>
            <w:r>
              <w:rPr>
                <w:rFonts w:hint="eastAsia" w:ascii="Times New Roman" w:hAnsi="Times New Roman" w:eastAsia="宋体"/>
                <w:sz w:val="20"/>
              </w:rPr>
              <w:t>更新频率</w:t>
            </w:r>
          </w:p>
        </w:tc>
        <w:tc>
          <w:p w14:paraId="0816C077">
            <w:pPr>
              <w:pStyle w:val="26"/>
              <w:spacing w:before="20" w:after="20" w:line="276" w:lineRule="auto"/>
            </w:pPr>
            <w:r>
              <w:rPr>
                <w:rFonts w:hint="eastAsia" w:ascii="Times New Roman" w:hAnsi="Times New Roman" w:eastAsia="宋体"/>
                <w:sz w:val="20"/>
              </w:rPr>
              <w:t>数据来源</w:t>
            </w:r>
          </w:p>
        </w:tc>
      </w:tr>
      <w:tr w14:paraId="2D71BF69">
        <w:tblPrEx>
          <w:tblCellMar>
            <w:top w:w="0" w:type="dxa"/>
            <w:left w:w="108" w:type="dxa"/>
            <w:bottom w:w="0" w:type="dxa"/>
            <w:right w:w="108" w:type="dxa"/>
          </w:tblCellMar>
        </w:tblPrEx>
        <w:trPr>
          <w:cantSplit/>
        </w:trPr>
        <w:tc>
          <w:p w14:paraId="37E379F4">
            <w:pPr>
              <w:pStyle w:val="26"/>
              <w:spacing w:before="20" w:after="20" w:line="276" w:lineRule="auto"/>
            </w:pPr>
            <w:r>
              <w:rPr>
                <w:rFonts w:hint="eastAsia" w:ascii="Times New Roman" w:hAnsi="Times New Roman" w:eastAsia="宋体"/>
                <w:sz w:val="20"/>
              </w:rPr>
              <w:t>法规库</w:t>
            </w:r>
          </w:p>
        </w:tc>
        <w:tc>
          <w:p w14:paraId="5BE2517B">
            <w:pPr>
              <w:pStyle w:val="26"/>
              <w:spacing w:before="20" w:after="20" w:line="276" w:lineRule="auto"/>
            </w:pPr>
            <w:r>
              <w:rPr>
                <w:rFonts w:hint="eastAsia" w:ascii="Times New Roman" w:hAnsi="Times New Roman" w:eastAsia="宋体"/>
                <w:sz w:val="20"/>
              </w:rPr>
              <w:t>SEC会计准则、A股会计监管规则</w:t>
            </w:r>
          </w:p>
        </w:tc>
        <w:tc>
          <w:p w14:paraId="553C5D39">
            <w:pPr>
              <w:pStyle w:val="26"/>
              <w:spacing w:before="20" w:after="20" w:line="276" w:lineRule="auto"/>
            </w:pPr>
            <w:r>
              <w:rPr>
                <w:rFonts w:hint="eastAsia" w:ascii="Times New Roman" w:hAnsi="Times New Roman" w:eastAsia="宋体"/>
                <w:sz w:val="20"/>
              </w:rPr>
              <w:t>年度</w:t>
            </w:r>
          </w:p>
        </w:tc>
        <w:tc>
          <w:p w14:paraId="7301EB5B">
            <w:pPr>
              <w:pStyle w:val="26"/>
              <w:spacing w:before="20" w:after="20" w:line="276" w:lineRule="auto"/>
            </w:pPr>
            <w:r>
              <w:rPr>
                <w:rFonts w:hint="eastAsia" w:ascii="Times New Roman" w:hAnsi="Times New Roman" w:eastAsia="宋体"/>
                <w:sz w:val="20"/>
              </w:rPr>
              <w:t>SEC官网、财政部</w:t>
            </w:r>
          </w:p>
        </w:tc>
      </w:tr>
      <w:tr w14:paraId="53910187">
        <w:tblPrEx>
          <w:tblCellMar>
            <w:top w:w="0" w:type="dxa"/>
            <w:left w:w="108" w:type="dxa"/>
            <w:bottom w:w="0" w:type="dxa"/>
            <w:right w:w="108" w:type="dxa"/>
          </w:tblCellMar>
        </w:tblPrEx>
        <w:trPr>
          <w:cantSplit/>
        </w:trPr>
        <w:tc>
          <w:p w14:paraId="232139EA">
            <w:pPr>
              <w:pStyle w:val="26"/>
              <w:spacing w:before="20" w:after="20" w:line="276" w:lineRule="auto"/>
            </w:pPr>
            <w:r>
              <w:rPr>
                <w:rFonts w:hint="eastAsia" w:ascii="Times New Roman" w:hAnsi="Times New Roman" w:eastAsia="宋体"/>
                <w:sz w:val="20"/>
              </w:rPr>
              <w:t>案例库</w:t>
            </w:r>
          </w:p>
        </w:tc>
        <w:tc>
          <w:p w14:paraId="3B1EC783">
            <w:pPr>
              <w:pStyle w:val="26"/>
              <w:spacing w:before="20" w:after="20" w:line="276" w:lineRule="auto"/>
            </w:pPr>
            <w:r>
              <w:rPr>
                <w:rFonts w:hint="eastAsia" w:ascii="Times New Roman" w:hAnsi="Times New Roman" w:eastAsia="宋体"/>
                <w:sz w:val="20"/>
              </w:rPr>
              <w:t>历年折旧操纵/减值事件</w:t>
            </w:r>
          </w:p>
        </w:tc>
        <w:tc>
          <w:p w14:paraId="1FC38D26">
            <w:pPr>
              <w:pStyle w:val="26"/>
              <w:spacing w:before="20" w:after="20" w:line="276" w:lineRule="auto"/>
            </w:pPr>
            <w:r>
              <w:rPr>
                <w:rFonts w:hint="eastAsia" w:ascii="Times New Roman" w:hAnsi="Times New Roman" w:eastAsia="宋体"/>
                <w:sz w:val="20"/>
              </w:rPr>
              <w:t>季度</w:t>
            </w:r>
          </w:p>
        </w:tc>
        <w:tc>
          <w:p w14:paraId="5A9A181C">
            <w:pPr>
              <w:pStyle w:val="26"/>
              <w:spacing w:before="20" w:after="20" w:line="276" w:lineRule="auto"/>
            </w:pPr>
            <w:r>
              <w:rPr>
                <w:rFonts w:hint="eastAsia" w:ascii="Times New Roman" w:hAnsi="Times New Roman" w:eastAsia="宋体"/>
                <w:sz w:val="20"/>
              </w:rPr>
              <w:t>10-K披露、新闻报道</w:t>
            </w:r>
          </w:p>
        </w:tc>
      </w:tr>
      <w:tr w14:paraId="5EECA24C">
        <w:tblPrEx>
          <w:tblCellMar>
            <w:top w:w="0" w:type="dxa"/>
            <w:left w:w="108" w:type="dxa"/>
            <w:bottom w:w="0" w:type="dxa"/>
            <w:right w:w="108" w:type="dxa"/>
          </w:tblCellMar>
        </w:tblPrEx>
        <w:trPr>
          <w:cantSplit/>
        </w:trPr>
        <w:tc>
          <w:p w14:paraId="172124B3">
            <w:pPr>
              <w:pStyle w:val="26"/>
              <w:spacing w:before="20" w:after="20" w:line="276" w:lineRule="auto"/>
            </w:pPr>
            <w:r>
              <w:rPr>
                <w:rFonts w:hint="eastAsia" w:ascii="Times New Roman" w:hAnsi="Times New Roman" w:eastAsia="宋体"/>
                <w:sz w:val="20"/>
              </w:rPr>
              <w:t>基准库</w:t>
            </w:r>
          </w:p>
        </w:tc>
        <w:tc>
          <w:p w14:paraId="203B25A3">
            <w:pPr>
              <w:pStyle w:val="26"/>
              <w:spacing w:before="20" w:after="20" w:line="276" w:lineRule="auto"/>
            </w:pPr>
            <w:r>
              <w:rPr>
                <w:rFonts w:hint="eastAsia" w:ascii="Times New Roman" w:hAnsi="Times New Roman" w:eastAsia="宋体"/>
                <w:sz w:val="20"/>
              </w:rPr>
              <w:t>各行业平均折旧年限、残值率</w:t>
            </w:r>
          </w:p>
        </w:tc>
        <w:tc>
          <w:p w14:paraId="7DC830C8">
            <w:pPr>
              <w:pStyle w:val="26"/>
              <w:spacing w:before="20" w:after="20" w:line="276" w:lineRule="auto"/>
            </w:pPr>
            <w:r>
              <w:rPr>
                <w:rFonts w:hint="eastAsia" w:ascii="Times New Roman" w:hAnsi="Times New Roman" w:eastAsia="宋体"/>
                <w:sz w:val="20"/>
              </w:rPr>
              <w:t>年度</w:t>
            </w:r>
          </w:p>
        </w:tc>
        <w:tc>
          <w:p w14:paraId="72559EC2">
            <w:pPr>
              <w:pStyle w:val="26"/>
              <w:spacing w:before="20" w:after="20" w:line="276" w:lineRule="auto"/>
            </w:pPr>
            <w:r>
              <w:rPr>
                <w:rFonts w:ascii="Times New Roman" w:hAnsi="Times New Roman" w:eastAsia="宋体"/>
                <w:sz w:val="20"/>
              </w:rPr>
              <w:t>Compustat、Wind</w:t>
            </w:r>
          </w:p>
        </w:tc>
      </w:tr>
      <w:tr w14:paraId="7DF61A4C">
        <w:tblPrEx>
          <w:tblCellMar>
            <w:top w:w="0" w:type="dxa"/>
            <w:left w:w="108" w:type="dxa"/>
            <w:bottom w:w="0" w:type="dxa"/>
            <w:right w:w="108" w:type="dxa"/>
          </w:tblCellMar>
        </w:tblPrEx>
        <w:trPr>
          <w:cantSplit/>
        </w:trPr>
        <w:tc>
          <w:p w14:paraId="6A44B7C1">
            <w:pPr>
              <w:pStyle w:val="26"/>
              <w:spacing w:before="20" w:after="20" w:line="276" w:lineRule="auto"/>
            </w:pPr>
            <w:r>
              <w:rPr>
                <w:rFonts w:hint="eastAsia" w:ascii="Times New Roman" w:hAnsi="Times New Roman" w:eastAsia="宋体"/>
                <w:sz w:val="20"/>
              </w:rPr>
              <w:t>研报库</w:t>
            </w:r>
          </w:p>
        </w:tc>
        <w:tc>
          <w:p w14:paraId="6C7934BC">
            <w:pPr>
              <w:pStyle w:val="26"/>
              <w:spacing w:before="20" w:after="20" w:line="276" w:lineRule="auto"/>
            </w:pPr>
            <w:r>
              <w:rPr>
                <w:rFonts w:hint="eastAsia" w:ascii="Times New Roman" w:hAnsi="Times New Roman" w:eastAsia="宋体"/>
                <w:sz w:val="20"/>
              </w:rPr>
              <w:t>分析师对折旧政策的点评</w:t>
            </w:r>
          </w:p>
        </w:tc>
        <w:tc>
          <w:p w14:paraId="29696294">
            <w:pPr>
              <w:pStyle w:val="26"/>
              <w:spacing w:before="20" w:after="20" w:line="276" w:lineRule="auto"/>
            </w:pPr>
            <w:r>
              <w:rPr>
                <w:rFonts w:hint="eastAsia" w:ascii="Times New Roman" w:hAnsi="Times New Roman" w:eastAsia="宋体"/>
                <w:sz w:val="20"/>
              </w:rPr>
              <w:t>月度</w:t>
            </w:r>
          </w:p>
        </w:tc>
        <w:tc>
          <w:p w14:paraId="462ED924">
            <w:pPr>
              <w:pStyle w:val="26"/>
              <w:spacing w:before="20" w:after="20" w:line="276" w:lineRule="auto"/>
            </w:pPr>
            <w:r>
              <w:rPr>
                <w:rFonts w:ascii="Times New Roman" w:hAnsi="Times New Roman" w:eastAsia="宋体"/>
                <w:sz w:val="20"/>
              </w:rPr>
              <w:t>Bloomberg、FactSet</w:t>
            </w:r>
          </w:p>
        </w:tc>
      </w:tr>
    </w:tbl>
    <w:p w14:paraId="5D6F692F">
      <w:pPr>
        <w:pStyle w:val="3"/>
        <w:spacing w:before="40" w:after="40" w:line="360" w:lineRule="auto"/>
        <w:ind w:firstLine="480"/>
      </w:pPr>
      <w:r>
        <w:rPr>
          <w:rFonts w:hint="eastAsia" w:ascii="Times New Roman" w:hAnsi="Times New Roman" w:eastAsia="宋体"/>
          <w:b/>
          <w:bCs/>
          <w:sz w:val="24"/>
        </w:rPr>
        <w:t>（4）技术选型（概念设计）</w:t>
      </w:r>
    </w:p>
    <w:tbl>
      <w:tblPr>
        <w:tblStyle w:val="43"/>
        <w:tblW w:w="5000" w:type="pct"/>
        <w:tblInd w:w="0" w:type="dxa"/>
        <w:tblLayout w:type="fixed"/>
        <w:tblCellMar>
          <w:top w:w="0" w:type="dxa"/>
          <w:left w:w="108" w:type="dxa"/>
          <w:bottom w:w="0" w:type="dxa"/>
          <w:right w:w="108" w:type="dxa"/>
        </w:tblCellMar>
      </w:tblPr>
      <w:tblGrid>
        <w:gridCol w:w="2653"/>
        <w:gridCol w:w="3981"/>
        <w:gridCol w:w="2653"/>
      </w:tblGrid>
      <w:tr w14:paraId="5F81C723">
        <w:tblPrEx>
          <w:tblCellMar>
            <w:top w:w="0" w:type="dxa"/>
            <w:left w:w="108" w:type="dxa"/>
            <w:bottom w:w="0" w:type="dxa"/>
            <w:right w:w="108" w:type="dxa"/>
          </w:tblCellMar>
        </w:tblPrEx>
        <w:trPr>
          <w:cantSplit/>
          <w:tblHeader/>
        </w:trPr>
        <w:tc>
          <w:p w14:paraId="23E0417C">
            <w:pPr>
              <w:pStyle w:val="26"/>
              <w:spacing w:before="20" w:after="20" w:line="276" w:lineRule="auto"/>
            </w:pPr>
            <w:r>
              <w:rPr>
                <w:rFonts w:hint="eastAsia" w:ascii="Times New Roman" w:hAnsi="Times New Roman" w:eastAsia="宋体"/>
                <w:sz w:val="20"/>
              </w:rPr>
              <w:t>组件</w:t>
            </w:r>
          </w:p>
        </w:tc>
        <w:tc>
          <w:p w14:paraId="00B4FEC6">
            <w:pPr>
              <w:pStyle w:val="26"/>
              <w:spacing w:before="20" w:after="20" w:line="276" w:lineRule="auto"/>
            </w:pPr>
            <w:r>
              <w:rPr>
                <w:rFonts w:hint="eastAsia" w:ascii="Times New Roman" w:hAnsi="Times New Roman" w:eastAsia="宋体"/>
                <w:sz w:val="20"/>
              </w:rPr>
              <w:t>推荐方案</w:t>
            </w:r>
          </w:p>
        </w:tc>
        <w:tc>
          <w:p w14:paraId="5110F2B6">
            <w:pPr>
              <w:pStyle w:val="26"/>
              <w:spacing w:before="20" w:after="20" w:line="276" w:lineRule="auto"/>
            </w:pPr>
            <w:r>
              <w:rPr>
                <w:rFonts w:hint="eastAsia" w:ascii="Times New Roman" w:hAnsi="Times New Roman" w:eastAsia="宋体"/>
                <w:sz w:val="20"/>
              </w:rPr>
              <w:t>理由</w:t>
            </w:r>
          </w:p>
        </w:tc>
      </w:tr>
      <w:tr w14:paraId="560FBA83">
        <w:tblPrEx>
          <w:tblCellMar>
            <w:top w:w="0" w:type="dxa"/>
            <w:left w:w="108" w:type="dxa"/>
            <w:bottom w:w="0" w:type="dxa"/>
            <w:right w:w="108" w:type="dxa"/>
          </w:tblCellMar>
        </w:tblPrEx>
        <w:trPr>
          <w:cantSplit/>
        </w:trPr>
        <w:tc>
          <w:p w14:paraId="1646DA83">
            <w:pPr>
              <w:pStyle w:val="26"/>
              <w:spacing w:before="20" w:after="20" w:line="276" w:lineRule="auto"/>
            </w:pPr>
            <w:r>
              <w:rPr>
                <w:rFonts w:hint="eastAsia" w:ascii="Times New Roman" w:hAnsi="Times New Roman" w:eastAsia="宋体"/>
                <w:sz w:val="20"/>
              </w:rPr>
              <w:t>嵌入模型</w:t>
            </w:r>
          </w:p>
        </w:tc>
        <w:tc>
          <w:p w14:paraId="1165265F">
            <w:pPr>
              <w:pStyle w:val="26"/>
              <w:spacing w:before="20" w:after="20" w:line="276" w:lineRule="auto"/>
            </w:pPr>
            <w:r>
              <w:rPr>
                <w:rFonts w:hint="eastAsia" w:ascii="Times New Roman" w:hAnsi="Times New Roman" w:eastAsia="宋体"/>
                <w:sz w:val="20"/>
              </w:rPr>
              <w:t>BGE-M3或text2vec-large-ch</w:t>
            </w:r>
          </w:p>
        </w:tc>
        <w:tc>
          <w:p w14:paraId="0EB98CD8">
            <w:pPr>
              <w:pStyle w:val="26"/>
              <w:spacing w:before="20" w:after="20" w:line="276" w:lineRule="auto"/>
            </w:pPr>
            <w:r>
              <w:rPr>
                <w:rFonts w:hint="eastAsia" w:ascii="Times New Roman" w:hAnsi="Times New Roman" w:eastAsia="宋体"/>
                <w:sz w:val="20"/>
              </w:rPr>
              <w:t>中文/英文双语支持，金融场景表现优异</w:t>
            </w:r>
          </w:p>
        </w:tc>
      </w:tr>
      <w:tr w14:paraId="13377619">
        <w:tblPrEx>
          <w:tblCellMar>
            <w:top w:w="0" w:type="dxa"/>
            <w:left w:w="108" w:type="dxa"/>
            <w:bottom w:w="0" w:type="dxa"/>
            <w:right w:w="108" w:type="dxa"/>
          </w:tblCellMar>
        </w:tblPrEx>
        <w:trPr>
          <w:cantSplit/>
        </w:trPr>
        <w:tc>
          <w:p w14:paraId="6230027F">
            <w:pPr>
              <w:pStyle w:val="26"/>
              <w:spacing w:before="20" w:after="20" w:line="276" w:lineRule="auto"/>
            </w:pPr>
            <w:r>
              <w:rPr>
                <w:rFonts w:hint="eastAsia" w:ascii="Times New Roman" w:hAnsi="Times New Roman" w:eastAsia="宋体"/>
                <w:sz w:val="20"/>
              </w:rPr>
              <w:t>向量数据库</w:t>
            </w:r>
          </w:p>
        </w:tc>
        <w:tc>
          <w:p w14:paraId="132BF3D1">
            <w:pPr>
              <w:pStyle w:val="26"/>
              <w:spacing w:before="20" w:after="20" w:line="276" w:lineRule="auto"/>
            </w:pPr>
            <w:r>
              <w:rPr>
                <w:rFonts w:hint="eastAsia" w:ascii="Times New Roman" w:hAnsi="Times New Roman" w:eastAsia="宋体"/>
                <w:sz w:val="20"/>
              </w:rPr>
              <w:t>Chroma或Qdrant</w:t>
            </w:r>
          </w:p>
        </w:tc>
        <w:tc>
          <w:p w14:paraId="360CBEE1">
            <w:pPr>
              <w:pStyle w:val="26"/>
              <w:spacing w:before="20" w:after="20" w:line="276" w:lineRule="auto"/>
            </w:pPr>
            <w:r>
              <w:rPr>
                <w:rFonts w:hint="eastAsia" w:ascii="Times New Roman" w:hAnsi="Times New Roman" w:eastAsia="宋体"/>
                <w:sz w:val="20"/>
              </w:rPr>
              <w:t>开源、轻量、支持元数据过滤</w:t>
            </w:r>
          </w:p>
        </w:tc>
      </w:tr>
      <w:tr w14:paraId="052947AC">
        <w:tblPrEx>
          <w:tblCellMar>
            <w:top w:w="0" w:type="dxa"/>
            <w:left w:w="108" w:type="dxa"/>
            <w:bottom w:w="0" w:type="dxa"/>
            <w:right w:w="108" w:type="dxa"/>
          </w:tblCellMar>
        </w:tblPrEx>
        <w:trPr>
          <w:cantSplit/>
        </w:trPr>
        <w:tc>
          <w:p w14:paraId="7619EF3E">
            <w:pPr>
              <w:pStyle w:val="26"/>
              <w:spacing w:before="20" w:after="20" w:line="276" w:lineRule="auto"/>
            </w:pPr>
            <w:r>
              <w:rPr>
                <w:rFonts w:hint="eastAsia" w:ascii="Times New Roman" w:hAnsi="Times New Roman" w:eastAsia="宋体"/>
                <w:sz w:val="20"/>
              </w:rPr>
              <w:t>重排序器</w:t>
            </w:r>
          </w:p>
        </w:tc>
        <w:tc>
          <w:p w14:paraId="675EA45A">
            <w:pPr>
              <w:pStyle w:val="26"/>
              <w:spacing w:before="20" w:after="20" w:line="276" w:lineRule="auto"/>
            </w:pPr>
            <w:r>
              <w:rPr>
                <w:rFonts w:ascii="Times New Roman" w:hAnsi="Times New Roman" w:eastAsia="宋体"/>
                <w:sz w:val="20"/>
              </w:rPr>
              <w:t>bge-reranker-v2-m3</w:t>
            </w:r>
          </w:p>
        </w:tc>
        <w:tc>
          <w:p w14:paraId="1BA2D776">
            <w:pPr>
              <w:pStyle w:val="26"/>
              <w:spacing w:before="20" w:after="20" w:line="276" w:lineRule="auto"/>
            </w:pPr>
            <w:r>
              <w:rPr>
                <w:rFonts w:hint="eastAsia" w:ascii="Times New Roman" w:hAnsi="Times New Roman" w:eastAsia="宋体"/>
                <w:sz w:val="20"/>
              </w:rPr>
              <w:t>交叉编码器，精度高</w:t>
            </w:r>
          </w:p>
        </w:tc>
      </w:tr>
      <w:tr w14:paraId="6705D229">
        <w:tblPrEx>
          <w:tblCellMar>
            <w:top w:w="0" w:type="dxa"/>
            <w:left w:w="108" w:type="dxa"/>
            <w:bottom w:w="0" w:type="dxa"/>
            <w:right w:w="108" w:type="dxa"/>
          </w:tblCellMar>
        </w:tblPrEx>
        <w:trPr>
          <w:cantSplit/>
        </w:trPr>
        <w:tc>
          <w:p w14:paraId="66EF7C6C">
            <w:pPr>
              <w:pStyle w:val="26"/>
              <w:spacing w:before="20" w:after="20" w:line="276" w:lineRule="auto"/>
            </w:pPr>
            <w:r>
              <w:rPr>
                <w:rFonts w:ascii="Times New Roman" w:hAnsi="Times New Roman" w:eastAsia="宋体"/>
                <w:sz w:val="20"/>
              </w:rPr>
              <w:t>LLM</w:t>
            </w:r>
          </w:p>
        </w:tc>
        <w:tc>
          <w:p w14:paraId="0CF1D9D8">
            <w:pPr>
              <w:pStyle w:val="26"/>
              <w:spacing w:before="20" w:after="20" w:line="276" w:lineRule="auto"/>
            </w:pPr>
            <w:r>
              <w:rPr>
                <w:rFonts w:hint="eastAsia" w:ascii="Times New Roman" w:hAnsi="Times New Roman" w:eastAsia="宋体"/>
                <w:sz w:val="20"/>
              </w:rPr>
              <w:t>Qwen2.5-7B或DeepSeek-V2</w:t>
            </w:r>
          </w:p>
        </w:tc>
        <w:tc>
          <w:p w14:paraId="4CFCB0A1">
            <w:pPr>
              <w:pStyle w:val="26"/>
              <w:spacing w:before="20" w:after="20" w:line="276" w:lineRule="auto"/>
            </w:pPr>
            <w:r>
              <w:rPr>
                <w:rFonts w:hint="eastAsia" w:ascii="Times New Roman" w:hAnsi="Times New Roman" w:eastAsia="宋体"/>
                <w:sz w:val="20"/>
              </w:rPr>
              <w:t>中文推理能力强，可本地部署</w:t>
            </w:r>
          </w:p>
        </w:tc>
      </w:tr>
      <w:tr w14:paraId="74B390F5">
        <w:tblPrEx>
          <w:tblCellMar>
            <w:top w:w="0" w:type="dxa"/>
            <w:left w:w="108" w:type="dxa"/>
            <w:bottom w:w="0" w:type="dxa"/>
            <w:right w:w="108" w:type="dxa"/>
          </w:tblCellMar>
        </w:tblPrEx>
        <w:trPr>
          <w:cantSplit/>
        </w:trPr>
        <w:tc>
          <w:p w14:paraId="7B9F4BEA">
            <w:pPr>
              <w:pStyle w:val="26"/>
              <w:spacing w:before="20" w:after="20" w:line="276" w:lineRule="auto"/>
            </w:pPr>
            <w:r>
              <w:rPr>
                <w:rFonts w:hint="eastAsia" w:ascii="Times New Roman" w:hAnsi="Times New Roman" w:eastAsia="宋体"/>
                <w:sz w:val="20"/>
              </w:rPr>
              <w:t>框架</w:t>
            </w:r>
          </w:p>
        </w:tc>
        <w:tc>
          <w:p w14:paraId="219FBF89">
            <w:pPr>
              <w:pStyle w:val="26"/>
              <w:spacing w:before="20" w:after="20" w:line="276" w:lineRule="auto"/>
            </w:pPr>
            <w:r>
              <w:rPr>
                <w:rFonts w:hint="eastAsia" w:ascii="Times New Roman" w:hAnsi="Times New Roman" w:eastAsia="宋体"/>
                <w:sz w:val="20"/>
              </w:rPr>
              <w:t>LangChain或LlamaIndex</w:t>
            </w:r>
          </w:p>
        </w:tc>
        <w:tc>
          <w:p w14:paraId="3208F339">
            <w:pPr>
              <w:pStyle w:val="26"/>
              <w:spacing w:before="20" w:after="20" w:line="276" w:lineRule="auto"/>
            </w:pPr>
            <w:r>
              <w:rPr>
                <w:rFonts w:hint="eastAsia" w:ascii="Times New Roman" w:hAnsi="Times New Roman" w:eastAsia="宋体"/>
                <w:sz w:val="20"/>
              </w:rPr>
              <w:t>生态成熟，RAG组件封装完善</w:t>
            </w:r>
          </w:p>
        </w:tc>
      </w:tr>
      <w:bookmarkEnd w:id="144"/>
    </w:tbl>
    <w:p w14:paraId="2ABF12C0">
      <w:pPr>
        <w:pStyle w:val="5"/>
        <w:spacing w:before="240" w:after="120" w:line="360" w:lineRule="auto"/>
      </w:pPr>
      <w:bookmarkStart w:id="145" w:name="finbert应用方案让5d-drs会阅读"/>
      <w:r>
        <w:rPr>
          <w:rFonts w:ascii="Times New Roman" w:hAnsi="Times New Roman" w:eastAsia="黑体"/>
          <w:b/>
          <w:color w:val="003366"/>
          <w:sz w:val="24"/>
        </w:rPr>
        <w:t xml:space="preserve">6.7.2 </w:t>
      </w:r>
      <w:r>
        <w:rPr>
          <w:rFonts w:hint="eastAsia" w:ascii="Times New Roman" w:hAnsi="Times New Roman" w:eastAsia="黑体"/>
          <w:b/>
          <w:color w:val="003366"/>
          <w:sz w:val="24"/>
        </w:rPr>
        <w:t>FinBERT应用方案：让5D-DRS“会阅读”</w:t>
      </w:r>
    </w:p>
    <w:p w14:paraId="0856591D">
      <w:pPr>
        <w:pStyle w:val="25"/>
        <w:spacing w:before="40" w:after="40" w:line="360" w:lineRule="auto"/>
        <w:ind w:firstLine="480"/>
      </w:pPr>
      <w:r>
        <w:rPr>
          <w:rFonts w:hint="eastAsia" w:ascii="Times New Roman" w:hAnsi="Times New Roman" w:eastAsia="宋体"/>
          <w:b/>
          <w:bCs/>
          <w:sz w:val="24"/>
        </w:rPr>
        <w:t>（1）技术原理</w:t>
      </w:r>
    </w:p>
    <w:p w14:paraId="6DA0F0A1">
      <w:pPr>
        <w:pStyle w:val="3"/>
        <w:spacing w:before="40" w:after="40" w:line="360" w:lineRule="auto"/>
        <w:ind w:firstLine="480"/>
      </w:pPr>
      <w:r>
        <w:rPr>
          <w:rFonts w:hint="eastAsia" w:ascii="Times New Roman" w:hAnsi="Times New Roman" w:eastAsia="宋体"/>
          <w:sz w:val="24"/>
        </w:rPr>
        <w:t>FinBERT是BERT模型在金融领域的微调版本，通过在金融文本（财报、新闻、分析师报告）上继续预训练，使其更好地理解金融术语和语义。与通用BERT相比，FinBERT在情感分析、风险识别等金融NLP任务上的准确率提升15-25%（来源：GitHub</w:t>
      </w:r>
      <w:r>
        <w:rPr>
          <w:rFonts w:ascii="Times New Roman" w:hAnsi="Times New Roman" w:eastAsia="宋体"/>
          <w:sz w:val="24"/>
        </w:rPr>
        <w:t xml:space="preserve"> </w:t>
      </w:r>
      <w:r>
        <w:rPr>
          <w:rFonts w:hint="eastAsia" w:ascii="Times New Roman" w:hAnsi="Times New Roman" w:eastAsia="宋体"/>
          <w:sz w:val="24"/>
        </w:rPr>
        <w:t>FinBERT项目，2025）。</w:t>
      </w:r>
    </w:p>
    <w:p w14:paraId="24CE2178">
      <w:pPr>
        <w:pStyle w:val="3"/>
        <w:spacing w:before="40" w:after="40" w:line="360" w:lineRule="auto"/>
        <w:ind w:firstLine="480"/>
      </w:pPr>
      <w:r>
        <w:rPr>
          <w:rFonts w:hint="eastAsia" w:ascii="Times New Roman" w:hAnsi="Times New Roman" w:eastAsia="宋体"/>
          <w:b/>
          <w:bCs/>
          <w:sz w:val="24"/>
        </w:rPr>
        <w:t>（2）应用场景设计</w:t>
      </w:r>
    </w:p>
    <w:p w14:paraId="4CD5614A">
      <w:pPr>
        <w:pStyle w:val="3"/>
        <w:spacing w:before="40" w:after="40" w:line="360" w:lineRule="auto"/>
        <w:ind w:firstLine="480"/>
      </w:pPr>
      <w:r>
        <w:rPr>
          <w:rFonts w:hint="eastAsia" w:ascii="Times New Roman" w:hAnsi="Times New Roman" w:eastAsia="宋体"/>
          <w:b/>
          <w:bCs/>
          <w:sz w:val="24"/>
        </w:rPr>
        <w:t>场景一：10-K文本风险信号提取</w:t>
      </w:r>
    </w:p>
    <w:p w14:paraId="0F1CA047">
      <w:pPr>
        <w:pStyle w:val="3"/>
        <w:spacing w:before="40" w:after="40" w:line="360" w:lineRule="auto"/>
        <w:ind w:firstLine="480"/>
      </w:pPr>
      <w:r>
        <w:rPr>
          <w:rFonts w:hint="eastAsia" w:ascii="Times New Roman" w:hAnsi="Times New Roman" w:eastAsia="宋体"/>
          <w:sz w:val="24"/>
        </w:rPr>
        <w:t>传统5D-DRS依赖结构化数据（折旧年限、资产原值等），但管理层在MD&amp;A（管理层讨论与分析）中对折旧政策的解释同样蕴含风险信号。FinBERT可对以下文本进行语义分析：</w:t>
      </w:r>
    </w:p>
    <w:p w14:paraId="64308C2F">
      <w:pPr>
        <w:pStyle w:val="3"/>
        <w:spacing w:before="40" w:after="40" w:line="360" w:lineRule="auto"/>
        <w:ind w:firstLine="480"/>
      </w:pPr>
      <w:r>
        <w:rPr>
          <w:rFonts w:hint="eastAsia" w:ascii="Times New Roman" w:hAnsi="Times New Roman" w:eastAsia="宋体"/>
          <w:sz w:val="24"/>
        </w:rPr>
        <w:t>输入文本（来自</w:t>
      </w:r>
      <w:r>
        <w:rPr>
          <w:rFonts w:ascii="Times New Roman" w:hAnsi="Times New Roman" w:eastAsia="宋体"/>
          <w:sz w:val="24"/>
        </w:rPr>
        <w:t xml:space="preserve"> Meta 2024 10-K </w:t>
      </w:r>
      <w:r>
        <w:rPr>
          <w:rFonts w:hint="eastAsia" w:ascii="Times New Roman" w:hAnsi="Times New Roman" w:eastAsia="宋体"/>
          <w:sz w:val="24"/>
        </w:rPr>
        <w:t>MD&amp;A）：“We</w:t>
      </w:r>
      <w:r>
        <w:rPr>
          <w:rFonts w:ascii="Times New Roman" w:hAnsi="Times New Roman" w:eastAsia="宋体"/>
          <w:sz w:val="24"/>
        </w:rPr>
        <w:t xml:space="preserve"> have extended the useful life of our servers from four to five years... This change is expected to reduce depreciation expense by approximately $2.9 billion...”</w:t>
      </w:r>
    </w:p>
    <w:p w14:paraId="77942C31">
      <w:pPr>
        <w:pStyle w:val="3"/>
        <w:spacing w:before="40" w:after="40" w:line="360" w:lineRule="auto"/>
        <w:ind w:firstLine="480"/>
      </w:pPr>
      <w:r>
        <w:rPr>
          <w:rFonts w:ascii="Times New Roman" w:hAnsi="Times New Roman" w:eastAsia="宋体"/>
          <w:sz w:val="24"/>
        </w:rPr>
        <w:t xml:space="preserve">FinBERT </w:t>
      </w:r>
      <w:r>
        <w:rPr>
          <w:rFonts w:hint="eastAsia" w:ascii="Times New Roman" w:hAnsi="Times New Roman" w:eastAsia="宋体"/>
          <w:sz w:val="24"/>
        </w:rPr>
        <w:t>输出示例：</w:t>
      </w:r>
    </w:p>
    <w:tbl>
      <w:tblPr>
        <w:tblStyle w:val="43"/>
        <w:tblW w:w="5000" w:type="pct"/>
        <w:tblInd w:w="0" w:type="dxa"/>
        <w:tblLayout w:type="autofit"/>
        <w:tblCellMar>
          <w:top w:w="0" w:type="dxa"/>
          <w:left w:w="108" w:type="dxa"/>
          <w:bottom w:w="0" w:type="dxa"/>
          <w:right w:w="108" w:type="dxa"/>
        </w:tblCellMar>
      </w:tblPr>
      <w:tblGrid>
        <w:gridCol w:w="2526"/>
        <w:gridCol w:w="6762"/>
      </w:tblGrid>
      <w:tr w14:paraId="591A0AD9">
        <w:tblPrEx>
          <w:tblCellMar>
            <w:top w:w="0" w:type="dxa"/>
            <w:left w:w="108" w:type="dxa"/>
            <w:bottom w:w="0" w:type="dxa"/>
            <w:right w:w="108" w:type="dxa"/>
          </w:tblCellMar>
        </w:tblPrEx>
        <w:trPr>
          <w:cantSplit/>
          <w:tblHeader/>
        </w:trPr>
        <w:tc>
          <w:p w14:paraId="3066BFB9">
            <w:pPr>
              <w:pStyle w:val="26"/>
              <w:spacing w:before="20" w:after="20" w:line="276" w:lineRule="auto"/>
            </w:pPr>
            <w:r>
              <w:rPr>
                <w:rFonts w:hint="eastAsia" w:ascii="Times New Roman" w:hAnsi="Times New Roman" w:eastAsia="宋体"/>
                <w:sz w:val="20"/>
              </w:rPr>
              <w:t>输出项</w:t>
            </w:r>
          </w:p>
        </w:tc>
        <w:tc>
          <w:p w14:paraId="6CCC675A">
            <w:pPr>
              <w:pStyle w:val="26"/>
              <w:spacing w:before="20" w:after="20" w:line="276" w:lineRule="auto"/>
            </w:pPr>
            <w:r>
              <w:rPr>
                <w:rFonts w:hint="eastAsia" w:ascii="Times New Roman" w:hAnsi="Times New Roman" w:eastAsia="宋体"/>
                <w:sz w:val="20"/>
              </w:rPr>
              <w:t>结果</w:t>
            </w:r>
          </w:p>
        </w:tc>
      </w:tr>
      <w:tr w14:paraId="6D1D9181">
        <w:tblPrEx>
          <w:tblCellMar>
            <w:top w:w="0" w:type="dxa"/>
            <w:left w:w="108" w:type="dxa"/>
            <w:bottom w:w="0" w:type="dxa"/>
            <w:right w:w="108" w:type="dxa"/>
          </w:tblCellMar>
        </w:tblPrEx>
        <w:trPr>
          <w:cantSplit/>
        </w:trPr>
        <w:tc>
          <w:p w14:paraId="20872B9F">
            <w:pPr>
              <w:pStyle w:val="26"/>
              <w:spacing w:before="20" w:after="20" w:line="276" w:lineRule="auto"/>
            </w:pPr>
            <w:r>
              <w:rPr>
                <w:rFonts w:hint="eastAsia" w:ascii="Times New Roman" w:hAnsi="Times New Roman" w:eastAsia="宋体"/>
                <w:sz w:val="20"/>
              </w:rPr>
              <w:t>情感倾向</w:t>
            </w:r>
          </w:p>
        </w:tc>
        <w:tc>
          <w:p w14:paraId="0DA1E39A">
            <w:pPr>
              <w:pStyle w:val="26"/>
              <w:spacing w:before="20" w:after="20" w:line="276" w:lineRule="auto"/>
            </w:pPr>
            <w:r>
              <w:rPr>
                <w:rFonts w:hint="eastAsia" w:ascii="Times New Roman" w:hAnsi="Times New Roman" w:eastAsia="宋体"/>
                <w:sz w:val="20"/>
              </w:rPr>
              <w:t>中性偏消极（0.35</w:t>
            </w:r>
            <w:r>
              <w:rPr>
                <w:rFonts w:ascii="Times New Roman" w:hAnsi="Times New Roman" w:eastAsia="宋体"/>
                <w:sz w:val="20"/>
              </w:rPr>
              <w:t xml:space="preserve"> </w:t>
            </w:r>
            <w:r>
              <w:rPr>
                <w:rFonts w:hint="eastAsia" w:ascii="Times New Roman" w:hAnsi="Times New Roman" w:eastAsia="宋体"/>
                <w:sz w:val="20"/>
              </w:rPr>
              <w:t>积极</w:t>
            </w:r>
            <w:r>
              <w:rPr>
                <w:rFonts w:ascii="Times New Roman" w:hAnsi="Times New Roman" w:eastAsia="宋体"/>
                <w:sz w:val="20"/>
              </w:rPr>
              <w:t xml:space="preserve"> / 0.55 </w:t>
            </w:r>
            <w:r>
              <w:rPr>
                <w:rFonts w:hint="eastAsia" w:ascii="Times New Roman" w:hAnsi="Times New Roman" w:eastAsia="宋体"/>
                <w:sz w:val="20"/>
              </w:rPr>
              <w:t>消极</w:t>
            </w:r>
            <w:r>
              <w:rPr>
                <w:rFonts w:ascii="Times New Roman" w:hAnsi="Times New Roman" w:eastAsia="宋体"/>
                <w:sz w:val="20"/>
              </w:rPr>
              <w:t xml:space="preserve"> / 0.10 </w:t>
            </w:r>
            <w:r>
              <w:rPr>
                <w:rFonts w:hint="eastAsia" w:ascii="Times New Roman" w:hAnsi="Times New Roman" w:eastAsia="宋体"/>
                <w:sz w:val="20"/>
              </w:rPr>
              <w:t>中性）</w:t>
            </w:r>
          </w:p>
        </w:tc>
      </w:tr>
      <w:tr w14:paraId="644FFA76">
        <w:tblPrEx>
          <w:tblCellMar>
            <w:top w:w="0" w:type="dxa"/>
            <w:left w:w="108" w:type="dxa"/>
            <w:bottom w:w="0" w:type="dxa"/>
            <w:right w:w="108" w:type="dxa"/>
          </w:tblCellMar>
        </w:tblPrEx>
        <w:trPr>
          <w:cantSplit/>
        </w:trPr>
        <w:tc>
          <w:p w14:paraId="71F56DF5">
            <w:pPr>
              <w:pStyle w:val="26"/>
              <w:spacing w:before="20" w:after="20" w:line="276" w:lineRule="auto"/>
            </w:pPr>
            <w:r>
              <w:rPr>
                <w:rFonts w:hint="eastAsia" w:ascii="Times New Roman" w:hAnsi="Times New Roman" w:eastAsia="宋体"/>
                <w:sz w:val="20"/>
              </w:rPr>
              <w:t>风险标签</w:t>
            </w:r>
          </w:p>
        </w:tc>
        <w:tc>
          <w:p w14:paraId="51CC68BA">
            <w:pPr>
              <w:pStyle w:val="26"/>
              <w:spacing w:before="20" w:after="20" w:line="276" w:lineRule="auto"/>
            </w:pPr>
            <w:r>
              <w:rPr>
                <w:rFonts w:hint="eastAsia" w:ascii="Times New Roman" w:hAnsi="Times New Roman" w:eastAsia="宋体"/>
                <w:sz w:val="20"/>
              </w:rPr>
              <w:t>折旧年限延长；利润释放；会计估计变更</w:t>
            </w:r>
          </w:p>
        </w:tc>
      </w:tr>
      <w:tr w14:paraId="17E05A33">
        <w:tblPrEx>
          <w:tblCellMar>
            <w:top w:w="0" w:type="dxa"/>
            <w:left w:w="108" w:type="dxa"/>
            <w:bottom w:w="0" w:type="dxa"/>
            <w:right w:w="108" w:type="dxa"/>
          </w:tblCellMar>
        </w:tblPrEx>
        <w:trPr>
          <w:cantSplit/>
        </w:trPr>
        <w:tc>
          <w:p w14:paraId="4EBB3887">
            <w:pPr>
              <w:pStyle w:val="26"/>
              <w:spacing w:before="20" w:after="20" w:line="276" w:lineRule="auto"/>
            </w:pPr>
            <w:r>
              <w:rPr>
                <w:rFonts w:hint="eastAsia" w:ascii="Times New Roman" w:hAnsi="Times New Roman" w:eastAsia="宋体"/>
                <w:sz w:val="20"/>
              </w:rPr>
              <w:t>信号强度</w:t>
            </w:r>
          </w:p>
        </w:tc>
        <w:tc>
          <w:p w14:paraId="4172DE22">
            <w:pPr>
              <w:pStyle w:val="26"/>
              <w:spacing w:before="20" w:after="20" w:line="276" w:lineRule="auto"/>
            </w:pPr>
            <w:r>
              <w:rPr>
                <w:rFonts w:hint="eastAsia" w:ascii="Times New Roman" w:hAnsi="Times New Roman" w:eastAsia="宋体"/>
                <w:sz w:val="20"/>
              </w:rPr>
              <w:t>0.72（高）</w:t>
            </w:r>
          </w:p>
        </w:tc>
      </w:tr>
      <w:tr w14:paraId="109529CF">
        <w:tblPrEx>
          <w:tblCellMar>
            <w:top w:w="0" w:type="dxa"/>
            <w:left w:w="108" w:type="dxa"/>
            <w:bottom w:w="0" w:type="dxa"/>
            <w:right w:w="108" w:type="dxa"/>
          </w:tblCellMar>
        </w:tblPrEx>
        <w:trPr>
          <w:cantSplit/>
        </w:trPr>
        <w:tc>
          <w:p w14:paraId="5951CE81">
            <w:pPr>
              <w:pStyle w:val="26"/>
              <w:spacing w:before="20" w:after="20" w:line="276" w:lineRule="auto"/>
            </w:pPr>
            <w:r>
              <w:rPr>
                <w:rFonts w:hint="eastAsia" w:ascii="Times New Roman" w:hAnsi="Times New Roman" w:eastAsia="宋体"/>
                <w:sz w:val="20"/>
              </w:rPr>
              <w:t>与</w:t>
            </w:r>
            <w:r>
              <w:rPr>
                <w:rFonts w:ascii="Times New Roman" w:hAnsi="Times New Roman" w:eastAsia="宋体"/>
                <w:sz w:val="20"/>
              </w:rPr>
              <w:t xml:space="preserve"> 5D-DRS </w:t>
            </w:r>
            <w:r>
              <w:rPr>
                <w:rFonts w:hint="eastAsia" w:ascii="Times New Roman" w:hAnsi="Times New Roman" w:eastAsia="宋体"/>
                <w:sz w:val="20"/>
              </w:rPr>
              <w:t>联动</w:t>
            </w:r>
          </w:p>
        </w:tc>
        <w:tc>
          <w:p w14:paraId="57FBE67A">
            <w:pPr>
              <w:pStyle w:val="26"/>
              <w:spacing w:before="20" w:after="20" w:line="276" w:lineRule="auto"/>
            </w:pPr>
            <w:r>
              <w:rPr>
                <w:rFonts w:ascii="Times New Roman" w:hAnsi="Times New Roman" w:eastAsia="宋体"/>
                <w:sz w:val="20"/>
              </w:rPr>
              <w:t xml:space="preserve">D1 </w:t>
            </w:r>
            <w:r>
              <w:rPr>
                <w:rFonts w:hint="eastAsia" w:ascii="Times New Roman" w:hAnsi="Times New Roman" w:eastAsia="宋体"/>
                <w:sz w:val="20"/>
              </w:rPr>
              <w:t>维度自动标记为“需关注”</w:t>
            </w:r>
          </w:p>
        </w:tc>
      </w:tr>
    </w:tbl>
    <w:p w14:paraId="5E222820">
      <w:pPr>
        <w:pStyle w:val="3"/>
        <w:spacing w:before="40" w:after="40" w:line="360" w:lineRule="auto"/>
        <w:ind w:firstLine="480"/>
      </w:pPr>
      <w:r>
        <w:rPr>
          <w:rFonts w:hint="eastAsia" w:ascii="Times New Roman" w:hAnsi="Times New Roman" w:eastAsia="宋体"/>
          <w:b/>
          <w:bCs/>
          <w:sz w:val="24"/>
        </w:rPr>
        <w:t>场景二：管理层语气一致性检测</w:t>
      </w:r>
    </w:p>
    <w:p w14:paraId="150DA9D0">
      <w:pPr>
        <w:pStyle w:val="3"/>
        <w:spacing w:before="40" w:after="40" w:line="360" w:lineRule="auto"/>
        <w:ind w:firstLine="480"/>
      </w:pPr>
      <w:r>
        <w:rPr>
          <w:rFonts w:hint="eastAsia" w:ascii="Times New Roman" w:hAnsi="Times New Roman" w:eastAsia="宋体"/>
          <w:sz w:val="24"/>
        </w:rPr>
        <w:t>对比同一公司历年10-K中关于折旧政策的表述，FinBERT可检测语气的“突然转变”——从“保守稳健”到“积极进取”，往往预示着会计估计的激进变化。</w:t>
      </w:r>
    </w:p>
    <w:p w14:paraId="34B46951">
      <w:pPr>
        <w:pStyle w:val="3"/>
        <w:spacing w:before="40" w:after="40" w:line="360" w:lineRule="auto"/>
        <w:ind w:firstLine="480"/>
      </w:pPr>
      <w:r>
        <w:rPr>
          <w:rFonts w:hint="eastAsia" w:ascii="Times New Roman" w:hAnsi="Times New Roman" w:eastAsia="宋体"/>
          <w:b/>
          <w:bCs/>
          <w:sz w:val="24"/>
        </w:rPr>
        <w:t>场景三：跨公司风险传染预警</w:t>
      </w:r>
    </w:p>
    <w:p w14:paraId="6E2DFEAE">
      <w:pPr>
        <w:pStyle w:val="3"/>
        <w:spacing w:before="40" w:after="40" w:line="360" w:lineRule="auto"/>
        <w:ind w:firstLine="480"/>
      </w:pPr>
      <w:r>
        <w:rPr>
          <w:rFonts w:hint="eastAsia" w:ascii="Times New Roman" w:hAnsi="Times New Roman" w:eastAsia="宋体"/>
          <w:sz w:val="24"/>
        </w:rPr>
        <w:t>当多家同行业公司在相近时间段内使用相似的折旧政策表述时，FinBERT可识别这种“表述共振”，作为行业系统性风险的早期信号。</w:t>
      </w:r>
    </w:p>
    <w:p w14:paraId="14F708AF">
      <w:pPr>
        <w:pStyle w:val="3"/>
        <w:spacing w:before="40" w:after="40" w:line="360" w:lineRule="auto"/>
        <w:ind w:firstLine="480"/>
      </w:pPr>
      <w:r>
        <w:rPr>
          <w:rFonts w:hint="eastAsia" w:ascii="Times New Roman" w:hAnsi="Times New Roman" w:eastAsia="宋体"/>
          <w:b/>
          <w:bCs/>
          <w:sz w:val="24"/>
        </w:rPr>
        <w:t>（3）与5D-DRS的融合方式</w:t>
      </w:r>
    </w:p>
    <w:tbl>
      <w:tblPr>
        <w:tblStyle w:val="43"/>
        <w:tblW w:w="5000" w:type="pct"/>
        <w:tblInd w:w="0" w:type="dxa"/>
        <w:tblLayout w:type="fixed"/>
        <w:tblCellMar>
          <w:top w:w="0" w:type="dxa"/>
          <w:left w:w="108" w:type="dxa"/>
          <w:bottom w:w="0" w:type="dxa"/>
          <w:right w:w="108" w:type="dxa"/>
        </w:tblCellMar>
      </w:tblPr>
      <w:tblGrid>
        <w:gridCol w:w="3981"/>
        <w:gridCol w:w="2653"/>
        <w:gridCol w:w="2653"/>
      </w:tblGrid>
      <w:tr w14:paraId="267348D0">
        <w:tblPrEx>
          <w:tblCellMar>
            <w:top w:w="0" w:type="dxa"/>
            <w:left w:w="108" w:type="dxa"/>
            <w:bottom w:w="0" w:type="dxa"/>
            <w:right w:w="108" w:type="dxa"/>
          </w:tblCellMar>
        </w:tblPrEx>
        <w:trPr>
          <w:cantSplit/>
          <w:tblHeader/>
        </w:trPr>
        <w:tc>
          <w:p w14:paraId="4E073C0A">
            <w:pPr>
              <w:pStyle w:val="26"/>
              <w:spacing w:before="20" w:after="20" w:line="276" w:lineRule="auto"/>
            </w:pPr>
            <w:r>
              <w:rPr>
                <w:rFonts w:hint="eastAsia" w:ascii="Times New Roman" w:hAnsi="Times New Roman" w:eastAsia="宋体"/>
                <w:sz w:val="20"/>
              </w:rPr>
              <w:t>融合层级</w:t>
            </w:r>
          </w:p>
        </w:tc>
        <w:tc>
          <w:p w14:paraId="68738083">
            <w:pPr>
              <w:pStyle w:val="26"/>
              <w:spacing w:before="20" w:after="20" w:line="276" w:lineRule="auto"/>
            </w:pPr>
            <w:r>
              <w:rPr>
                <w:rFonts w:hint="eastAsia" w:ascii="Times New Roman" w:hAnsi="Times New Roman" w:eastAsia="宋体"/>
                <w:sz w:val="20"/>
              </w:rPr>
              <w:t>方式</w:t>
            </w:r>
          </w:p>
        </w:tc>
        <w:tc>
          <w:p w14:paraId="0FAEAA1C">
            <w:pPr>
              <w:pStyle w:val="26"/>
              <w:spacing w:before="20" w:after="20" w:line="276" w:lineRule="auto"/>
            </w:pPr>
            <w:r>
              <w:rPr>
                <w:rFonts w:hint="eastAsia" w:ascii="Times New Roman" w:hAnsi="Times New Roman" w:eastAsia="宋体"/>
                <w:sz w:val="20"/>
              </w:rPr>
              <w:t>输出</w:t>
            </w:r>
          </w:p>
        </w:tc>
      </w:tr>
      <w:tr w14:paraId="6C39F5D1">
        <w:tblPrEx>
          <w:tblCellMar>
            <w:top w:w="0" w:type="dxa"/>
            <w:left w:w="108" w:type="dxa"/>
            <w:bottom w:w="0" w:type="dxa"/>
            <w:right w:w="108" w:type="dxa"/>
          </w:tblCellMar>
        </w:tblPrEx>
        <w:trPr>
          <w:cantSplit/>
        </w:trPr>
        <w:tc>
          <w:p w14:paraId="5D637D31">
            <w:pPr>
              <w:pStyle w:val="26"/>
              <w:spacing w:before="20" w:after="20" w:line="276" w:lineRule="auto"/>
            </w:pPr>
            <w:r>
              <w:rPr>
                <w:rFonts w:hint="eastAsia" w:ascii="Times New Roman" w:hAnsi="Times New Roman" w:eastAsia="宋体"/>
                <w:sz w:val="20"/>
              </w:rPr>
              <w:t>信号层</w:t>
            </w:r>
          </w:p>
        </w:tc>
        <w:tc>
          <w:p w14:paraId="52BCBD12">
            <w:pPr>
              <w:pStyle w:val="26"/>
              <w:spacing w:before="20" w:after="20" w:line="276" w:lineRule="auto"/>
            </w:pPr>
            <w:r>
              <w:rPr>
                <w:rFonts w:hint="eastAsia" w:ascii="Times New Roman" w:hAnsi="Times New Roman" w:eastAsia="宋体"/>
                <w:sz w:val="20"/>
              </w:rPr>
              <w:t>FinBERT提取文本风险信号，作为5D-DRS的“软指标”</w:t>
            </w:r>
          </w:p>
        </w:tc>
        <w:tc>
          <w:p w14:paraId="200E838A">
            <w:pPr>
              <w:pStyle w:val="26"/>
              <w:spacing w:before="20" w:after="20" w:line="276" w:lineRule="auto"/>
            </w:pPr>
            <w:r>
              <w:rPr>
                <w:rFonts w:hint="eastAsia" w:ascii="Times New Roman" w:hAnsi="Times New Roman" w:eastAsia="宋体"/>
                <w:sz w:val="20"/>
              </w:rPr>
              <w:t>文本风险评分（0-1）</w:t>
            </w:r>
          </w:p>
        </w:tc>
      </w:tr>
      <w:tr w14:paraId="357295B4">
        <w:tblPrEx>
          <w:tblCellMar>
            <w:top w:w="0" w:type="dxa"/>
            <w:left w:w="108" w:type="dxa"/>
            <w:bottom w:w="0" w:type="dxa"/>
            <w:right w:w="108" w:type="dxa"/>
          </w:tblCellMar>
        </w:tblPrEx>
        <w:trPr>
          <w:cantSplit/>
        </w:trPr>
        <w:tc>
          <w:p w14:paraId="3CB206A5">
            <w:pPr>
              <w:pStyle w:val="26"/>
              <w:spacing w:before="20" w:after="20" w:line="276" w:lineRule="auto"/>
            </w:pPr>
            <w:r>
              <w:rPr>
                <w:rFonts w:hint="eastAsia" w:ascii="Times New Roman" w:hAnsi="Times New Roman" w:eastAsia="宋体"/>
                <w:sz w:val="20"/>
              </w:rPr>
              <w:t>规则层</w:t>
            </w:r>
          </w:p>
        </w:tc>
        <w:tc>
          <w:p w14:paraId="243BB163">
            <w:pPr>
              <w:pStyle w:val="26"/>
              <w:spacing w:before="20" w:after="20" w:line="276" w:lineRule="auto"/>
            </w:pPr>
            <w:r>
              <w:rPr>
                <w:rFonts w:hint="eastAsia" w:ascii="Times New Roman" w:hAnsi="Times New Roman" w:eastAsia="宋体"/>
                <w:sz w:val="20"/>
              </w:rPr>
              <w:t>当FinBERT信号强度&gt;0.7时，自动触发R1规则深度审查</w:t>
            </w:r>
          </w:p>
        </w:tc>
        <w:tc>
          <w:p w14:paraId="3EBA58CA">
            <w:pPr>
              <w:pStyle w:val="26"/>
              <w:spacing w:before="20" w:after="20" w:line="276" w:lineRule="auto"/>
            </w:pPr>
            <w:r>
              <w:rPr>
                <w:rFonts w:hint="eastAsia" w:ascii="Times New Roman" w:hAnsi="Times New Roman" w:eastAsia="宋体"/>
                <w:sz w:val="20"/>
              </w:rPr>
              <w:t>规则命中标记</w:t>
            </w:r>
          </w:p>
        </w:tc>
      </w:tr>
      <w:tr w14:paraId="1C2A1D7F">
        <w:tblPrEx>
          <w:tblCellMar>
            <w:top w:w="0" w:type="dxa"/>
            <w:left w:w="108" w:type="dxa"/>
            <w:bottom w:w="0" w:type="dxa"/>
            <w:right w:w="108" w:type="dxa"/>
          </w:tblCellMar>
        </w:tblPrEx>
        <w:trPr>
          <w:cantSplit/>
        </w:trPr>
        <w:tc>
          <w:p w14:paraId="6FA28DDE">
            <w:pPr>
              <w:pStyle w:val="26"/>
              <w:spacing w:before="20" w:after="20" w:line="276" w:lineRule="auto"/>
            </w:pPr>
            <w:r>
              <w:rPr>
                <w:rFonts w:hint="eastAsia" w:ascii="Times New Roman" w:hAnsi="Times New Roman" w:eastAsia="宋体"/>
                <w:sz w:val="20"/>
              </w:rPr>
              <w:t>解释层</w:t>
            </w:r>
          </w:p>
        </w:tc>
        <w:tc>
          <w:p w14:paraId="6273CB5E">
            <w:pPr>
              <w:pStyle w:val="26"/>
              <w:spacing w:before="20" w:after="20" w:line="276" w:lineRule="auto"/>
            </w:pPr>
            <w:r>
              <w:rPr>
                <w:rFonts w:hint="eastAsia" w:ascii="Times New Roman" w:hAnsi="Times New Roman" w:eastAsia="宋体"/>
                <w:sz w:val="20"/>
              </w:rPr>
              <w:t>RAG系统调用FinBERT分析结果，生成自然语言解释</w:t>
            </w:r>
          </w:p>
        </w:tc>
        <w:tc>
          <w:p w14:paraId="12DCF718">
            <w:pPr>
              <w:pStyle w:val="26"/>
              <w:spacing w:before="20" w:after="20" w:line="276" w:lineRule="auto"/>
            </w:pPr>
            <w:r>
              <w:rPr>
                <w:rFonts w:hint="eastAsia" w:ascii="Times New Roman" w:hAnsi="Times New Roman" w:eastAsia="宋体"/>
                <w:sz w:val="20"/>
              </w:rPr>
              <w:t>结构化解释报告</w:t>
            </w:r>
          </w:p>
        </w:tc>
      </w:tr>
      <w:bookmarkEnd w:id="145"/>
    </w:tbl>
    <w:p w14:paraId="6591252E">
      <w:pPr>
        <w:pStyle w:val="5"/>
        <w:spacing w:before="240" w:after="120" w:line="360" w:lineRule="auto"/>
      </w:pPr>
      <w:bookmarkStart w:id="146" w:name="技术路线与落地规划"/>
      <w:r>
        <w:rPr>
          <w:rFonts w:ascii="Times New Roman" w:hAnsi="Times New Roman" w:eastAsia="黑体"/>
          <w:b/>
          <w:color w:val="003366"/>
          <w:sz w:val="24"/>
        </w:rPr>
        <w:t xml:space="preserve">6.7.3 </w:t>
      </w:r>
      <w:r>
        <w:rPr>
          <w:rFonts w:hint="eastAsia" w:ascii="Times New Roman" w:hAnsi="Times New Roman" w:eastAsia="黑体"/>
          <w:b/>
          <w:color w:val="003366"/>
          <w:sz w:val="24"/>
        </w:rPr>
        <w:t>技术路线与落地规划</w:t>
      </w:r>
    </w:p>
    <w:p w14:paraId="1E7A4851">
      <w:pPr>
        <w:pStyle w:val="25"/>
        <w:spacing w:before="40" w:after="40" w:line="360" w:lineRule="auto"/>
        <w:ind w:firstLine="480"/>
      </w:pPr>
      <w:r>
        <w:rPr>
          <w:rFonts w:hint="eastAsia" w:ascii="Times New Roman" w:hAnsi="Times New Roman" w:eastAsia="宋体"/>
          <w:b/>
          <w:bCs/>
          <w:sz w:val="24"/>
        </w:rPr>
        <w:t>（1）三阶段演进路径</w:t>
      </w:r>
    </w:p>
    <w:tbl>
      <w:tblPr>
        <w:tblStyle w:val="43"/>
        <w:tblW w:w="5000" w:type="pct"/>
        <w:tblInd w:w="0" w:type="dxa"/>
        <w:tblLayout w:type="fixed"/>
        <w:tblCellMar>
          <w:top w:w="0" w:type="dxa"/>
          <w:left w:w="108" w:type="dxa"/>
          <w:bottom w:w="0" w:type="dxa"/>
          <w:right w:w="108" w:type="dxa"/>
        </w:tblCellMar>
      </w:tblPr>
      <w:tblGrid>
        <w:gridCol w:w="2143"/>
        <w:gridCol w:w="2143"/>
        <w:gridCol w:w="2143"/>
        <w:gridCol w:w="2858"/>
      </w:tblGrid>
      <w:tr w14:paraId="73FC4F32">
        <w:tblPrEx>
          <w:tblCellMar>
            <w:top w:w="0" w:type="dxa"/>
            <w:left w:w="108" w:type="dxa"/>
            <w:bottom w:w="0" w:type="dxa"/>
            <w:right w:w="108" w:type="dxa"/>
          </w:tblCellMar>
        </w:tblPrEx>
        <w:trPr>
          <w:cantSplit/>
          <w:tblHeader/>
        </w:trPr>
        <w:tc>
          <w:p w14:paraId="2EB173E0">
            <w:pPr>
              <w:pStyle w:val="26"/>
              <w:spacing w:before="20" w:after="20" w:line="276" w:lineRule="auto"/>
            </w:pPr>
            <w:r>
              <w:rPr>
                <w:rFonts w:hint="eastAsia" w:ascii="Times New Roman" w:hAnsi="Times New Roman" w:eastAsia="宋体"/>
                <w:sz w:val="20"/>
              </w:rPr>
              <w:t>阶段</w:t>
            </w:r>
          </w:p>
        </w:tc>
        <w:tc>
          <w:p w14:paraId="22618DA8">
            <w:pPr>
              <w:pStyle w:val="26"/>
              <w:spacing w:before="20" w:after="20" w:line="276" w:lineRule="auto"/>
            </w:pPr>
            <w:r>
              <w:rPr>
                <w:rFonts w:hint="eastAsia" w:ascii="Times New Roman" w:hAnsi="Times New Roman" w:eastAsia="宋体"/>
                <w:sz w:val="20"/>
              </w:rPr>
              <w:t>时间</w:t>
            </w:r>
          </w:p>
        </w:tc>
        <w:tc>
          <w:p w14:paraId="3523BE28">
            <w:pPr>
              <w:pStyle w:val="26"/>
              <w:spacing w:before="20" w:after="20" w:line="276" w:lineRule="auto"/>
            </w:pPr>
            <w:r>
              <w:rPr>
                <w:rFonts w:hint="eastAsia" w:ascii="Times New Roman" w:hAnsi="Times New Roman" w:eastAsia="宋体"/>
                <w:sz w:val="20"/>
              </w:rPr>
              <w:t>目标</w:t>
            </w:r>
          </w:p>
        </w:tc>
        <w:tc>
          <w:p w14:paraId="7D6BA521">
            <w:pPr>
              <w:pStyle w:val="26"/>
              <w:spacing w:before="20" w:after="20" w:line="276" w:lineRule="auto"/>
            </w:pPr>
            <w:r>
              <w:rPr>
                <w:rFonts w:hint="eastAsia" w:ascii="Times New Roman" w:hAnsi="Times New Roman" w:eastAsia="宋体"/>
                <w:sz w:val="20"/>
              </w:rPr>
              <w:t>技术栈</w:t>
            </w:r>
          </w:p>
        </w:tc>
      </w:tr>
      <w:tr w14:paraId="7AF7A20E">
        <w:tblPrEx>
          <w:tblCellMar>
            <w:top w:w="0" w:type="dxa"/>
            <w:left w:w="108" w:type="dxa"/>
            <w:bottom w:w="0" w:type="dxa"/>
            <w:right w:w="108" w:type="dxa"/>
          </w:tblCellMar>
        </w:tblPrEx>
        <w:trPr>
          <w:cantSplit/>
        </w:trPr>
        <w:tc>
          <w:p w14:paraId="5FE118EE">
            <w:pPr>
              <w:pStyle w:val="26"/>
              <w:spacing w:before="20" w:after="20" w:line="276" w:lineRule="auto"/>
            </w:pPr>
            <w:r>
              <w:rPr>
                <w:rFonts w:hint="eastAsia" w:ascii="Times New Roman" w:hAnsi="Times New Roman" w:eastAsia="宋体"/>
                <w:sz w:val="20"/>
              </w:rPr>
              <w:t>第一阶段（现有）</w:t>
            </w:r>
          </w:p>
        </w:tc>
        <w:tc>
          <w:p w14:paraId="5EABCAB8">
            <w:pPr>
              <w:pStyle w:val="26"/>
              <w:spacing w:before="20" w:after="20" w:line="276" w:lineRule="auto"/>
            </w:pPr>
            <w:r>
              <w:rPr>
                <w:rFonts w:hint="eastAsia" w:ascii="Times New Roman" w:hAnsi="Times New Roman" w:eastAsia="宋体"/>
                <w:sz w:val="20"/>
              </w:rPr>
              <w:t>已完成</w:t>
            </w:r>
          </w:p>
        </w:tc>
        <w:tc>
          <w:p w14:paraId="1E4B8A39">
            <w:pPr>
              <w:pStyle w:val="26"/>
              <w:spacing w:before="20" w:after="20" w:line="276" w:lineRule="auto"/>
            </w:pPr>
            <w:r>
              <w:rPr>
                <w:rFonts w:hint="eastAsia" w:ascii="Times New Roman" w:hAnsi="Times New Roman" w:eastAsia="宋体"/>
                <w:sz w:val="20"/>
              </w:rPr>
              <w:t>规则驱动的5D-DRS评分系统</w:t>
            </w:r>
          </w:p>
        </w:tc>
        <w:tc>
          <w:p w14:paraId="48E38892">
            <w:pPr>
              <w:pStyle w:val="26"/>
              <w:spacing w:before="20" w:after="20" w:line="276" w:lineRule="auto"/>
            </w:pPr>
            <w:r>
              <w:rPr>
                <w:rFonts w:ascii="Times New Roman" w:hAnsi="Times New Roman" w:eastAsia="宋体"/>
                <w:sz w:val="20"/>
              </w:rPr>
              <w:t>Python + Streamlit</w:t>
            </w:r>
          </w:p>
        </w:tc>
      </w:tr>
      <w:tr w14:paraId="3FE145F6">
        <w:tblPrEx>
          <w:tblCellMar>
            <w:top w:w="0" w:type="dxa"/>
            <w:left w:w="108" w:type="dxa"/>
            <w:bottom w:w="0" w:type="dxa"/>
            <w:right w:w="108" w:type="dxa"/>
          </w:tblCellMar>
        </w:tblPrEx>
        <w:trPr>
          <w:cantSplit/>
        </w:trPr>
        <w:tc>
          <w:p w14:paraId="00F990FA">
            <w:pPr>
              <w:pStyle w:val="26"/>
              <w:spacing w:before="20" w:after="20" w:line="276" w:lineRule="auto"/>
            </w:pPr>
            <w:r>
              <w:rPr>
                <w:rFonts w:hint="eastAsia" w:ascii="Times New Roman" w:hAnsi="Times New Roman" w:eastAsia="宋体"/>
                <w:sz w:val="20"/>
              </w:rPr>
              <w:t>第二阶段（近期）</w:t>
            </w:r>
          </w:p>
        </w:tc>
        <w:tc>
          <w:p w14:paraId="78961028">
            <w:pPr>
              <w:pStyle w:val="26"/>
              <w:spacing w:before="20" w:after="20" w:line="276" w:lineRule="auto"/>
            </w:pPr>
            <w:r>
              <w:rPr>
                <w:rFonts w:hint="eastAsia" w:ascii="Times New Roman" w:hAnsi="Times New Roman" w:eastAsia="宋体"/>
                <w:sz w:val="20"/>
              </w:rPr>
              <w:t>6个月内</w:t>
            </w:r>
          </w:p>
        </w:tc>
        <w:tc>
          <w:p w14:paraId="4EE16F4C">
            <w:pPr>
              <w:pStyle w:val="26"/>
              <w:spacing w:before="20" w:after="20" w:line="276" w:lineRule="auto"/>
            </w:pPr>
            <w:r>
              <w:rPr>
                <w:rFonts w:hint="eastAsia" w:ascii="Times New Roman" w:hAnsi="Times New Roman" w:eastAsia="宋体"/>
                <w:sz w:val="20"/>
              </w:rPr>
              <w:t>RAG解释引擎上线</w:t>
            </w:r>
          </w:p>
        </w:tc>
        <w:tc>
          <w:p w14:paraId="292F214A">
            <w:pPr>
              <w:pStyle w:val="26"/>
              <w:spacing w:before="20" w:after="20" w:line="276" w:lineRule="auto"/>
            </w:pPr>
            <w:r>
              <w:rPr>
                <w:rFonts w:ascii="Times New Roman" w:hAnsi="Times New Roman" w:eastAsia="宋体"/>
                <w:sz w:val="20"/>
              </w:rPr>
              <w:t>LangChain + Chroma + Qwen2.5</w:t>
            </w:r>
          </w:p>
        </w:tc>
      </w:tr>
      <w:tr w14:paraId="7C2B27A4">
        <w:tblPrEx>
          <w:tblCellMar>
            <w:top w:w="0" w:type="dxa"/>
            <w:left w:w="108" w:type="dxa"/>
            <w:bottom w:w="0" w:type="dxa"/>
            <w:right w:w="108" w:type="dxa"/>
          </w:tblCellMar>
        </w:tblPrEx>
        <w:trPr>
          <w:cantSplit/>
        </w:trPr>
        <w:tc>
          <w:p w14:paraId="5C0EFD55">
            <w:pPr>
              <w:pStyle w:val="26"/>
              <w:spacing w:before="20" w:after="20" w:line="276" w:lineRule="auto"/>
            </w:pPr>
            <w:r>
              <w:rPr>
                <w:rFonts w:hint="eastAsia" w:ascii="Times New Roman" w:hAnsi="Times New Roman" w:eastAsia="宋体"/>
                <w:sz w:val="20"/>
              </w:rPr>
              <w:t>第三阶段（远期）</w:t>
            </w:r>
          </w:p>
        </w:tc>
        <w:tc>
          <w:p w14:paraId="367E7385">
            <w:pPr>
              <w:pStyle w:val="26"/>
              <w:spacing w:before="20" w:after="20" w:line="276" w:lineRule="auto"/>
            </w:pPr>
            <w:r>
              <w:rPr>
                <w:rFonts w:hint="eastAsia" w:ascii="Times New Roman" w:hAnsi="Times New Roman" w:eastAsia="宋体"/>
                <w:sz w:val="20"/>
              </w:rPr>
              <w:t>12个月内</w:t>
            </w:r>
          </w:p>
        </w:tc>
        <w:tc>
          <w:p w14:paraId="76942F2E">
            <w:pPr>
              <w:pStyle w:val="26"/>
              <w:spacing w:before="20" w:after="20" w:line="276" w:lineRule="auto"/>
            </w:pPr>
            <w:r>
              <w:rPr>
                <w:rFonts w:hint="eastAsia" w:ascii="Times New Roman" w:hAnsi="Times New Roman" w:eastAsia="宋体"/>
                <w:sz w:val="20"/>
              </w:rPr>
              <w:t>FinBERT文本分析模块集成</w:t>
            </w:r>
          </w:p>
        </w:tc>
        <w:tc>
          <w:p w14:paraId="5766F58B">
            <w:pPr>
              <w:pStyle w:val="26"/>
              <w:spacing w:before="20" w:after="20" w:line="276" w:lineRule="auto"/>
            </w:pPr>
            <w:r>
              <w:rPr>
                <w:rFonts w:ascii="Times New Roman" w:hAnsi="Times New Roman" w:eastAsia="宋体"/>
                <w:sz w:val="20"/>
              </w:rPr>
              <w:t>PyTorch + Transformers</w:t>
            </w:r>
          </w:p>
        </w:tc>
      </w:tr>
    </w:tbl>
    <w:p w14:paraId="1E8F2D62">
      <w:pPr>
        <w:pStyle w:val="3"/>
        <w:spacing w:before="40" w:after="40" w:line="360" w:lineRule="auto"/>
        <w:ind w:firstLine="480"/>
      </w:pPr>
      <w:r>
        <w:rPr>
          <w:rFonts w:hint="eastAsia" w:ascii="Times New Roman" w:hAnsi="Times New Roman" w:eastAsia="宋体"/>
          <w:b/>
          <w:bCs/>
          <w:sz w:val="24"/>
        </w:rPr>
        <w:t>（2）诚实声明</w:t>
      </w:r>
    </w:p>
    <w:p w14:paraId="64C46686">
      <w:pPr>
        <w:pStyle w:val="3"/>
        <w:spacing w:before="40" w:after="40" w:line="360" w:lineRule="auto"/>
        <w:ind w:firstLine="480"/>
      </w:pPr>
      <w:r>
        <w:rPr>
          <w:rFonts w:hint="eastAsia" w:ascii="Times New Roman" w:hAnsi="Times New Roman" w:eastAsia="宋体"/>
          <w:sz w:val="24"/>
        </w:rPr>
        <w:t>本节所述RAG架构与FinBERT应用方案均为</w:t>
      </w:r>
      <w:r>
        <w:rPr>
          <w:rFonts w:hint="eastAsia" w:ascii="Times New Roman" w:hAnsi="Times New Roman" w:eastAsia="宋体"/>
          <w:b/>
          <w:bCs/>
          <w:sz w:val="24"/>
        </w:rPr>
        <w:t>概念设计</w:t>
      </w:r>
      <w:r>
        <w:rPr>
          <w:rFonts w:hint="eastAsia" w:ascii="Times New Roman" w:hAnsi="Times New Roman" w:eastAsia="宋体"/>
          <w:sz w:val="24"/>
        </w:rPr>
        <w:t>，尚未在实际系统中实现。团队已在GitHub上完成FinBERT开源项目的代码复现（参考：github.com/mozhongzhou/FinBert），具备技术可行性。实际落地需满足以下条件：</w:t>
      </w:r>
    </w:p>
    <w:p w14:paraId="276B334F">
      <w:pPr>
        <w:pStyle w:val="26"/>
        <w:numPr>
          <w:ilvl w:val="0"/>
          <w:numId w:val="13"/>
        </w:numPr>
        <w:spacing w:before="40" w:after="40" w:line="360" w:lineRule="auto"/>
        <w:ind w:firstLine="480"/>
      </w:pPr>
      <w:r>
        <w:rPr>
          <w:rFonts w:hint="eastAsia" w:ascii="Times New Roman" w:hAnsi="Times New Roman" w:eastAsia="宋体"/>
          <w:b/>
          <w:bCs/>
          <w:sz w:val="24"/>
        </w:rPr>
        <w:t>算力资源</w:t>
      </w:r>
      <w:r>
        <w:rPr>
          <w:rFonts w:hint="eastAsia" w:ascii="Times New Roman" w:hAnsi="Times New Roman" w:eastAsia="宋体"/>
          <w:sz w:val="24"/>
        </w:rPr>
        <w:t>：RAG系统需GPU服务器（建议A10或更高配置）支撑LLM推理；</w:t>
      </w:r>
    </w:p>
    <w:p w14:paraId="4A17CE59">
      <w:pPr>
        <w:pStyle w:val="26"/>
        <w:numPr>
          <w:ilvl w:val="0"/>
          <w:numId w:val="13"/>
        </w:numPr>
        <w:spacing w:before="40" w:after="40" w:line="360" w:lineRule="auto"/>
        <w:ind w:firstLine="480"/>
      </w:pPr>
      <w:r>
        <w:rPr>
          <w:rFonts w:hint="eastAsia" w:ascii="Times New Roman" w:hAnsi="Times New Roman" w:eastAsia="宋体"/>
          <w:b/>
          <w:bCs/>
          <w:sz w:val="24"/>
        </w:rPr>
        <w:t>数据授权</w:t>
      </w:r>
      <w:r>
        <w:rPr>
          <w:rFonts w:hint="eastAsia" w:ascii="Times New Roman" w:hAnsi="Times New Roman" w:eastAsia="宋体"/>
          <w:sz w:val="24"/>
        </w:rPr>
        <w:t>：10-K全文下载需SEC</w:t>
      </w:r>
      <w:r>
        <w:rPr>
          <w:rFonts w:ascii="Times New Roman" w:hAnsi="Times New Roman" w:eastAsia="宋体"/>
          <w:sz w:val="24"/>
        </w:rPr>
        <w:t xml:space="preserve"> EDGAR </w:t>
      </w:r>
      <w:r>
        <w:rPr>
          <w:rFonts w:hint="eastAsia" w:ascii="Times New Roman" w:hAnsi="Times New Roman" w:eastAsia="宋体"/>
          <w:sz w:val="24"/>
        </w:rPr>
        <w:t>API合规使用；</w:t>
      </w:r>
    </w:p>
    <w:p w14:paraId="4C802239">
      <w:pPr>
        <w:pStyle w:val="26"/>
        <w:numPr>
          <w:ilvl w:val="0"/>
          <w:numId w:val="13"/>
        </w:numPr>
        <w:spacing w:before="40" w:after="40" w:line="360" w:lineRule="auto"/>
        <w:ind w:firstLine="480"/>
      </w:pPr>
      <w:r>
        <w:rPr>
          <w:rFonts w:hint="eastAsia" w:ascii="Times New Roman" w:hAnsi="Times New Roman" w:eastAsia="宋体"/>
          <w:b/>
          <w:bCs/>
          <w:sz w:val="24"/>
        </w:rPr>
        <w:t>标注数据</w:t>
      </w:r>
      <w:r>
        <w:rPr>
          <w:rFonts w:hint="eastAsia" w:ascii="Times New Roman" w:hAnsi="Times New Roman" w:eastAsia="宋体"/>
          <w:sz w:val="24"/>
        </w:rPr>
        <w:t>：FinBERT微调需至少5,000条带标签的折旧风险文本；</w:t>
      </w:r>
    </w:p>
    <w:p w14:paraId="2452138F">
      <w:pPr>
        <w:pStyle w:val="26"/>
        <w:numPr>
          <w:ilvl w:val="0"/>
          <w:numId w:val="13"/>
        </w:numPr>
        <w:spacing w:before="40" w:after="40" w:line="360" w:lineRule="auto"/>
        <w:ind w:firstLine="480"/>
      </w:pPr>
      <w:r>
        <w:rPr>
          <w:rFonts w:hint="eastAsia" w:ascii="Times New Roman" w:hAnsi="Times New Roman" w:eastAsia="宋体"/>
          <w:b/>
          <w:bCs/>
          <w:sz w:val="24"/>
        </w:rPr>
        <w:t>专家验证</w:t>
      </w:r>
      <w:r>
        <w:rPr>
          <w:rFonts w:hint="eastAsia" w:ascii="Times New Roman" w:hAnsi="Times New Roman" w:eastAsia="宋体"/>
          <w:sz w:val="24"/>
        </w:rPr>
        <w:t>：RAG生成的解释报告需经注册会计师（CPA）审核后方可对外发布。</w:t>
      </w:r>
    </w:p>
    <w:bookmarkEnd w:id="126"/>
    <w:bookmarkEnd w:id="143"/>
    <w:bookmarkEnd w:id="146"/>
    <w:p w14:paraId="73850376">
      <w:pPr>
        <w:pStyle w:val="2"/>
        <w:pageBreakBefore/>
        <w:spacing w:before="360" w:after="240" w:line="360" w:lineRule="auto"/>
        <w:jc w:val="center"/>
      </w:pPr>
      <w:bookmarkStart w:id="147" w:name="_Toc27884"/>
      <w:bookmarkStart w:id="148" w:name="第七章结论与展望"/>
      <w:r>
        <w:rPr>
          <w:rFonts w:hint="eastAsia" w:ascii="Times New Roman" w:hAnsi="Times New Roman" w:eastAsia="黑体"/>
          <w:b/>
          <w:color w:val="000000"/>
          <w:sz w:val="32"/>
        </w:rPr>
        <w:t>第七章结论与展望</w:t>
      </w:r>
      <w:bookmarkEnd w:id="147"/>
    </w:p>
    <w:p w14:paraId="2AD0D830">
      <w:pPr>
        <w:pStyle w:val="4"/>
        <w:spacing w:before="320" w:after="160" w:line="360" w:lineRule="auto"/>
      </w:pPr>
      <w:bookmarkStart w:id="149" w:name="_Toc8646"/>
      <w:bookmarkStart w:id="150" w:name="折旧政策完善不是替代而是补充"/>
      <w:r>
        <w:rPr>
          <w:rFonts w:ascii="Times New Roman" w:hAnsi="Times New Roman" w:eastAsia="黑体"/>
          <w:b/>
          <w:color w:val="003366"/>
          <w:sz w:val="28"/>
        </w:rPr>
        <w:t xml:space="preserve">7.1 </w:t>
      </w:r>
      <w:r>
        <w:rPr>
          <w:rFonts w:hint="eastAsia" w:ascii="Times New Roman" w:hAnsi="Times New Roman" w:eastAsia="黑体"/>
          <w:b/>
          <w:color w:val="003366"/>
          <w:sz w:val="28"/>
        </w:rPr>
        <w:t>折旧政策完善：不是替代，而是补充</w:t>
      </w:r>
      <w:bookmarkEnd w:id="149"/>
    </w:p>
    <w:p w14:paraId="3C6BA1D7">
      <w:pPr>
        <w:pStyle w:val="25"/>
        <w:spacing w:before="40" w:after="40" w:line="360" w:lineRule="auto"/>
        <w:ind w:firstLine="480"/>
      </w:pPr>
      <w:r>
        <w:rPr>
          <w:rFonts w:hint="eastAsia" w:ascii="Times New Roman" w:hAnsi="Times New Roman" w:eastAsia="宋体"/>
          <w:sz w:val="24"/>
        </w:rPr>
        <w:t>一个自然的问题是：中国已有良好的折旧政策，本研究是否提供了更好的方法？这一问题直击本项目的理论根基。本研究的回答是：</w:t>
      </w:r>
      <w:r>
        <w:rPr>
          <w:rFonts w:hint="eastAsia" w:ascii="Times New Roman" w:hAnsi="Times New Roman" w:eastAsia="宋体"/>
          <w:b/>
          <w:bCs/>
          <w:sz w:val="24"/>
        </w:rPr>
        <w:t>中国的折旧政策在制度设计上已处于国际前列，本项目的价值不在于“发明更好的折旧政策”，而在于构建“政策+市场”的双轮驱动机制——用市场化风险缓释工具（保险）弥补政策执行的盲区。</w:t>
      </w:r>
    </w:p>
    <w:p w14:paraId="27A622B9">
      <w:pPr>
        <w:pStyle w:val="5"/>
        <w:spacing w:before="240" w:after="120" w:line="360" w:lineRule="auto"/>
      </w:pPr>
      <w:bookmarkStart w:id="151" w:name="中国折旧政策的先进性国际比较视角"/>
      <w:r>
        <w:rPr>
          <w:rFonts w:ascii="Times New Roman" w:hAnsi="Times New Roman" w:eastAsia="黑体"/>
          <w:b/>
          <w:color w:val="003366"/>
          <w:sz w:val="24"/>
        </w:rPr>
        <w:t xml:space="preserve">7.1.1 </w:t>
      </w:r>
      <w:r>
        <w:rPr>
          <w:rFonts w:hint="eastAsia" w:ascii="Times New Roman" w:hAnsi="Times New Roman" w:eastAsia="黑体"/>
          <w:b/>
          <w:color w:val="003366"/>
          <w:sz w:val="24"/>
        </w:rPr>
        <w:t>中国折旧政策的先进性：国际比较视角</w:t>
      </w:r>
    </w:p>
    <w:p w14:paraId="48BFBAAB">
      <w:pPr>
        <w:pStyle w:val="25"/>
        <w:spacing w:before="40" w:after="40" w:line="360" w:lineRule="auto"/>
        <w:ind w:firstLine="480"/>
      </w:pPr>
      <w:r>
        <w:rPr>
          <w:rFonts w:hint="eastAsia" w:ascii="Times New Roman" w:hAnsi="Times New Roman" w:eastAsia="宋体"/>
          <w:b/>
          <w:bCs/>
          <w:sz w:val="24"/>
        </w:rPr>
        <w:t>（1）政策框架概览</w:t>
      </w:r>
    </w:p>
    <w:p w14:paraId="69DD5F71">
      <w:pPr>
        <w:pStyle w:val="3"/>
        <w:spacing w:before="40" w:after="40" w:line="360" w:lineRule="auto"/>
        <w:ind w:firstLine="480"/>
      </w:pPr>
      <w:r>
        <w:rPr>
          <w:rFonts w:hint="eastAsia" w:ascii="Times New Roman" w:hAnsi="Times New Roman" w:eastAsia="宋体"/>
          <w:sz w:val="24"/>
        </w:rPr>
        <w:t>中国现行的固定资产折旧政策体系呈现“多层次、广覆盖、强激励”的特征：</w:t>
      </w:r>
    </w:p>
    <w:p w14:paraId="5A3C7CDB">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7-1 </w:t>
      </w:r>
      <w:r>
        <w:rPr>
          <w:rFonts w:hint="eastAsia" w:ascii="Times New Roman" w:hAnsi="Times New Roman" w:eastAsia="宋体"/>
          <w:i w:val="0"/>
          <w:sz w:val="21"/>
        </w:rPr>
        <w:t>中国固定资产折旧优惠政策体系</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59FA0050">
        <w:tblPrEx>
          <w:tblCellMar>
            <w:top w:w="0" w:type="dxa"/>
            <w:left w:w="108" w:type="dxa"/>
            <w:bottom w:w="0" w:type="dxa"/>
            <w:right w:w="108" w:type="dxa"/>
          </w:tblCellMar>
        </w:tblPrEx>
        <w:trPr>
          <w:cantSplit/>
          <w:tblHeader/>
        </w:trPr>
        <w:tc>
          <w:p w14:paraId="6BCEC0F6">
            <w:pPr>
              <w:pStyle w:val="26"/>
              <w:spacing w:before="20" w:after="20" w:line="276" w:lineRule="auto"/>
            </w:pPr>
            <w:r>
              <w:rPr>
                <w:rFonts w:hint="eastAsia" w:ascii="Times New Roman" w:hAnsi="Times New Roman" w:eastAsia="宋体"/>
                <w:sz w:val="20"/>
              </w:rPr>
              <w:t>政策层级</w:t>
            </w:r>
          </w:p>
        </w:tc>
        <w:tc>
          <w:p w14:paraId="21DB5616">
            <w:pPr>
              <w:pStyle w:val="26"/>
              <w:spacing w:before="20" w:after="20" w:line="276" w:lineRule="auto"/>
            </w:pPr>
            <w:r>
              <w:rPr>
                <w:rFonts w:hint="eastAsia" w:ascii="Times New Roman" w:hAnsi="Times New Roman" w:eastAsia="宋体"/>
                <w:sz w:val="20"/>
              </w:rPr>
              <w:t>核心内容</w:t>
            </w:r>
          </w:p>
        </w:tc>
        <w:tc>
          <w:p w14:paraId="7D0D8703">
            <w:pPr>
              <w:pStyle w:val="26"/>
              <w:spacing w:before="20" w:after="20" w:line="276" w:lineRule="auto"/>
            </w:pPr>
            <w:r>
              <w:rPr>
                <w:rFonts w:hint="eastAsia" w:ascii="Times New Roman" w:hAnsi="Times New Roman" w:eastAsia="宋体"/>
                <w:sz w:val="20"/>
              </w:rPr>
              <w:t>适用对象</w:t>
            </w:r>
          </w:p>
        </w:tc>
        <w:tc>
          <w:p w14:paraId="38C4BA37">
            <w:pPr>
              <w:pStyle w:val="26"/>
              <w:spacing w:before="20" w:after="20" w:line="276" w:lineRule="auto"/>
            </w:pPr>
            <w:r>
              <w:rPr>
                <w:rFonts w:hint="eastAsia" w:ascii="Times New Roman" w:hAnsi="Times New Roman" w:eastAsia="宋体"/>
                <w:sz w:val="20"/>
              </w:rPr>
              <w:t>优惠力度</w:t>
            </w:r>
          </w:p>
        </w:tc>
      </w:tr>
      <w:tr w14:paraId="0CFA0D47">
        <w:tblPrEx>
          <w:tblCellMar>
            <w:top w:w="0" w:type="dxa"/>
            <w:left w:w="108" w:type="dxa"/>
            <w:bottom w:w="0" w:type="dxa"/>
            <w:right w:w="108" w:type="dxa"/>
          </w:tblCellMar>
        </w:tblPrEx>
        <w:trPr>
          <w:cantSplit/>
        </w:trPr>
        <w:tc>
          <w:p w14:paraId="02D4D051">
            <w:pPr>
              <w:pStyle w:val="26"/>
              <w:spacing w:before="20" w:after="20" w:line="276" w:lineRule="auto"/>
            </w:pPr>
            <w:r>
              <w:rPr>
                <w:rFonts w:hint="eastAsia" w:ascii="Times New Roman" w:hAnsi="Times New Roman" w:eastAsia="宋体"/>
                <w:b/>
                <w:bCs/>
                <w:sz w:val="20"/>
              </w:rPr>
              <w:t>普惠性政策</w:t>
            </w:r>
          </w:p>
        </w:tc>
        <w:tc>
          <w:p w14:paraId="01300697">
            <w:pPr>
              <w:pStyle w:val="26"/>
              <w:spacing w:before="20" w:after="20" w:line="276" w:lineRule="auto"/>
            </w:pPr>
            <w:r>
              <w:rPr>
                <w:rFonts w:hint="eastAsia" w:ascii="Times New Roman" w:hAnsi="Times New Roman" w:eastAsia="宋体"/>
                <w:sz w:val="20"/>
              </w:rPr>
              <w:t>外购软件折旧/摊销年限最短2年</w:t>
            </w:r>
          </w:p>
        </w:tc>
        <w:tc>
          <w:p w14:paraId="0920E266">
            <w:pPr>
              <w:pStyle w:val="26"/>
              <w:spacing w:before="20" w:after="20" w:line="276" w:lineRule="auto"/>
            </w:pPr>
            <w:r>
              <w:rPr>
                <w:rFonts w:hint="eastAsia" w:ascii="Times New Roman" w:hAnsi="Times New Roman" w:eastAsia="宋体"/>
                <w:sz w:val="20"/>
              </w:rPr>
              <w:t>所有企业</w:t>
            </w:r>
          </w:p>
        </w:tc>
        <w:tc>
          <w:p w14:paraId="035BF22A">
            <w:pPr>
              <w:pStyle w:val="26"/>
              <w:spacing w:before="20" w:after="20" w:line="276" w:lineRule="auto"/>
            </w:pPr>
            <w:r>
              <w:rPr>
                <w:rFonts w:hint="eastAsia" w:ascii="Times New Roman" w:hAnsi="Times New Roman" w:eastAsia="宋体"/>
                <w:sz w:val="20"/>
              </w:rPr>
              <w:t>大幅缩短</w:t>
            </w:r>
          </w:p>
        </w:tc>
      </w:tr>
      <w:tr w14:paraId="282626A3">
        <w:tblPrEx>
          <w:tblCellMar>
            <w:top w:w="0" w:type="dxa"/>
            <w:left w:w="108" w:type="dxa"/>
            <w:bottom w:w="0" w:type="dxa"/>
            <w:right w:w="108" w:type="dxa"/>
          </w:tblCellMar>
        </w:tblPrEx>
        <w:trPr>
          <w:cantSplit/>
        </w:trPr>
        <w:tc>
          <w:p w14:paraId="376DD5E8">
            <w:pPr>
              <w:pStyle w:val="26"/>
              <w:spacing w:before="20" w:after="20" w:line="276" w:lineRule="auto"/>
            </w:pPr>
            <w:r>
              <w:rPr>
                <w:rFonts w:hint="eastAsia" w:ascii="Times New Roman" w:hAnsi="Times New Roman" w:eastAsia="宋体"/>
                <w:b/>
                <w:bCs/>
                <w:sz w:val="20"/>
              </w:rPr>
              <w:t>行业性政策</w:t>
            </w:r>
          </w:p>
        </w:tc>
        <w:tc>
          <w:p w14:paraId="5D9B5A0D">
            <w:pPr>
              <w:pStyle w:val="26"/>
              <w:spacing w:before="20" w:after="20" w:line="276" w:lineRule="auto"/>
            </w:pPr>
            <w:r>
              <w:rPr>
                <w:rFonts w:hint="eastAsia" w:ascii="Times New Roman" w:hAnsi="Times New Roman" w:eastAsia="宋体"/>
                <w:sz w:val="20"/>
              </w:rPr>
              <w:t>集成电路企业生产设备最短折旧3年</w:t>
            </w:r>
          </w:p>
        </w:tc>
        <w:tc>
          <w:p w14:paraId="18823371">
            <w:pPr>
              <w:pStyle w:val="26"/>
              <w:spacing w:before="20" w:after="20" w:line="276" w:lineRule="auto"/>
            </w:pPr>
            <w:r>
              <w:rPr>
                <w:rFonts w:hint="eastAsia" w:ascii="Times New Roman" w:hAnsi="Times New Roman" w:eastAsia="宋体"/>
                <w:sz w:val="20"/>
              </w:rPr>
              <w:t>集成电路企业</w:t>
            </w:r>
          </w:p>
        </w:tc>
        <w:tc>
          <w:p w14:paraId="4B178F89">
            <w:pPr>
              <w:pStyle w:val="26"/>
              <w:spacing w:before="20" w:after="20" w:line="276" w:lineRule="auto"/>
            </w:pPr>
            <w:r>
              <w:rPr>
                <w:rFonts w:hint="eastAsia" w:ascii="Times New Roman" w:hAnsi="Times New Roman" w:eastAsia="宋体"/>
                <w:sz w:val="20"/>
              </w:rPr>
              <w:t>显著缩短</w:t>
            </w:r>
          </w:p>
        </w:tc>
      </w:tr>
      <w:tr w14:paraId="68BFF132">
        <w:tblPrEx>
          <w:tblCellMar>
            <w:top w:w="0" w:type="dxa"/>
            <w:left w:w="108" w:type="dxa"/>
            <w:bottom w:w="0" w:type="dxa"/>
            <w:right w:w="108" w:type="dxa"/>
          </w:tblCellMar>
        </w:tblPrEx>
        <w:trPr>
          <w:cantSplit/>
        </w:trPr>
        <w:tc>
          <w:p w14:paraId="2272103E">
            <w:pPr>
              <w:pStyle w:val="26"/>
              <w:spacing w:before="20" w:after="20" w:line="276" w:lineRule="auto"/>
            </w:pPr>
            <w:r>
              <w:rPr>
                <w:rFonts w:hint="eastAsia" w:ascii="Times New Roman" w:hAnsi="Times New Roman" w:eastAsia="宋体"/>
                <w:b/>
                <w:bCs/>
                <w:sz w:val="20"/>
              </w:rPr>
              <w:t>研发激励</w:t>
            </w:r>
          </w:p>
        </w:tc>
        <w:tc>
          <w:p w14:paraId="0B91A8C5">
            <w:pPr>
              <w:pStyle w:val="26"/>
              <w:spacing w:before="20" w:after="20" w:line="276" w:lineRule="auto"/>
            </w:pPr>
            <w:r>
              <w:rPr>
                <w:rFonts w:hint="eastAsia" w:ascii="Times New Roman" w:hAnsi="Times New Roman" w:eastAsia="宋体"/>
                <w:sz w:val="20"/>
              </w:rPr>
              <w:t>研发设备单位价值≤100万元可一次性扣除</w:t>
            </w:r>
          </w:p>
        </w:tc>
        <w:tc>
          <w:p w14:paraId="55B3A2B2">
            <w:pPr>
              <w:pStyle w:val="26"/>
              <w:spacing w:before="20" w:after="20" w:line="276" w:lineRule="auto"/>
            </w:pPr>
            <w:r>
              <w:rPr>
                <w:rFonts w:hint="eastAsia" w:ascii="Times New Roman" w:hAnsi="Times New Roman" w:eastAsia="宋体"/>
                <w:sz w:val="20"/>
              </w:rPr>
              <w:t>所有企业</w:t>
            </w:r>
          </w:p>
        </w:tc>
        <w:tc>
          <w:p w14:paraId="5C0E3C8E">
            <w:pPr>
              <w:pStyle w:val="26"/>
              <w:spacing w:before="20" w:after="20" w:line="276" w:lineRule="auto"/>
            </w:pPr>
            <w:r>
              <w:rPr>
                <w:rFonts w:hint="eastAsia" w:ascii="Times New Roman" w:hAnsi="Times New Roman" w:eastAsia="宋体"/>
                <w:sz w:val="20"/>
              </w:rPr>
              <w:t>最优惠</w:t>
            </w:r>
          </w:p>
        </w:tc>
      </w:tr>
      <w:tr w14:paraId="1A4EBE53">
        <w:tblPrEx>
          <w:tblCellMar>
            <w:top w:w="0" w:type="dxa"/>
            <w:left w:w="108" w:type="dxa"/>
            <w:bottom w:w="0" w:type="dxa"/>
            <w:right w:w="108" w:type="dxa"/>
          </w:tblCellMar>
        </w:tblPrEx>
        <w:trPr>
          <w:cantSplit/>
        </w:trPr>
        <w:tc>
          <w:p w14:paraId="7D86287F">
            <w:pPr>
              <w:pStyle w:val="26"/>
              <w:spacing w:before="20" w:after="20" w:line="276" w:lineRule="auto"/>
            </w:pPr>
            <w:r>
              <w:rPr>
                <w:rFonts w:hint="eastAsia" w:ascii="Times New Roman" w:hAnsi="Times New Roman" w:eastAsia="宋体"/>
                <w:b/>
                <w:bCs/>
                <w:sz w:val="20"/>
              </w:rPr>
              <w:t>制造业升级</w:t>
            </w:r>
          </w:p>
        </w:tc>
        <w:tc>
          <w:p w14:paraId="11B94F3E">
            <w:pPr>
              <w:pStyle w:val="26"/>
              <w:spacing w:before="20" w:after="20" w:line="276" w:lineRule="auto"/>
            </w:pPr>
            <w:r>
              <w:rPr>
                <w:rFonts w:hint="eastAsia" w:ascii="Times New Roman" w:hAnsi="Times New Roman" w:eastAsia="宋体"/>
                <w:sz w:val="20"/>
              </w:rPr>
              <w:t>制造业企业新购进固定资产可加速折旧</w:t>
            </w:r>
          </w:p>
        </w:tc>
        <w:tc>
          <w:p w14:paraId="60AC8BEF">
            <w:pPr>
              <w:pStyle w:val="26"/>
              <w:spacing w:before="20" w:after="20" w:line="276" w:lineRule="auto"/>
            </w:pPr>
            <w:r>
              <w:rPr>
                <w:rFonts w:hint="eastAsia" w:ascii="Times New Roman" w:hAnsi="Times New Roman" w:eastAsia="宋体"/>
                <w:sz w:val="20"/>
              </w:rPr>
              <w:t>制造业</w:t>
            </w:r>
          </w:p>
        </w:tc>
        <w:tc>
          <w:p w14:paraId="324A3ACA">
            <w:pPr>
              <w:pStyle w:val="26"/>
              <w:spacing w:before="20" w:after="20" w:line="276" w:lineRule="auto"/>
            </w:pPr>
            <w:r>
              <w:rPr>
                <w:rFonts w:hint="eastAsia" w:ascii="Times New Roman" w:hAnsi="Times New Roman" w:eastAsia="宋体"/>
                <w:sz w:val="20"/>
              </w:rPr>
              <w:t>缩短至60%</w:t>
            </w:r>
          </w:p>
        </w:tc>
      </w:tr>
      <w:tr w14:paraId="09CE5757">
        <w:tblPrEx>
          <w:tblCellMar>
            <w:top w:w="0" w:type="dxa"/>
            <w:left w:w="108" w:type="dxa"/>
            <w:bottom w:w="0" w:type="dxa"/>
            <w:right w:w="108" w:type="dxa"/>
          </w:tblCellMar>
        </w:tblPrEx>
        <w:trPr>
          <w:cantSplit/>
        </w:trPr>
        <w:tc>
          <w:p w14:paraId="71778682">
            <w:pPr>
              <w:pStyle w:val="26"/>
              <w:spacing w:before="20" w:after="20" w:line="276" w:lineRule="auto"/>
            </w:pPr>
            <w:r>
              <w:rPr>
                <w:rFonts w:hint="eastAsia" w:ascii="Times New Roman" w:hAnsi="Times New Roman" w:eastAsia="宋体"/>
                <w:b/>
                <w:bCs/>
                <w:sz w:val="20"/>
              </w:rPr>
              <w:t>区域性政策</w:t>
            </w:r>
          </w:p>
        </w:tc>
        <w:tc>
          <w:p w14:paraId="073E96AB">
            <w:pPr>
              <w:pStyle w:val="26"/>
              <w:spacing w:before="20" w:after="20" w:line="276" w:lineRule="auto"/>
            </w:pPr>
            <w:r>
              <w:rPr>
                <w:rFonts w:hint="eastAsia" w:ascii="Times New Roman" w:hAnsi="Times New Roman" w:eastAsia="宋体"/>
                <w:sz w:val="20"/>
              </w:rPr>
              <w:t>海南自贸港、横琴合作区企业可一次性扣除≤500万元资产</w:t>
            </w:r>
          </w:p>
        </w:tc>
        <w:tc>
          <w:p w14:paraId="3EEDE567">
            <w:pPr>
              <w:pStyle w:val="26"/>
              <w:spacing w:before="20" w:after="20" w:line="276" w:lineRule="auto"/>
            </w:pPr>
            <w:r>
              <w:rPr>
                <w:rFonts w:hint="eastAsia" w:ascii="Times New Roman" w:hAnsi="Times New Roman" w:eastAsia="宋体"/>
                <w:sz w:val="20"/>
              </w:rPr>
              <w:t>特定区域企业</w:t>
            </w:r>
          </w:p>
        </w:tc>
        <w:tc>
          <w:p w14:paraId="6FA2E40F">
            <w:pPr>
              <w:pStyle w:val="26"/>
              <w:spacing w:before="20" w:after="20" w:line="276" w:lineRule="auto"/>
            </w:pPr>
            <w:r>
              <w:rPr>
                <w:rFonts w:hint="eastAsia" w:ascii="Times New Roman" w:hAnsi="Times New Roman" w:eastAsia="宋体"/>
                <w:sz w:val="20"/>
              </w:rPr>
              <w:t>最优惠</w:t>
            </w:r>
          </w:p>
        </w:tc>
      </w:tr>
      <w:tr w14:paraId="03EE4BB0">
        <w:tblPrEx>
          <w:tblCellMar>
            <w:top w:w="0" w:type="dxa"/>
            <w:left w:w="108" w:type="dxa"/>
            <w:bottom w:w="0" w:type="dxa"/>
            <w:right w:w="108" w:type="dxa"/>
          </w:tblCellMar>
        </w:tblPrEx>
        <w:trPr>
          <w:cantSplit/>
        </w:trPr>
        <w:tc>
          <w:p w14:paraId="1BBF6F7B">
            <w:pPr>
              <w:pStyle w:val="26"/>
              <w:spacing w:before="20" w:after="20" w:line="276" w:lineRule="auto"/>
            </w:pPr>
            <w:r>
              <w:rPr>
                <w:rFonts w:hint="eastAsia" w:ascii="Times New Roman" w:hAnsi="Times New Roman" w:eastAsia="宋体"/>
                <w:b/>
                <w:bCs/>
                <w:sz w:val="20"/>
              </w:rPr>
              <w:t>中小微企业</w:t>
            </w:r>
          </w:p>
        </w:tc>
        <w:tc>
          <w:p w14:paraId="6A400365">
            <w:pPr>
              <w:pStyle w:val="26"/>
              <w:spacing w:before="20" w:after="20" w:line="276" w:lineRule="auto"/>
            </w:pPr>
            <w:r>
              <w:rPr>
                <w:rFonts w:hint="eastAsia" w:ascii="Times New Roman" w:hAnsi="Times New Roman" w:eastAsia="宋体"/>
                <w:sz w:val="20"/>
              </w:rPr>
              <w:t>2022年购置设备器具500万元以上可50%一次性扣除</w:t>
            </w:r>
          </w:p>
        </w:tc>
        <w:tc>
          <w:p w14:paraId="02CB760B">
            <w:pPr>
              <w:pStyle w:val="26"/>
              <w:spacing w:before="20" w:after="20" w:line="276" w:lineRule="auto"/>
            </w:pPr>
            <w:r>
              <w:rPr>
                <w:rFonts w:hint="eastAsia" w:ascii="Times New Roman" w:hAnsi="Times New Roman" w:eastAsia="宋体"/>
                <w:sz w:val="20"/>
              </w:rPr>
              <w:t>中小微企业</w:t>
            </w:r>
          </w:p>
        </w:tc>
        <w:tc>
          <w:p w14:paraId="66B80F21">
            <w:pPr>
              <w:pStyle w:val="26"/>
              <w:spacing w:before="20" w:after="20" w:line="276" w:lineRule="auto"/>
            </w:pPr>
            <w:r>
              <w:rPr>
                <w:rFonts w:hint="eastAsia" w:ascii="Times New Roman" w:hAnsi="Times New Roman" w:eastAsia="宋体"/>
                <w:sz w:val="20"/>
              </w:rPr>
              <w:t>显著优惠</w:t>
            </w:r>
          </w:p>
        </w:tc>
      </w:tr>
    </w:tbl>
    <w:p w14:paraId="6F32EB5E">
      <w:pPr>
        <w:pStyle w:val="3"/>
        <w:spacing w:before="40" w:after="40" w:line="360" w:lineRule="auto"/>
        <w:ind w:firstLine="480"/>
      </w:pPr>
      <w:r>
        <w:rPr>
          <w:rFonts w:hint="eastAsia" w:ascii="Times New Roman" w:hAnsi="Times New Roman" w:eastAsia="宋体"/>
          <w:b/>
          <w:bCs/>
          <w:sz w:val="24"/>
        </w:rPr>
        <w:t>（2）国际比较：中国政策的竞争力</w:t>
      </w:r>
    </w:p>
    <w:p w14:paraId="2E6E1232">
      <w:pPr>
        <w:pStyle w:val="3"/>
        <w:spacing w:before="40" w:after="40" w:line="360" w:lineRule="auto"/>
        <w:ind w:firstLine="480"/>
      </w:pPr>
      <w:r>
        <w:rPr>
          <w:rFonts w:hint="eastAsia" w:ascii="Times New Roman" w:hAnsi="Times New Roman" w:eastAsia="宋体"/>
          <w:sz w:val="24"/>
        </w:rPr>
        <w:t>与主要经济体相比，中国在折旧政策上的“促创新”导向十分明确：</w:t>
      </w:r>
    </w:p>
    <w:p w14:paraId="55A91FDF">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7-2 </w:t>
      </w:r>
      <w:r>
        <w:rPr>
          <w:rFonts w:hint="eastAsia" w:ascii="Times New Roman" w:hAnsi="Times New Roman" w:eastAsia="宋体"/>
          <w:i w:val="0"/>
          <w:sz w:val="21"/>
        </w:rPr>
        <w:t>主要经济体折旧政策比较</w:t>
      </w:r>
    </w:p>
    <w:tbl>
      <w:tblPr>
        <w:tblStyle w:val="43"/>
        <w:tblW w:w="5000" w:type="pct"/>
        <w:tblInd w:w="0" w:type="dxa"/>
        <w:tblLayout w:type="autofit"/>
        <w:tblCellMar>
          <w:top w:w="0" w:type="dxa"/>
          <w:left w:w="108" w:type="dxa"/>
          <w:bottom w:w="0" w:type="dxa"/>
          <w:right w:w="108" w:type="dxa"/>
        </w:tblCellMar>
      </w:tblPr>
      <w:tblGrid>
        <w:gridCol w:w="1831"/>
        <w:gridCol w:w="2597"/>
        <w:gridCol w:w="1824"/>
        <w:gridCol w:w="3036"/>
      </w:tblGrid>
      <w:tr w14:paraId="188D2D6C">
        <w:tblPrEx>
          <w:tblCellMar>
            <w:top w:w="0" w:type="dxa"/>
            <w:left w:w="108" w:type="dxa"/>
            <w:bottom w:w="0" w:type="dxa"/>
            <w:right w:w="108" w:type="dxa"/>
          </w:tblCellMar>
        </w:tblPrEx>
        <w:trPr>
          <w:cantSplit/>
          <w:tblHeader/>
        </w:trPr>
        <w:tc>
          <w:p w14:paraId="527D999F">
            <w:pPr>
              <w:pStyle w:val="26"/>
              <w:spacing w:before="20" w:after="20" w:line="276" w:lineRule="auto"/>
            </w:pPr>
            <w:r>
              <w:rPr>
                <w:rFonts w:hint="eastAsia" w:ascii="Times New Roman" w:hAnsi="Times New Roman" w:eastAsia="宋体"/>
                <w:sz w:val="20"/>
              </w:rPr>
              <w:t>国家/地区</w:t>
            </w:r>
          </w:p>
        </w:tc>
        <w:tc>
          <w:p w14:paraId="0A5F897A">
            <w:pPr>
              <w:pStyle w:val="26"/>
              <w:spacing w:before="20" w:after="20" w:line="276" w:lineRule="auto"/>
            </w:pPr>
            <w:r>
              <w:rPr>
                <w:rFonts w:hint="eastAsia" w:ascii="Times New Roman" w:hAnsi="Times New Roman" w:eastAsia="宋体"/>
                <w:sz w:val="20"/>
              </w:rPr>
              <w:t>服务器最低折旧年限</w:t>
            </w:r>
          </w:p>
        </w:tc>
        <w:tc>
          <w:p w14:paraId="3D22281F">
            <w:pPr>
              <w:pStyle w:val="26"/>
              <w:spacing w:before="20" w:after="20" w:line="276" w:lineRule="auto"/>
            </w:pPr>
            <w:r>
              <w:rPr>
                <w:rFonts w:hint="eastAsia" w:ascii="Times New Roman" w:hAnsi="Times New Roman" w:eastAsia="宋体"/>
                <w:sz w:val="20"/>
              </w:rPr>
              <w:t>软件摊销年限</w:t>
            </w:r>
          </w:p>
        </w:tc>
        <w:tc>
          <w:p w14:paraId="70C14154">
            <w:pPr>
              <w:pStyle w:val="26"/>
              <w:spacing w:before="20" w:after="20" w:line="276" w:lineRule="auto"/>
            </w:pPr>
            <w:r>
              <w:rPr>
                <w:rFonts w:hint="eastAsia" w:ascii="Times New Roman" w:hAnsi="Times New Roman" w:eastAsia="宋体"/>
                <w:sz w:val="20"/>
              </w:rPr>
              <w:t>研发设备特殊政策</w:t>
            </w:r>
          </w:p>
        </w:tc>
      </w:tr>
      <w:tr w14:paraId="6F966501">
        <w:tblPrEx>
          <w:tblCellMar>
            <w:top w:w="0" w:type="dxa"/>
            <w:left w:w="108" w:type="dxa"/>
            <w:bottom w:w="0" w:type="dxa"/>
            <w:right w:w="108" w:type="dxa"/>
          </w:tblCellMar>
        </w:tblPrEx>
        <w:trPr>
          <w:cantSplit/>
        </w:trPr>
        <w:tc>
          <w:p w14:paraId="0B2FE2B7">
            <w:pPr>
              <w:pStyle w:val="26"/>
              <w:spacing w:before="20" w:after="20" w:line="276" w:lineRule="auto"/>
            </w:pPr>
            <w:r>
              <w:rPr>
                <w:rFonts w:hint="eastAsia" w:ascii="Times New Roman" w:hAnsi="Times New Roman" w:eastAsia="宋体"/>
                <w:b/>
                <w:bCs/>
                <w:sz w:val="20"/>
              </w:rPr>
              <w:t>中国大陆</w:t>
            </w:r>
          </w:p>
        </w:tc>
        <w:tc>
          <w:p w14:paraId="078429F2">
            <w:pPr>
              <w:pStyle w:val="26"/>
              <w:spacing w:before="20" w:after="20" w:line="276" w:lineRule="auto"/>
            </w:pPr>
            <w:r>
              <w:rPr>
                <w:rFonts w:hint="eastAsia" w:ascii="Times New Roman" w:hAnsi="Times New Roman" w:eastAsia="宋体"/>
                <w:sz w:val="20"/>
              </w:rPr>
              <w:t>3年（加速折旧后）</w:t>
            </w:r>
          </w:p>
        </w:tc>
        <w:tc>
          <w:p w14:paraId="345DFF6C">
            <w:pPr>
              <w:pStyle w:val="26"/>
              <w:spacing w:before="20" w:after="20" w:line="276" w:lineRule="auto"/>
            </w:pPr>
            <w:r>
              <w:rPr>
                <w:rFonts w:hint="eastAsia" w:ascii="Times New Roman" w:hAnsi="Times New Roman" w:eastAsia="宋体"/>
                <w:sz w:val="20"/>
              </w:rPr>
              <w:t>2年</w:t>
            </w:r>
          </w:p>
        </w:tc>
        <w:tc>
          <w:p w14:paraId="0877F54D">
            <w:pPr>
              <w:pStyle w:val="26"/>
              <w:spacing w:before="20" w:after="20" w:line="276" w:lineRule="auto"/>
            </w:pPr>
            <w:r>
              <w:rPr>
                <w:rFonts w:hint="eastAsia" w:ascii="Times New Roman" w:hAnsi="Times New Roman" w:eastAsia="宋体"/>
                <w:sz w:val="20"/>
              </w:rPr>
              <w:t>一次性扣除（≤100万）</w:t>
            </w:r>
          </w:p>
        </w:tc>
      </w:tr>
      <w:tr w14:paraId="187D838A">
        <w:tblPrEx>
          <w:tblCellMar>
            <w:top w:w="0" w:type="dxa"/>
            <w:left w:w="108" w:type="dxa"/>
            <w:bottom w:w="0" w:type="dxa"/>
            <w:right w:w="108" w:type="dxa"/>
          </w:tblCellMar>
        </w:tblPrEx>
        <w:trPr>
          <w:cantSplit/>
        </w:trPr>
        <w:tc>
          <w:p w14:paraId="057D19AC">
            <w:pPr>
              <w:pStyle w:val="26"/>
              <w:spacing w:before="20" w:after="20" w:line="276" w:lineRule="auto"/>
            </w:pPr>
            <w:r>
              <w:rPr>
                <w:rFonts w:hint="eastAsia" w:ascii="Times New Roman" w:hAnsi="Times New Roman" w:eastAsia="宋体"/>
                <w:b/>
                <w:bCs/>
                <w:sz w:val="20"/>
              </w:rPr>
              <w:t>美国</w:t>
            </w:r>
          </w:p>
        </w:tc>
        <w:tc>
          <w:p w14:paraId="6DA9A9F9">
            <w:pPr>
              <w:pStyle w:val="26"/>
              <w:spacing w:before="20" w:after="20" w:line="276" w:lineRule="auto"/>
            </w:pPr>
            <w:r>
              <w:rPr>
                <w:rFonts w:hint="eastAsia" w:ascii="Times New Roman" w:hAnsi="Times New Roman" w:eastAsia="宋体"/>
                <w:sz w:val="20"/>
              </w:rPr>
              <w:t>5年（MACRS）</w:t>
            </w:r>
          </w:p>
        </w:tc>
        <w:tc>
          <w:p w14:paraId="66EB1D27">
            <w:pPr>
              <w:pStyle w:val="26"/>
              <w:spacing w:before="20" w:after="20" w:line="276" w:lineRule="auto"/>
            </w:pPr>
            <w:r>
              <w:rPr>
                <w:rFonts w:hint="eastAsia" w:ascii="Times New Roman" w:hAnsi="Times New Roman" w:eastAsia="宋体"/>
                <w:sz w:val="20"/>
              </w:rPr>
              <w:t>3年</w:t>
            </w:r>
          </w:p>
        </w:tc>
        <w:tc>
          <w:p w14:paraId="1EE996E6">
            <w:pPr>
              <w:pStyle w:val="26"/>
              <w:spacing w:before="20" w:after="20" w:line="276" w:lineRule="auto"/>
            </w:pPr>
            <w:r>
              <w:rPr>
                <w:rFonts w:hint="eastAsia" w:ascii="Times New Roman" w:hAnsi="Times New Roman" w:eastAsia="宋体"/>
                <w:sz w:val="20"/>
              </w:rPr>
              <w:t>无特殊政策</w:t>
            </w:r>
          </w:p>
        </w:tc>
      </w:tr>
      <w:tr w14:paraId="11161516">
        <w:tblPrEx>
          <w:tblCellMar>
            <w:top w:w="0" w:type="dxa"/>
            <w:left w:w="108" w:type="dxa"/>
            <w:bottom w:w="0" w:type="dxa"/>
            <w:right w:w="108" w:type="dxa"/>
          </w:tblCellMar>
        </w:tblPrEx>
        <w:trPr>
          <w:cantSplit/>
        </w:trPr>
        <w:tc>
          <w:p w14:paraId="42BC8D57">
            <w:pPr>
              <w:pStyle w:val="26"/>
              <w:spacing w:before="20" w:after="20" w:line="276" w:lineRule="auto"/>
            </w:pPr>
            <w:r>
              <w:rPr>
                <w:rFonts w:hint="eastAsia" w:ascii="Times New Roman" w:hAnsi="Times New Roman" w:eastAsia="宋体"/>
                <w:b/>
                <w:bCs/>
                <w:sz w:val="20"/>
              </w:rPr>
              <w:t>欧盟（平均）</w:t>
            </w:r>
          </w:p>
        </w:tc>
        <w:tc>
          <w:p w14:paraId="0A994BF2">
            <w:pPr>
              <w:pStyle w:val="26"/>
              <w:spacing w:before="20" w:after="20" w:line="276" w:lineRule="auto"/>
            </w:pPr>
            <w:r>
              <w:rPr>
                <w:rFonts w:hint="eastAsia" w:ascii="Times New Roman" w:hAnsi="Times New Roman" w:eastAsia="宋体"/>
                <w:sz w:val="20"/>
              </w:rPr>
              <w:t>4-7年</w:t>
            </w:r>
          </w:p>
        </w:tc>
        <w:tc>
          <w:p w14:paraId="6AAFFD05">
            <w:pPr>
              <w:pStyle w:val="26"/>
              <w:spacing w:before="20" w:after="20" w:line="276" w:lineRule="auto"/>
            </w:pPr>
            <w:r>
              <w:rPr>
                <w:rFonts w:hint="eastAsia" w:ascii="Times New Roman" w:hAnsi="Times New Roman" w:eastAsia="宋体"/>
                <w:sz w:val="20"/>
              </w:rPr>
              <w:t>3-5年</w:t>
            </w:r>
          </w:p>
        </w:tc>
        <w:tc>
          <w:p w14:paraId="07ACA4F6">
            <w:pPr>
              <w:pStyle w:val="26"/>
              <w:spacing w:before="20" w:after="20" w:line="276" w:lineRule="auto"/>
            </w:pPr>
            <w:r>
              <w:rPr>
                <w:rFonts w:hint="eastAsia" w:ascii="Times New Roman" w:hAnsi="Times New Roman" w:eastAsia="宋体"/>
                <w:sz w:val="20"/>
              </w:rPr>
              <w:t>各国差异大</w:t>
            </w:r>
          </w:p>
        </w:tc>
      </w:tr>
      <w:tr w14:paraId="64699FEA">
        <w:tblPrEx>
          <w:tblCellMar>
            <w:top w:w="0" w:type="dxa"/>
            <w:left w:w="108" w:type="dxa"/>
            <w:bottom w:w="0" w:type="dxa"/>
            <w:right w:w="108" w:type="dxa"/>
          </w:tblCellMar>
        </w:tblPrEx>
        <w:trPr>
          <w:cantSplit/>
        </w:trPr>
        <w:tc>
          <w:p w14:paraId="1E02F033">
            <w:pPr>
              <w:pStyle w:val="26"/>
              <w:spacing w:before="20" w:after="20" w:line="276" w:lineRule="auto"/>
            </w:pPr>
            <w:r>
              <w:rPr>
                <w:rFonts w:hint="eastAsia" w:ascii="Times New Roman" w:hAnsi="Times New Roman" w:eastAsia="宋体"/>
                <w:b/>
                <w:bCs/>
                <w:sz w:val="20"/>
              </w:rPr>
              <w:t>日本</w:t>
            </w:r>
          </w:p>
        </w:tc>
        <w:tc>
          <w:p w14:paraId="650BE8C9">
            <w:pPr>
              <w:pStyle w:val="26"/>
              <w:spacing w:before="20" w:after="20" w:line="276" w:lineRule="auto"/>
            </w:pPr>
            <w:r>
              <w:rPr>
                <w:rFonts w:hint="eastAsia" w:ascii="Times New Roman" w:hAnsi="Times New Roman" w:eastAsia="宋体"/>
                <w:sz w:val="20"/>
              </w:rPr>
              <w:t>4年</w:t>
            </w:r>
          </w:p>
        </w:tc>
        <w:tc>
          <w:p w14:paraId="5B9A1D50">
            <w:pPr>
              <w:pStyle w:val="26"/>
              <w:spacing w:before="20" w:after="20" w:line="276" w:lineRule="auto"/>
            </w:pPr>
            <w:r>
              <w:rPr>
                <w:rFonts w:hint="eastAsia" w:ascii="Times New Roman" w:hAnsi="Times New Roman" w:eastAsia="宋体"/>
                <w:sz w:val="20"/>
              </w:rPr>
              <w:t>5年</w:t>
            </w:r>
          </w:p>
        </w:tc>
        <w:tc>
          <w:p w14:paraId="6E0288C8">
            <w:pPr>
              <w:pStyle w:val="26"/>
              <w:spacing w:before="20" w:after="20" w:line="276" w:lineRule="auto"/>
            </w:pPr>
            <w:r>
              <w:rPr>
                <w:rFonts w:hint="eastAsia" w:ascii="Times New Roman" w:hAnsi="Times New Roman" w:eastAsia="宋体"/>
                <w:sz w:val="20"/>
              </w:rPr>
              <w:t>税额扣除</w:t>
            </w:r>
          </w:p>
        </w:tc>
      </w:tr>
      <w:tr w14:paraId="5FEBD0B0">
        <w:tblPrEx>
          <w:tblCellMar>
            <w:top w:w="0" w:type="dxa"/>
            <w:left w:w="108" w:type="dxa"/>
            <w:bottom w:w="0" w:type="dxa"/>
            <w:right w:w="108" w:type="dxa"/>
          </w:tblCellMar>
        </w:tblPrEx>
        <w:trPr>
          <w:cantSplit/>
        </w:trPr>
        <w:tc>
          <w:p w14:paraId="6A554C07">
            <w:pPr>
              <w:pStyle w:val="26"/>
              <w:spacing w:before="20" w:after="20" w:line="276" w:lineRule="auto"/>
            </w:pPr>
            <w:r>
              <w:rPr>
                <w:rFonts w:hint="eastAsia" w:ascii="Times New Roman" w:hAnsi="Times New Roman" w:eastAsia="宋体"/>
                <w:b/>
                <w:bCs/>
                <w:sz w:val="20"/>
              </w:rPr>
              <w:t>韩国</w:t>
            </w:r>
          </w:p>
        </w:tc>
        <w:tc>
          <w:p w14:paraId="28E389C6">
            <w:pPr>
              <w:pStyle w:val="26"/>
              <w:spacing w:before="20" w:after="20" w:line="276" w:lineRule="auto"/>
            </w:pPr>
            <w:r>
              <w:rPr>
                <w:rFonts w:hint="eastAsia" w:ascii="Times New Roman" w:hAnsi="Times New Roman" w:eastAsia="宋体"/>
                <w:sz w:val="20"/>
              </w:rPr>
              <w:t>3年</w:t>
            </w:r>
          </w:p>
        </w:tc>
        <w:tc>
          <w:p w14:paraId="34902A93">
            <w:pPr>
              <w:pStyle w:val="26"/>
              <w:spacing w:before="20" w:after="20" w:line="276" w:lineRule="auto"/>
            </w:pPr>
            <w:r>
              <w:rPr>
                <w:rFonts w:hint="eastAsia" w:ascii="Times New Roman" w:hAnsi="Times New Roman" w:eastAsia="宋体"/>
                <w:sz w:val="20"/>
              </w:rPr>
              <w:t>3年</w:t>
            </w:r>
          </w:p>
        </w:tc>
        <w:tc>
          <w:p w14:paraId="7F1AF834">
            <w:pPr>
              <w:pStyle w:val="26"/>
              <w:spacing w:before="20" w:after="20" w:line="276" w:lineRule="auto"/>
            </w:pPr>
            <w:r>
              <w:rPr>
                <w:rFonts w:hint="eastAsia" w:ascii="Times New Roman" w:hAnsi="Times New Roman" w:eastAsia="宋体"/>
                <w:sz w:val="20"/>
              </w:rPr>
              <w:t>加速折旧</w:t>
            </w:r>
          </w:p>
        </w:tc>
      </w:tr>
    </w:tbl>
    <w:p w14:paraId="0F0500A4">
      <w:pPr>
        <w:pStyle w:val="3"/>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中国的折旧政策在“鼓励企业加速折旧、促进技术更新”方面已处于国际第一梯队。特别是“研发设备一次性扣除”和“外购软件2年摊销”两项政策，直接针对科技型企业的核心资产，体现了鲜明的政策导向。</w:t>
      </w:r>
    </w:p>
    <w:bookmarkEnd w:id="151"/>
    <w:p w14:paraId="64B07139">
      <w:pPr>
        <w:pStyle w:val="5"/>
        <w:spacing w:before="240" w:after="120" w:line="360" w:lineRule="auto"/>
      </w:pPr>
      <w:bookmarkStart w:id="152" w:name="政策的执行盲区为什么好政策没有解决真问题"/>
      <w:r>
        <w:rPr>
          <w:rFonts w:ascii="Times New Roman" w:hAnsi="Times New Roman" w:eastAsia="黑体"/>
          <w:b/>
          <w:color w:val="003366"/>
          <w:sz w:val="24"/>
        </w:rPr>
        <w:t xml:space="preserve">7.1.2 </w:t>
      </w:r>
      <w:r>
        <w:rPr>
          <w:rFonts w:hint="eastAsia" w:ascii="Times New Roman" w:hAnsi="Times New Roman" w:eastAsia="黑体"/>
          <w:b/>
          <w:color w:val="003366"/>
          <w:sz w:val="24"/>
        </w:rPr>
        <w:t>政策的“执行盲区”：为什么“好政策”没有解决“真问题”</w:t>
      </w:r>
    </w:p>
    <w:p w14:paraId="269D3B27">
      <w:pPr>
        <w:pStyle w:val="25"/>
        <w:spacing w:before="40" w:after="40" w:line="360" w:lineRule="auto"/>
        <w:ind w:firstLine="480"/>
      </w:pPr>
      <w:r>
        <w:rPr>
          <w:rFonts w:hint="eastAsia" w:ascii="Times New Roman" w:hAnsi="Times New Roman" w:eastAsia="宋体"/>
          <w:sz w:val="24"/>
        </w:rPr>
        <w:t>既然政策已经如此优惠，为什么</w:t>
      </w:r>
      <w:r>
        <w:rPr>
          <w:rFonts w:ascii="Times New Roman" w:hAnsi="Times New Roman" w:eastAsia="宋体"/>
          <w:sz w:val="24"/>
        </w:rPr>
        <w:t xml:space="preserve"> depreciation </w:t>
      </w:r>
      <w:r>
        <w:rPr>
          <w:rFonts w:hint="eastAsia" w:ascii="Times New Roman" w:hAnsi="Times New Roman" w:eastAsia="宋体"/>
          <w:sz w:val="24"/>
        </w:rPr>
        <w:t>mismatch（折旧错配）问题依然存在？我们的研究发现，问题出在</w:t>
      </w:r>
      <w:r>
        <w:rPr>
          <w:rFonts w:hint="eastAsia" w:ascii="Times New Roman" w:hAnsi="Times New Roman" w:eastAsia="宋体"/>
          <w:b/>
          <w:bCs/>
          <w:sz w:val="24"/>
        </w:rPr>
        <w:t>政策的“单向激励”与企业的“双向操作空间”之间的不对称</w:t>
      </w:r>
      <w:r>
        <w:rPr>
          <w:rFonts w:ascii="Times New Roman" w:hAnsi="Times New Roman" w:eastAsia="宋体"/>
          <w:sz w:val="24"/>
        </w:rPr>
        <w:t>。</w:t>
      </w:r>
    </w:p>
    <w:p w14:paraId="0DAAB021">
      <w:pPr>
        <w:pStyle w:val="3"/>
        <w:spacing w:before="40" w:after="40" w:line="360" w:lineRule="auto"/>
        <w:ind w:firstLine="480"/>
      </w:pPr>
      <w:r>
        <w:rPr>
          <w:rFonts w:hint="eastAsia" w:ascii="Times New Roman" w:hAnsi="Times New Roman" w:eastAsia="宋体"/>
          <w:b/>
          <w:bCs/>
          <w:sz w:val="24"/>
        </w:rPr>
        <w:t>（1）盲区一：政策鼓励“加速折旧”，但无法阻止“反向操作”</w:t>
      </w:r>
    </w:p>
    <w:p w14:paraId="35E286AA">
      <w:pPr>
        <w:pStyle w:val="3"/>
        <w:spacing w:before="40" w:after="40" w:line="360" w:lineRule="auto"/>
        <w:ind w:firstLine="480"/>
      </w:pPr>
      <w:r>
        <w:rPr>
          <w:rFonts w:hint="eastAsia" w:ascii="Times New Roman" w:hAnsi="Times New Roman" w:eastAsia="宋体"/>
          <w:sz w:val="24"/>
        </w:rPr>
        <w:t>中国的折旧政策设计逻辑是“税收优惠引导企业加速折旧”——加速折旧意味着前期成本增加、利润减少、所得税减少。这一设计在理论上完美：政府让渡短期税收收入，换取企业加快技术更新、提升长期竞争力。</w:t>
      </w:r>
    </w:p>
    <w:p w14:paraId="44962EB8">
      <w:pPr>
        <w:pStyle w:val="3"/>
        <w:spacing w:before="40" w:after="40" w:line="360" w:lineRule="auto"/>
        <w:ind w:firstLine="480"/>
      </w:pPr>
      <w:r>
        <w:rPr>
          <w:rFonts w:hint="eastAsia" w:ascii="Times New Roman" w:hAnsi="Times New Roman" w:eastAsia="宋体"/>
          <w:sz w:val="24"/>
        </w:rPr>
        <w:t>然而，政策的“漏洞”在于：</w:t>
      </w:r>
      <w:r>
        <w:rPr>
          <w:rFonts w:hint="eastAsia" w:ascii="Times New Roman" w:hAnsi="Times New Roman" w:eastAsia="宋体"/>
          <w:b/>
          <w:bCs/>
          <w:sz w:val="24"/>
        </w:rPr>
        <w:t>企业可以选择不接受这一优惠</w:t>
      </w:r>
      <w:r>
        <w:rPr>
          <w:rFonts w:hint="eastAsia" w:ascii="Times New Roman" w:hAnsi="Times New Roman" w:eastAsia="宋体"/>
          <w:sz w:val="24"/>
        </w:rPr>
        <w:t>。当企业处于IPO前、业绩对赌期、或股价敏感期时，延长折旧年限（而非加速折旧）反而能“释放利润”、美化报表。政策给了企业“加速”的权利，但没有剥夺企业“减速”的权利。</w:t>
      </w:r>
    </w:p>
    <w:p w14:paraId="7E186ADA">
      <w:pPr>
        <w:pStyle w:val="3"/>
        <w:spacing w:before="40" w:after="40" w:line="360" w:lineRule="auto"/>
        <w:ind w:firstLine="480"/>
      </w:pPr>
      <w:r>
        <w:rPr>
          <w:rFonts w:hint="eastAsia" w:ascii="Times New Roman" w:hAnsi="Times New Roman" w:eastAsia="宋体"/>
          <w:b/>
          <w:bCs/>
          <w:sz w:val="24"/>
        </w:rPr>
        <w:t>典型案例</w:t>
      </w:r>
      <w:r>
        <w:rPr>
          <w:rFonts w:hint="eastAsia" w:ascii="Times New Roman" w:hAnsi="Times New Roman" w:eastAsia="宋体"/>
          <w:sz w:val="24"/>
        </w:rPr>
        <w:t>：</w:t>
      </w:r>
    </w:p>
    <w:p w14:paraId="2B9CCE5C">
      <w:pPr>
        <w:pStyle w:val="26"/>
        <w:spacing w:before="40" w:after="40" w:line="360" w:lineRule="auto"/>
        <w:ind w:left="420"/>
      </w:pPr>
      <w:r>
        <w:rPr>
          <w:rFonts w:hint="eastAsia" w:ascii="Times New Roman" w:hAnsi="Times New Roman" w:eastAsia="宋体"/>
          <w:sz w:val="24"/>
        </w:rPr>
        <w:t>Meta（美国）：服务器折旧年限从4年延长至5-6年，预计释放$2.9B利润</w:t>
      </w:r>
    </w:p>
    <w:p w14:paraId="0B2F03BA">
      <w:pPr>
        <w:pStyle w:val="26"/>
        <w:spacing w:before="40" w:after="40" w:line="360" w:lineRule="auto"/>
        <w:ind w:left="420"/>
      </w:pPr>
      <w:r>
        <w:rPr>
          <w:rFonts w:hint="eastAsia" w:ascii="Times New Roman" w:hAnsi="Times New Roman" w:eastAsia="宋体"/>
          <w:sz w:val="24"/>
        </w:rPr>
        <w:t>奥飞数据（中国）：IDC设备折旧年限从5年延长至10-20年，直接决定盈亏</w:t>
      </w:r>
    </w:p>
    <w:p w14:paraId="326C8D24">
      <w:pPr>
        <w:pStyle w:val="25"/>
        <w:spacing w:before="40" w:after="40" w:line="360" w:lineRule="auto"/>
        <w:ind w:firstLine="480"/>
      </w:pPr>
      <w:r>
        <w:rPr>
          <w:rFonts w:hint="eastAsia" w:ascii="Times New Roman" w:hAnsi="Times New Roman" w:eastAsia="宋体"/>
          <w:sz w:val="24"/>
        </w:rPr>
        <w:t>这两家企业都没有违反任何会计准则或税法——它们只是</w:t>
      </w:r>
      <w:r>
        <w:rPr>
          <w:rFonts w:hint="eastAsia" w:ascii="Times New Roman" w:hAnsi="Times New Roman" w:eastAsia="宋体"/>
          <w:b/>
          <w:bCs/>
          <w:sz w:val="24"/>
        </w:rPr>
        <w:t>在政策的“双向操作空间”中选择了对自己最有利的方向</w:t>
      </w:r>
      <w:r>
        <w:rPr>
          <w:rFonts w:ascii="Times New Roman" w:hAnsi="Times New Roman" w:eastAsia="宋体"/>
          <w:sz w:val="24"/>
        </w:rPr>
        <w:t>。</w:t>
      </w:r>
    </w:p>
    <w:p w14:paraId="1EF0C15F">
      <w:pPr>
        <w:pStyle w:val="3"/>
        <w:spacing w:before="40" w:after="40" w:line="360" w:lineRule="auto"/>
        <w:ind w:firstLine="480"/>
      </w:pPr>
      <w:r>
        <w:rPr>
          <w:rFonts w:hint="eastAsia" w:ascii="Times New Roman" w:hAnsi="Times New Roman" w:eastAsia="宋体"/>
          <w:b/>
          <w:bCs/>
          <w:sz w:val="24"/>
        </w:rPr>
        <w:t>（2）盲区二：政策关注“企业端”，忽视“投资者端”</w:t>
      </w:r>
    </w:p>
    <w:p w14:paraId="2671346D">
      <w:pPr>
        <w:pStyle w:val="3"/>
        <w:spacing w:before="40" w:after="40" w:line="360" w:lineRule="auto"/>
        <w:ind w:firstLine="480"/>
      </w:pPr>
      <w:r>
        <w:rPr>
          <w:rFonts w:hint="eastAsia" w:ascii="Times New Roman" w:hAnsi="Times New Roman" w:eastAsia="宋体"/>
          <w:sz w:val="24"/>
        </w:rPr>
        <w:t>现有折旧政策的受益主体是企业（通过节税或利润调节），但</w:t>
      </w:r>
      <w:r>
        <w:rPr>
          <w:rFonts w:hint="eastAsia" w:ascii="Times New Roman" w:hAnsi="Times New Roman" w:eastAsia="宋体"/>
          <w:b/>
          <w:bCs/>
          <w:sz w:val="24"/>
        </w:rPr>
        <w:t>风险的承担主体是投资者</w:t>
      </w:r>
      <w:r>
        <w:rPr>
          <w:rFonts w:hint="eastAsia" w:ascii="Times New Roman" w:hAnsi="Times New Roman" w:eastAsia="宋体"/>
          <w:sz w:val="24"/>
        </w:rPr>
        <w:t>。当企业延长折旧年限释放“纸面利润”时：</w:t>
      </w:r>
    </w:p>
    <w:p w14:paraId="06BDDB9B">
      <w:pPr>
        <w:pStyle w:val="26"/>
        <w:spacing w:before="40" w:after="40" w:line="360" w:lineRule="auto"/>
        <w:ind w:left="420"/>
      </w:pPr>
      <w:r>
        <w:rPr>
          <w:rFonts w:hint="eastAsia" w:ascii="Times New Roman" w:hAnsi="Times New Roman" w:eastAsia="宋体"/>
          <w:sz w:val="24"/>
        </w:rPr>
        <w:t>企业管理层获得股权激励收益</w:t>
      </w:r>
    </w:p>
    <w:p w14:paraId="288AA073">
      <w:pPr>
        <w:pStyle w:val="26"/>
        <w:spacing w:before="40" w:after="40" w:line="360" w:lineRule="auto"/>
        <w:ind w:left="420"/>
      </w:pPr>
      <w:r>
        <w:rPr>
          <w:rFonts w:hint="eastAsia" w:ascii="Times New Roman" w:hAnsi="Times New Roman" w:eastAsia="宋体"/>
          <w:sz w:val="24"/>
        </w:rPr>
        <w:t>承销商获得IPO承销费</w:t>
      </w:r>
    </w:p>
    <w:p w14:paraId="5B639B9B">
      <w:pPr>
        <w:pStyle w:val="26"/>
        <w:spacing w:before="40" w:after="40" w:line="360" w:lineRule="auto"/>
        <w:ind w:left="420"/>
      </w:pPr>
      <w:r>
        <w:rPr>
          <w:rFonts w:hint="eastAsia" w:ascii="Times New Roman" w:hAnsi="Times New Roman" w:eastAsia="宋体"/>
          <w:sz w:val="24"/>
        </w:rPr>
        <w:t>会计师事务所获得审计费</w:t>
      </w:r>
    </w:p>
    <w:p w14:paraId="0262264B">
      <w:pPr>
        <w:pStyle w:val="26"/>
        <w:spacing w:before="40" w:after="40" w:line="360" w:lineRule="auto"/>
        <w:ind w:left="420"/>
      </w:pPr>
      <w:r>
        <w:rPr>
          <w:rFonts w:hint="eastAsia" w:ascii="Times New Roman" w:hAnsi="Times New Roman" w:eastAsia="宋体"/>
          <w:b/>
          <w:bCs/>
          <w:sz w:val="24"/>
        </w:rPr>
        <w:t>投资者</w:t>
      </w:r>
      <w:r>
        <w:rPr>
          <w:rFonts w:hint="eastAsia" w:ascii="Times New Roman" w:hAnsi="Times New Roman" w:eastAsia="宋体"/>
          <w:sz w:val="24"/>
        </w:rPr>
        <w:t>承担未来资产减值的风险</w:t>
      </w:r>
    </w:p>
    <w:p w14:paraId="5DA8D213">
      <w:pPr>
        <w:pStyle w:val="25"/>
        <w:spacing w:before="40" w:after="40" w:line="360" w:lineRule="auto"/>
        <w:ind w:firstLine="480"/>
      </w:pPr>
      <w:r>
        <w:rPr>
          <w:rFonts w:hint="eastAsia" w:ascii="Times New Roman" w:hAnsi="Times New Roman" w:eastAsia="宋体"/>
          <w:sz w:val="24"/>
        </w:rPr>
        <w:t>这种“收益-风险不对称”是现有政策框架无法解决的——政策设计没有将投资者保护纳入考量。</w:t>
      </w:r>
    </w:p>
    <w:p w14:paraId="6024AF78">
      <w:pPr>
        <w:pStyle w:val="3"/>
        <w:spacing w:before="40" w:after="40" w:line="360" w:lineRule="auto"/>
        <w:ind w:firstLine="480"/>
      </w:pPr>
      <w:r>
        <w:rPr>
          <w:rFonts w:hint="eastAsia" w:ascii="Times New Roman" w:hAnsi="Times New Roman" w:eastAsia="宋体"/>
          <w:b/>
          <w:bCs/>
          <w:sz w:val="24"/>
        </w:rPr>
        <w:t>（3）盲区三：政策是“静态规则”，市场是“动态博弈”</w:t>
      </w:r>
    </w:p>
    <w:p w14:paraId="3E0496B0">
      <w:pPr>
        <w:pStyle w:val="3"/>
        <w:spacing w:before="40" w:after="40" w:line="360" w:lineRule="auto"/>
        <w:ind w:firstLine="480"/>
      </w:pPr>
      <w:r>
        <w:rPr>
          <w:rFonts w:hint="eastAsia" w:ascii="Times New Roman" w:hAnsi="Times New Roman" w:eastAsia="宋体"/>
          <w:sz w:val="24"/>
        </w:rPr>
        <w:t>折旧政策以法规形式固化，更新周期通常以年计。但企业的会计估计操纵手法在不断“创新”：从简单的延长年限，到复杂的“估计变更+资产重分类+减值准备”组合拳。静态的政策规则永远滞后于动态的市场博弈。</w:t>
      </w:r>
    </w:p>
    <w:bookmarkEnd w:id="152"/>
    <w:p w14:paraId="41BF9CDF">
      <w:pPr>
        <w:pStyle w:val="5"/>
        <w:spacing w:before="240" w:after="120" w:line="360" w:lineRule="auto"/>
      </w:pPr>
      <w:bookmarkStart w:id="153" w:name="双轮驱动方案政策引导市场缓释"/>
      <w:r>
        <w:rPr>
          <w:rFonts w:ascii="Times New Roman" w:hAnsi="Times New Roman" w:eastAsia="黑体"/>
          <w:b/>
          <w:color w:val="003366"/>
          <w:sz w:val="24"/>
        </w:rPr>
        <w:t xml:space="preserve">7.1.3 </w:t>
      </w:r>
      <w:r>
        <w:rPr>
          <w:rFonts w:hint="eastAsia" w:ascii="Times New Roman" w:hAnsi="Times New Roman" w:eastAsia="黑体"/>
          <w:b/>
          <w:color w:val="003366"/>
          <w:sz w:val="24"/>
        </w:rPr>
        <w:t>“双轮驱动”方案：政策引导+市场缓释</w:t>
      </w:r>
    </w:p>
    <w:p w14:paraId="0148A025">
      <w:pPr>
        <w:pStyle w:val="25"/>
        <w:spacing w:before="40" w:after="40" w:line="360" w:lineRule="auto"/>
        <w:ind w:firstLine="480"/>
      </w:pPr>
      <w:r>
        <w:rPr>
          <w:rFonts w:hint="eastAsia" w:ascii="Times New Roman" w:hAnsi="Times New Roman" w:eastAsia="宋体"/>
          <w:sz w:val="24"/>
        </w:rPr>
        <w:t>本项目的核心贡献不是提出“比现有政策更好的折旧政策”，而是提出</w:t>
      </w:r>
      <w:r>
        <w:rPr>
          <w:rFonts w:hint="eastAsia" w:ascii="Times New Roman" w:hAnsi="Times New Roman" w:eastAsia="宋体"/>
          <w:b/>
          <w:bCs/>
          <w:sz w:val="24"/>
        </w:rPr>
        <w:t>与现有政策互补的市场化机制</w:t>
      </w:r>
      <w:r>
        <w:rPr>
          <w:rFonts w:hint="eastAsia" w:ascii="Times New Roman" w:hAnsi="Times New Roman" w:eastAsia="宋体"/>
          <w:sz w:val="24"/>
        </w:rPr>
        <w:t>——通过保险产品（DMVI/ESI）和风险识别工具（5D-DRS），构建“政策引导+市场缓释”的双轮驱动体系。</w:t>
      </w:r>
    </w:p>
    <w:p w14:paraId="28C6972D">
      <w:pPr>
        <w:pStyle w:val="3"/>
        <w:spacing w:before="40" w:after="40" w:line="360" w:lineRule="auto"/>
        <w:ind w:firstLine="480"/>
      </w:pPr>
      <w:r>
        <w:rPr>
          <w:rFonts w:hint="eastAsia" w:ascii="Times New Roman" w:hAnsi="Times New Roman" w:eastAsia="宋体"/>
          <w:b/>
          <w:bCs/>
          <w:sz w:val="24"/>
        </w:rPr>
        <w:t>（1）双轮驱动的逻辑架构</w:t>
      </w:r>
    </w:p>
    <w:p w14:paraId="065C642C">
      <w:pPr>
        <w:pStyle w:val="3"/>
        <w:spacing w:before="80" w:after="120" w:line="312" w:lineRule="auto"/>
        <w:ind w:firstLine="0"/>
        <w:jc w:val="center"/>
      </w:pPr>
      <w:r>
        <w:drawing>
          <wp:inline distT="0" distB="0" distL="114300" distR="114300">
            <wp:extent cx="5029200"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029200" cy="3581589"/>
                    </a:xfrm>
                    <a:prstGeom prst="rect">
                      <a:avLst/>
                    </a:prstGeom>
                  </pic:spPr>
                </pic:pic>
              </a:graphicData>
            </a:graphic>
          </wp:inline>
        </w:drawing>
      </w:r>
    </w:p>
    <w:p w14:paraId="56D7AE10">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7-1 </w:t>
      </w:r>
      <w:r>
        <w:rPr>
          <w:rFonts w:hint="eastAsia" w:ascii="Times New Roman" w:hAnsi="Times New Roman" w:eastAsia="宋体"/>
          <w:i w:val="0"/>
          <w:sz w:val="21"/>
        </w:rPr>
        <w:t>“政策引导+市场缓释”双轮驱动架构</w:t>
      </w:r>
    </w:p>
    <w:p w14:paraId="556EA481">
      <w:pPr>
        <w:pStyle w:val="3"/>
        <w:spacing w:before="40" w:after="40" w:line="360" w:lineRule="auto"/>
        <w:ind w:firstLine="480"/>
      </w:pPr>
      <w:r>
        <w:rPr>
          <w:rFonts w:hint="eastAsia" w:ascii="Times New Roman" w:hAnsi="Times New Roman" w:eastAsia="宋体"/>
          <w:b/>
          <w:bCs/>
          <w:sz w:val="24"/>
        </w:rPr>
        <w:t>（2）两轮驱动的协同效应</w:t>
      </w:r>
    </w:p>
    <w:tbl>
      <w:tblPr>
        <w:tblStyle w:val="43"/>
        <w:tblW w:w="5000" w:type="pct"/>
        <w:tblInd w:w="0" w:type="dxa"/>
        <w:tblLayout w:type="autofit"/>
        <w:tblCellMar>
          <w:top w:w="0" w:type="dxa"/>
          <w:left w:w="108" w:type="dxa"/>
          <w:bottom w:w="0" w:type="dxa"/>
          <w:right w:w="108" w:type="dxa"/>
        </w:tblCellMar>
      </w:tblPr>
      <w:tblGrid>
        <w:gridCol w:w="1013"/>
        <w:gridCol w:w="3305"/>
        <w:gridCol w:w="3305"/>
        <w:gridCol w:w="1665"/>
      </w:tblGrid>
      <w:tr w14:paraId="2A5DED95">
        <w:tblPrEx>
          <w:tblCellMar>
            <w:top w:w="0" w:type="dxa"/>
            <w:left w:w="108" w:type="dxa"/>
            <w:bottom w:w="0" w:type="dxa"/>
            <w:right w:w="108" w:type="dxa"/>
          </w:tblCellMar>
        </w:tblPrEx>
        <w:trPr>
          <w:cantSplit/>
          <w:tblHeader/>
        </w:trPr>
        <w:tc>
          <w:p w14:paraId="53A9A926">
            <w:pPr>
              <w:pStyle w:val="26"/>
              <w:spacing w:before="20" w:after="20" w:line="276" w:lineRule="auto"/>
            </w:pPr>
            <w:r>
              <w:rPr>
                <w:rFonts w:hint="eastAsia" w:ascii="Times New Roman" w:hAnsi="Times New Roman" w:eastAsia="宋体"/>
                <w:sz w:val="20"/>
              </w:rPr>
              <w:t>维度</w:t>
            </w:r>
          </w:p>
        </w:tc>
        <w:tc>
          <w:p w14:paraId="5528DEA6">
            <w:pPr>
              <w:pStyle w:val="26"/>
              <w:spacing w:before="20" w:after="20" w:line="276" w:lineRule="auto"/>
            </w:pPr>
            <w:r>
              <w:rPr>
                <w:rFonts w:hint="eastAsia" w:ascii="Times New Roman" w:hAnsi="Times New Roman" w:eastAsia="宋体"/>
                <w:sz w:val="20"/>
              </w:rPr>
              <w:t>政策引导（第一轮）</w:t>
            </w:r>
          </w:p>
        </w:tc>
        <w:tc>
          <w:p w14:paraId="07B10D04">
            <w:pPr>
              <w:pStyle w:val="26"/>
              <w:spacing w:before="20" w:after="20" w:line="276" w:lineRule="auto"/>
            </w:pPr>
            <w:r>
              <w:rPr>
                <w:rFonts w:hint="eastAsia" w:ascii="Times New Roman" w:hAnsi="Times New Roman" w:eastAsia="宋体"/>
                <w:sz w:val="20"/>
              </w:rPr>
              <w:t>市场缓释（第二轮）</w:t>
            </w:r>
          </w:p>
        </w:tc>
        <w:tc>
          <w:p w14:paraId="001809BE">
            <w:pPr>
              <w:pStyle w:val="26"/>
              <w:spacing w:before="20" w:after="20" w:line="276" w:lineRule="auto"/>
            </w:pPr>
            <w:r>
              <w:rPr>
                <w:rFonts w:hint="eastAsia" w:ascii="Times New Roman" w:hAnsi="Times New Roman" w:eastAsia="宋体"/>
                <w:sz w:val="20"/>
              </w:rPr>
              <w:t>协同效应</w:t>
            </w:r>
          </w:p>
        </w:tc>
      </w:tr>
      <w:tr w14:paraId="7F6E8595">
        <w:tblPrEx>
          <w:tblCellMar>
            <w:top w:w="0" w:type="dxa"/>
            <w:left w:w="108" w:type="dxa"/>
            <w:bottom w:w="0" w:type="dxa"/>
            <w:right w:w="108" w:type="dxa"/>
          </w:tblCellMar>
        </w:tblPrEx>
        <w:trPr>
          <w:cantSplit/>
        </w:trPr>
        <w:tc>
          <w:p w14:paraId="3B59D22D">
            <w:pPr>
              <w:pStyle w:val="26"/>
              <w:spacing w:before="20" w:after="20" w:line="276" w:lineRule="auto"/>
            </w:pPr>
            <w:r>
              <w:rPr>
                <w:rFonts w:hint="eastAsia" w:ascii="Times New Roman" w:hAnsi="Times New Roman" w:eastAsia="宋体"/>
                <w:b/>
                <w:bCs/>
                <w:sz w:val="20"/>
              </w:rPr>
              <w:t>目标</w:t>
            </w:r>
          </w:p>
        </w:tc>
        <w:tc>
          <w:p w14:paraId="2005841D">
            <w:pPr>
              <w:pStyle w:val="26"/>
              <w:spacing w:before="20" w:after="20" w:line="276" w:lineRule="auto"/>
            </w:pPr>
            <w:r>
              <w:rPr>
                <w:rFonts w:hint="eastAsia" w:ascii="Times New Roman" w:hAnsi="Times New Roman" w:eastAsia="宋体"/>
                <w:sz w:val="20"/>
              </w:rPr>
              <w:t>鼓励加速折旧</w:t>
            </w:r>
          </w:p>
        </w:tc>
        <w:tc>
          <w:p w14:paraId="30B9DAB4">
            <w:pPr>
              <w:pStyle w:val="26"/>
              <w:spacing w:before="20" w:after="20" w:line="276" w:lineRule="auto"/>
            </w:pPr>
            <w:r>
              <w:rPr>
                <w:rFonts w:hint="eastAsia" w:ascii="Times New Roman" w:hAnsi="Times New Roman" w:eastAsia="宋体"/>
                <w:sz w:val="20"/>
              </w:rPr>
              <w:t>识别+缓释错配风险</w:t>
            </w:r>
          </w:p>
        </w:tc>
        <w:tc>
          <w:p w14:paraId="140FBEF7">
            <w:pPr>
              <w:pStyle w:val="26"/>
              <w:spacing w:before="20" w:after="20" w:line="276" w:lineRule="auto"/>
            </w:pPr>
            <w:r>
              <w:rPr>
                <w:rFonts w:hint="eastAsia" w:ascii="Times New Roman" w:hAnsi="Times New Roman" w:eastAsia="宋体"/>
                <w:sz w:val="20"/>
              </w:rPr>
              <w:t>完整覆盖</w:t>
            </w:r>
          </w:p>
        </w:tc>
      </w:tr>
      <w:tr w14:paraId="0C12F314">
        <w:tblPrEx>
          <w:tblCellMar>
            <w:top w:w="0" w:type="dxa"/>
            <w:left w:w="108" w:type="dxa"/>
            <w:bottom w:w="0" w:type="dxa"/>
            <w:right w:w="108" w:type="dxa"/>
          </w:tblCellMar>
        </w:tblPrEx>
        <w:trPr>
          <w:cantSplit/>
        </w:trPr>
        <w:tc>
          <w:p w14:paraId="2CF83E0A">
            <w:pPr>
              <w:pStyle w:val="26"/>
              <w:spacing w:before="20" w:after="20" w:line="276" w:lineRule="auto"/>
            </w:pPr>
            <w:r>
              <w:rPr>
                <w:rFonts w:hint="eastAsia" w:ascii="Times New Roman" w:hAnsi="Times New Roman" w:eastAsia="宋体"/>
                <w:b/>
                <w:bCs/>
                <w:sz w:val="20"/>
              </w:rPr>
              <w:t>主体</w:t>
            </w:r>
          </w:p>
        </w:tc>
        <w:tc>
          <w:p w14:paraId="4C5F3557">
            <w:pPr>
              <w:pStyle w:val="26"/>
              <w:spacing w:before="20" w:after="20" w:line="276" w:lineRule="auto"/>
            </w:pPr>
            <w:r>
              <w:rPr>
                <w:rFonts w:hint="eastAsia" w:ascii="Times New Roman" w:hAnsi="Times New Roman" w:eastAsia="宋体"/>
                <w:sz w:val="20"/>
              </w:rPr>
              <w:t>政府/税务总局</w:t>
            </w:r>
          </w:p>
        </w:tc>
        <w:tc>
          <w:p w14:paraId="15FCBE3A">
            <w:pPr>
              <w:pStyle w:val="26"/>
              <w:spacing w:before="20" w:after="20" w:line="276" w:lineRule="auto"/>
            </w:pPr>
            <w:r>
              <w:rPr>
                <w:rFonts w:hint="eastAsia" w:ascii="Times New Roman" w:hAnsi="Times New Roman" w:eastAsia="宋体"/>
                <w:sz w:val="20"/>
              </w:rPr>
              <w:t>保险公司/投资者</w:t>
            </w:r>
          </w:p>
        </w:tc>
        <w:tc>
          <w:p w14:paraId="43A66239">
            <w:pPr>
              <w:pStyle w:val="26"/>
              <w:spacing w:before="20" w:after="20" w:line="276" w:lineRule="auto"/>
            </w:pPr>
            <w:r>
              <w:rPr>
                <w:rFonts w:hint="eastAsia" w:ascii="Times New Roman" w:hAnsi="Times New Roman" w:eastAsia="宋体"/>
                <w:sz w:val="20"/>
              </w:rPr>
              <w:t>多方参与</w:t>
            </w:r>
          </w:p>
        </w:tc>
      </w:tr>
      <w:tr w14:paraId="79131C97">
        <w:tblPrEx>
          <w:tblCellMar>
            <w:top w:w="0" w:type="dxa"/>
            <w:left w:w="108" w:type="dxa"/>
            <w:bottom w:w="0" w:type="dxa"/>
            <w:right w:w="108" w:type="dxa"/>
          </w:tblCellMar>
        </w:tblPrEx>
        <w:trPr>
          <w:cantSplit/>
        </w:trPr>
        <w:tc>
          <w:p w14:paraId="791B7B41">
            <w:pPr>
              <w:pStyle w:val="26"/>
              <w:spacing w:before="20" w:after="20" w:line="276" w:lineRule="auto"/>
            </w:pPr>
            <w:r>
              <w:rPr>
                <w:rFonts w:hint="eastAsia" w:ascii="Times New Roman" w:hAnsi="Times New Roman" w:eastAsia="宋体"/>
                <w:b/>
                <w:bCs/>
                <w:sz w:val="20"/>
              </w:rPr>
              <w:t>工具</w:t>
            </w:r>
          </w:p>
        </w:tc>
        <w:tc>
          <w:p w14:paraId="15B202DD">
            <w:pPr>
              <w:pStyle w:val="26"/>
              <w:spacing w:before="20" w:after="20" w:line="276" w:lineRule="auto"/>
            </w:pPr>
            <w:r>
              <w:rPr>
                <w:rFonts w:hint="eastAsia" w:ascii="Times New Roman" w:hAnsi="Times New Roman" w:eastAsia="宋体"/>
                <w:sz w:val="20"/>
              </w:rPr>
              <w:t>税收优惠</w:t>
            </w:r>
          </w:p>
        </w:tc>
        <w:tc>
          <w:p w14:paraId="06BF679E">
            <w:pPr>
              <w:pStyle w:val="26"/>
              <w:spacing w:before="20" w:after="20" w:line="276" w:lineRule="auto"/>
            </w:pPr>
            <w:r>
              <w:rPr>
                <w:rFonts w:hint="eastAsia" w:ascii="Times New Roman" w:hAnsi="Times New Roman" w:eastAsia="宋体"/>
                <w:sz w:val="20"/>
              </w:rPr>
              <w:t>保险定价</w:t>
            </w:r>
          </w:p>
        </w:tc>
        <w:tc>
          <w:p w14:paraId="412ABB1B">
            <w:pPr>
              <w:pStyle w:val="26"/>
              <w:spacing w:before="20" w:after="20" w:line="276" w:lineRule="auto"/>
            </w:pPr>
            <w:r>
              <w:rPr>
                <w:rFonts w:hint="eastAsia" w:ascii="Times New Roman" w:hAnsi="Times New Roman" w:eastAsia="宋体"/>
                <w:sz w:val="20"/>
              </w:rPr>
              <w:t>各展所长</w:t>
            </w:r>
          </w:p>
        </w:tc>
      </w:tr>
      <w:tr w14:paraId="71CE63D6">
        <w:tblPrEx>
          <w:tblCellMar>
            <w:top w:w="0" w:type="dxa"/>
            <w:left w:w="108" w:type="dxa"/>
            <w:bottom w:w="0" w:type="dxa"/>
            <w:right w:w="108" w:type="dxa"/>
          </w:tblCellMar>
        </w:tblPrEx>
        <w:trPr>
          <w:cantSplit/>
        </w:trPr>
        <w:tc>
          <w:p w14:paraId="79BC1034">
            <w:pPr>
              <w:pStyle w:val="26"/>
              <w:spacing w:before="20" w:after="20" w:line="276" w:lineRule="auto"/>
            </w:pPr>
            <w:r>
              <w:rPr>
                <w:rFonts w:hint="eastAsia" w:ascii="Times New Roman" w:hAnsi="Times New Roman" w:eastAsia="宋体"/>
                <w:b/>
                <w:bCs/>
                <w:sz w:val="20"/>
              </w:rPr>
              <w:t>时效</w:t>
            </w:r>
          </w:p>
        </w:tc>
        <w:tc>
          <w:p w14:paraId="6E8F088E">
            <w:pPr>
              <w:pStyle w:val="26"/>
              <w:spacing w:before="20" w:after="20" w:line="276" w:lineRule="auto"/>
            </w:pPr>
            <w:r>
              <w:rPr>
                <w:rFonts w:hint="eastAsia" w:ascii="Times New Roman" w:hAnsi="Times New Roman" w:eastAsia="宋体"/>
                <w:sz w:val="20"/>
              </w:rPr>
              <w:t>年度更新</w:t>
            </w:r>
          </w:p>
        </w:tc>
        <w:tc>
          <w:p w14:paraId="23F4F971">
            <w:pPr>
              <w:pStyle w:val="26"/>
              <w:spacing w:before="20" w:after="20" w:line="276" w:lineRule="auto"/>
            </w:pPr>
            <w:r>
              <w:rPr>
                <w:rFonts w:hint="eastAsia" w:ascii="Times New Roman" w:hAnsi="Times New Roman" w:eastAsia="宋体"/>
                <w:sz w:val="20"/>
              </w:rPr>
              <w:t>实时响应</w:t>
            </w:r>
          </w:p>
        </w:tc>
        <w:tc>
          <w:p w14:paraId="5DBB8BB5">
            <w:pPr>
              <w:pStyle w:val="26"/>
              <w:spacing w:before="20" w:after="20" w:line="276" w:lineRule="auto"/>
            </w:pPr>
            <w:r>
              <w:rPr>
                <w:rFonts w:hint="eastAsia" w:ascii="Times New Roman" w:hAnsi="Times New Roman" w:eastAsia="宋体"/>
                <w:sz w:val="20"/>
              </w:rPr>
              <w:t>快慢互补</w:t>
            </w:r>
          </w:p>
        </w:tc>
      </w:tr>
      <w:tr w14:paraId="3BA2D7EF">
        <w:tblPrEx>
          <w:tblCellMar>
            <w:top w:w="0" w:type="dxa"/>
            <w:left w:w="108" w:type="dxa"/>
            <w:bottom w:w="0" w:type="dxa"/>
            <w:right w:w="108" w:type="dxa"/>
          </w:tblCellMar>
        </w:tblPrEx>
        <w:trPr>
          <w:cantSplit/>
        </w:trPr>
        <w:tc>
          <w:p w14:paraId="28C12390">
            <w:pPr>
              <w:pStyle w:val="26"/>
              <w:spacing w:before="20" w:after="20" w:line="276" w:lineRule="auto"/>
            </w:pPr>
            <w:r>
              <w:rPr>
                <w:rFonts w:hint="eastAsia" w:ascii="Times New Roman" w:hAnsi="Times New Roman" w:eastAsia="宋体"/>
                <w:b/>
                <w:bCs/>
                <w:sz w:val="20"/>
              </w:rPr>
              <w:t>覆盖</w:t>
            </w:r>
          </w:p>
        </w:tc>
        <w:tc>
          <w:p w14:paraId="1F88CB8A">
            <w:pPr>
              <w:pStyle w:val="26"/>
              <w:spacing w:before="20" w:after="20" w:line="276" w:lineRule="auto"/>
            </w:pPr>
            <w:r>
              <w:rPr>
                <w:rFonts w:hint="eastAsia" w:ascii="Times New Roman" w:hAnsi="Times New Roman" w:eastAsia="宋体"/>
                <w:sz w:val="20"/>
              </w:rPr>
              <w:t>全行业普惠</w:t>
            </w:r>
          </w:p>
        </w:tc>
        <w:tc>
          <w:p w14:paraId="1FE53CE9">
            <w:pPr>
              <w:pStyle w:val="26"/>
              <w:spacing w:before="20" w:after="20" w:line="276" w:lineRule="auto"/>
            </w:pPr>
            <w:r>
              <w:rPr>
                <w:rFonts w:hint="eastAsia" w:ascii="Times New Roman" w:hAnsi="Times New Roman" w:eastAsia="宋体"/>
                <w:sz w:val="20"/>
              </w:rPr>
              <w:t>高风险标的精准</w:t>
            </w:r>
          </w:p>
        </w:tc>
        <w:tc>
          <w:p w14:paraId="6C36AD17">
            <w:pPr>
              <w:pStyle w:val="26"/>
              <w:spacing w:before="20" w:after="20" w:line="276" w:lineRule="auto"/>
            </w:pPr>
            <w:r>
              <w:rPr>
                <w:rFonts w:hint="eastAsia" w:ascii="Times New Roman" w:hAnsi="Times New Roman" w:eastAsia="宋体"/>
                <w:sz w:val="20"/>
              </w:rPr>
              <w:t>宽严相济</w:t>
            </w:r>
          </w:p>
        </w:tc>
      </w:tr>
    </w:tbl>
    <w:p w14:paraId="7D5AE284">
      <w:pPr>
        <w:pStyle w:val="3"/>
        <w:spacing w:before="40" w:after="40" w:line="360" w:lineRule="auto"/>
        <w:ind w:firstLine="480"/>
      </w:pPr>
      <w:r>
        <w:rPr>
          <w:rFonts w:hint="eastAsia" w:ascii="Times New Roman" w:hAnsi="Times New Roman" w:eastAsia="宋体"/>
          <w:b/>
          <w:bCs/>
          <w:sz w:val="24"/>
        </w:rPr>
        <w:t>需要强调的是，“市场缓释”一轮的本质是科技金融工具的引入：DMVI/ESI 保险产品对应“保”，评分驱动的估值修正对应“投”，偿债能力修正对应“融”，抵押物价值校准对应“贷”（详见 1.7.4）。双轮驱动因此不是“政策+保险”的两点结构，而是“政策引导 + 科技金融全流程缓释”的面状结构——保险是其中最先落地、也最贴近发榜方场景的一环。</w:t>
      </w:r>
    </w:p>
    <w:p w14:paraId="70AB9CD6">
      <w:pPr>
        <w:pStyle w:val="3"/>
        <w:spacing w:before="40" w:after="40" w:line="360" w:lineRule="auto"/>
        <w:ind w:firstLine="480"/>
      </w:pPr>
      <w:r>
        <w:rPr>
          <w:rFonts w:hint="eastAsia" w:ascii="Times New Roman" w:hAnsi="Times New Roman" w:eastAsia="宋体"/>
          <w:b/>
          <w:bCs/>
          <w:sz w:val="24"/>
        </w:rPr>
        <w:t>（3）对政策制定者的建议</w:t>
      </w:r>
    </w:p>
    <w:p w14:paraId="61493D4C">
      <w:pPr>
        <w:pStyle w:val="3"/>
        <w:spacing w:before="40" w:after="40" w:line="360" w:lineRule="auto"/>
        <w:ind w:firstLine="480"/>
      </w:pPr>
      <w:r>
        <w:rPr>
          <w:rFonts w:hint="eastAsia" w:ascii="Times New Roman" w:hAnsi="Times New Roman" w:eastAsia="宋体"/>
          <w:sz w:val="24"/>
        </w:rPr>
        <w:t>基于本项目的研究发现，我们对折旧政策的完善提出以下</w:t>
      </w:r>
      <w:r>
        <w:rPr>
          <w:rFonts w:hint="eastAsia" w:ascii="Times New Roman" w:hAnsi="Times New Roman" w:eastAsia="宋体"/>
          <w:b/>
          <w:bCs/>
          <w:sz w:val="24"/>
        </w:rPr>
        <w:t>补充性建议</w:t>
      </w:r>
      <w:r>
        <w:rPr>
          <w:rFonts w:hint="eastAsia" w:ascii="Times New Roman" w:hAnsi="Times New Roman" w:eastAsia="宋体"/>
          <w:sz w:val="24"/>
        </w:rPr>
        <w:t>（而非替代性建议）：</w:t>
      </w:r>
    </w:p>
    <w:p w14:paraId="100F1BFF">
      <w:pPr>
        <w:pStyle w:val="3"/>
        <w:spacing w:before="40" w:after="40" w:line="360" w:lineRule="auto"/>
        <w:ind w:firstLine="480"/>
      </w:pPr>
      <w:r>
        <w:rPr>
          <w:rFonts w:hint="eastAsia" w:ascii="Times New Roman" w:hAnsi="Times New Roman" w:eastAsia="宋体"/>
          <w:b/>
          <w:bCs/>
          <w:sz w:val="24"/>
        </w:rPr>
        <w:t>建议一：在科创板/创业板年报中增设“会计估计质量”强制披露项</w:t>
      </w:r>
    </w:p>
    <w:p w14:paraId="59DC22B8">
      <w:pPr>
        <w:pStyle w:val="26"/>
        <w:spacing w:before="40" w:after="40" w:line="360" w:lineRule="auto"/>
        <w:ind w:left="420"/>
      </w:pPr>
      <w:r>
        <w:rPr>
          <w:rFonts w:hint="eastAsia" w:ascii="Times New Roman" w:hAnsi="Times New Roman" w:eastAsia="宋体"/>
          <w:sz w:val="24"/>
        </w:rPr>
        <w:t>现有要求：披露会计估计变更的内容、原因、影响</w:t>
      </w:r>
    </w:p>
    <w:p w14:paraId="297EEEB7">
      <w:pPr>
        <w:pStyle w:val="26"/>
        <w:spacing w:before="40" w:after="40" w:line="360" w:lineRule="auto"/>
        <w:ind w:left="420"/>
      </w:pPr>
      <w:r>
        <w:rPr>
          <w:rFonts w:hint="eastAsia" w:ascii="Times New Roman" w:hAnsi="Times New Roman" w:eastAsia="宋体"/>
          <w:sz w:val="24"/>
        </w:rPr>
        <w:t>补充要求：披露“折旧年限与行业基准的比较”“估计变更的历史频率”“变更对净利润的敏感性分析”</w:t>
      </w:r>
    </w:p>
    <w:p w14:paraId="6AAAE8AA">
      <w:pPr>
        <w:pStyle w:val="26"/>
        <w:spacing w:before="40" w:after="40" w:line="360" w:lineRule="auto"/>
        <w:ind w:left="420"/>
      </w:pPr>
      <w:r>
        <w:rPr>
          <w:rFonts w:hint="eastAsia" w:ascii="Times New Roman" w:hAnsi="Times New Roman" w:eastAsia="宋体"/>
          <w:sz w:val="24"/>
        </w:rPr>
        <w:t>依据：5D-DRS系统的D1-D4维度可直接对应</w:t>
      </w:r>
    </w:p>
    <w:p w14:paraId="14D613F4">
      <w:pPr>
        <w:pStyle w:val="25"/>
        <w:spacing w:before="40" w:after="40" w:line="360" w:lineRule="auto"/>
        <w:ind w:firstLine="480"/>
      </w:pPr>
      <w:r>
        <w:rPr>
          <w:rFonts w:hint="eastAsia" w:ascii="Times New Roman" w:hAnsi="Times New Roman" w:eastAsia="宋体"/>
          <w:b/>
          <w:bCs/>
          <w:sz w:val="24"/>
        </w:rPr>
        <w:t>建议二：建立“会计估计激进指数”行业预警机制</w:t>
      </w:r>
    </w:p>
    <w:p w14:paraId="52A7BF27">
      <w:pPr>
        <w:pStyle w:val="26"/>
        <w:spacing w:before="40" w:after="40" w:line="360" w:lineRule="auto"/>
        <w:ind w:left="420"/>
      </w:pPr>
      <w:r>
        <w:rPr>
          <w:rFonts w:hint="eastAsia" w:ascii="Times New Roman" w:hAnsi="Times New Roman" w:eastAsia="宋体"/>
          <w:sz w:val="24"/>
        </w:rPr>
        <w:t>由交易所或行业协会定期发布各赛道平均折旧年限、残值率</w:t>
      </w:r>
    </w:p>
    <w:p w14:paraId="10C5779D">
      <w:pPr>
        <w:pStyle w:val="26"/>
        <w:spacing w:before="40" w:after="40" w:line="360" w:lineRule="auto"/>
        <w:ind w:left="420"/>
      </w:pPr>
      <w:r>
        <w:rPr>
          <w:rFonts w:hint="eastAsia" w:ascii="Times New Roman" w:hAnsi="Times New Roman" w:eastAsia="宋体"/>
          <w:sz w:val="24"/>
        </w:rPr>
        <w:t>对偏离行业均值2个标准差以上的企业发出问询函</w:t>
      </w:r>
    </w:p>
    <w:p w14:paraId="588C9CB2">
      <w:pPr>
        <w:pStyle w:val="26"/>
        <w:spacing w:before="40" w:after="40" w:line="360" w:lineRule="auto"/>
        <w:ind w:left="420"/>
      </w:pPr>
      <w:r>
        <w:rPr>
          <w:rFonts w:hint="eastAsia" w:ascii="Times New Roman" w:hAnsi="Times New Roman" w:eastAsia="宋体"/>
          <w:sz w:val="24"/>
        </w:rPr>
        <w:t>依据：本项目第四章的面板数据分析方法可直接复用</w:t>
      </w:r>
    </w:p>
    <w:p w14:paraId="2D20ADEF">
      <w:pPr>
        <w:pStyle w:val="25"/>
        <w:spacing w:before="40" w:after="40" w:line="360" w:lineRule="auto"/>
        <w:ind w:firstLine="480"/>
      </w:pPr>
      <w:r>
        <w:rPr>
          <w:rFonts w:hint="eastAsia" w:ascii="Times New Roman" w:hAnsi="Times New Roman" w:eastAsia="宋体"/>
          <w:b/>
          <w:bCs/>
          <w:sz w:val="24"/>
        </w:rPr>
        <w:t>建议三：将“折旧错配风险”纳入科技保险保费补贴范围</w:t>
      </w:r>
    </w:p>
    <w:p w14:paraId="7BBCC15E">
      <w:pPr>
        <w:pStyle w:val="26"/>
        <w:spacing w:before="40" w:after="40" w:line="360" w:lineRule="auto"/>
        <w:ind w:left="420"/>
      </w:pPr>
      <w:r>
        <w:rPr>
          <w:rFonts w:hint="eastAsia" w:ascii="Times New Roman" w:hAnsi="Times New Roman" w:eastAsia="宋体"/>
          <w:sz w:val="24"/>
        </w:rPr>
        <w:t>现有政策：科技部、金融监管总局对科技保险给予保费补贴</w:t>
      </w:r>
    </w:p>
    <w:p w14:paraId="61A5247B">
      <w:pPr>
        <w:pStyle w:val="26"/>
        <w:spacing w:before="40" w:after="40" w:line="360" w:lineRule="auto"/>
        <w:ind w:left="420"/>
      </w:pPr>
      <w:r>
        <w:rPr>
          <w:rFonts w:hint="eastAsia" w:ascii="Times New Roman" w:hAnsi="Times New Roman" w:eastAsia="宋体"/>
          <w:sz w:val="24"/>
        </w:rPr>
        <w:t>补充政策：将DMVI/ESI等“折旧错配专项保险”纳入补贴目录</w:t>
      </w:r>
    </w:p>
    <w:p w14:paraId="6E4BC9E3">
      <w:pPr>
        <w:pStyle w:val="26"/>
        <w:spacing w:before="40" w:after="40" w:line="360" w:lineRule="auto"/>
        <w:ind w:left="420"/>
      </w:pPr>
      <w:r>
        <w:rPr>
          <w:rFonts w:hint="eastAsia" w:ascii="Times New Roman" w:hAnsi="Times New Roman" w:eastAsia="宋体"/>
          <w:sz w:val="24"/>
        </w:rPr>
        <w:t>依据：本报告</w:t>
      </w:r>
      <w:r>
        <w:rPr>
          <w:rFonts w:ascii="Times New Roman" w:hAnsi="Times New Roman" w:eastAsia="宋体"/>
          <w:sz w:val="24"/>
        </w:rPr>
        <w:t xml:space="preserve"> 5.4.6 </w:t>
      </w:r>
      <w:r>
        <w:rPr>
          <w:rFonts w:hint="eastAsia" w:ascii="Times New Roman" w:hAnsi="Times New Roman" w:eastAsia="宋体"/>
          <w:sz w:val="24"/>
        </w:rPr>
        <w:t>节的保险产品设计方案</w:t>
      </w:r>
    </w:p>
    <w:bookmarkEnd w:id="153"/>
    <w:p w14:paraId="11899712">
      <w:pPr>
        <w:pStyle w:val="5"/>
        <w:spacing w:before="240" w:after="120" w:line="360" w:lineRule="auto"/>
      </w:pPr>
      <w:bookmarkStart w:id="154" w:name="诚实声明本项目的定位边界"/>
      <w:r>
        <w:rPr>
          <w:rFonts w:ascii="Times New Roman" w:hAnsi="Times New Roman" w:eastAsia="黑体"/>
          <w:b/>
          <w:color w:val="003366"/>
          <w:sz w:val="24"/>
        </w:rPr>
        <w:t xml:space="preserve">7.1.4 </w:t>
      </w:r>
      <w:r>
        <w:rPr>
          <w:rFonts w:hint="eastAsia" w:ascii="Times New Roman" w:hAnsi="Times New Roman" w:eastAsia="黑体"/>
          <w:b/>
          <w:color w:val="003366"/>
          <w:sz w:val="24"/>
        </w:rPr>
        <w:t>诚实声明：本项目的定位边界</w:t>
      </w:r>
    </w:p>
    <w:p w14:paraId="667159E8">
      <w:pPr>
        <w:pStyle w:val="25"/>
        <w:spacing w:before="40" w:after="40" w:line="360" w:lineRule="auto"/>
        <w:ind w:firstLine="480"/>
      </w:pPr>
      <w:r>
        <w:rPr>
          <w:rFonts w:hint="eastAsia" w:ascii="Times New Roman" w:hAnsi="Times New Roman" w:eastAsia="宋体"/>
          <w:sz w:val="24"/>
        </w:rPr>
        <w:t>我们清醒地认识到本项目的定位边界：</w:t>
      </w:r>
    </w:p>
    <w:p w14:paraId="6F0C113E">
      <w:pPr>
        <w:pStyle w:val="26"/>
        <w:numPr>
          <w:ilvl w:val="0"/>
          <w:numId w:val="14"/>
        </w:numPr>
        <w:spacing w:before="40" w:after="40" w:line="360" w:lineRule="auto"/>
        <w:ind w:firstLine="480"/>
      </w:pPr>
      <w:r>
        <w:rPr>
          <w:rFonts w:hint="eastAsia" w:ascii="Times New Roman" w:hAnsi="Times New Roman" w:eastAsia="宋体"/>
          <w:b/>
          <w:bCs/>
          <w:sz w:val="24"/>
        </w:rPr>
        <w:t>不是政策制定者</w:t>
      </w:r>
      <w:r>
        <w:rPr>
          <w:rFonts w:hint="eastAsia" w:ascii="Times New Roman" w:hAnsi="Times New Roman" w:eastAsia="宋体"/>
          <w:sz w:val="24"/>
        </w:rPr>
        <w:t>：我们无法修改《企业所得税法》或《企业会计准则》，但我们可以在政策框架内设计市场化补充工具；</w:t>
      </w:r>
    </w:p>
    <w:p w14:paraId="252A394C">
      <w:pPr>
        <w:pStyle w:val="26"/>
        <w:numPr>
          <w:ilvl w:val="0"/>
          <w:numId w:val="14"/>
        </w:numPr>
        <w:spacing w:before="40" w:after="40" w:line="360" w:lineRule="auto"/>
        <w:ind w:firstLine="480"/>
      </w:pPr>
      <w:r>
        <w:rPr>
          <w:rFonts w:hint="eastAsia" w:ascii="Times New Roman" w:hAnsi="Times New Roman" w:eastAsia="宋体"/>
          <w:b/>
          <w:bCs/>
          <w:sz w:val="24"/>
        </w:rPr>
        <w:t>不是会计准则的批评者</w:t>
      </w:r>
      <w:r>
        <w:rPr>
          <w:rFonts w:hint="eastAsia" w:ascii="Times New Roman" w:hAnsi="Times New Roman" w:eastAsia="宋体"/>
          <w:sz w:val="24"/>
        </w:rPr>
        <w:t>：中国会计准则与国际会计准则（IFRS）高度趋同，本项目的批评对象是“准则的执行偏差”，而非准则本身；</w:t>
      </w:r>
    </w:p>
    <w:p w14:paraId="2E98F16F">
      <w:pPr>
        <w:pStyle w:val="26"/>
        <w:numPr>
          <w:ilvl w:val="0"/>
          <w:numId w:val="14"/>
        </w:numPr>
        <w:spacing w:before="40" w:after="40" w:line="360" w:lineRule="auto"/>
        <w:ind w:firstLine="480"/>
      </w:pPr>
      <w:r>
        <w:rPr>
          <w:rFonts w:hint="eastAsia" w:ascii="Times New Roman" w:hAnsi="Times New Roman" w:eastAsia="宋体"/>
          <w:b/>
          <w:bCs/>
          <w:sz w:val="24"/>
        </w:rPr>
        <w:t>不是保险公司的精算师</w:t>
      </w:r>
      <w:r>
        <w:rPr>
          <w:rFonts w:hint="eastAsia" w:ascii="Times New Roman" w:hAnsi="Times New Roman" w:eastAsia="宋体"/>
          <w:sz w:val="24"/>
        </w:rPr>
        <w:t>：DMVI/ESI的费率为概念设计，实际定价需依赖3-5年理赔数据积累；</w:t>
      </w:r>
    </w:p>
    <w:p w14:paraId="10E2A4BE">
      <w:pPr>
        <w:pStyle w:val="26"/>
        <w:numPr>
          <w:ilvl w:val="0"/>
          <w:numId w:val="14"/>
        </w:numPr>
        <w:spacing w:before="40" w:after="40" w:line="360" w:lineRule="auto"/>
        <w:ind w:firstLine="480"/>
      </w:pPr>
      <w:r>
        <w:rPr>
          <w:rFonts w:hint="eastAsia" w:ascii="Times New Roman" w:hAnsi="Times New Roman" w:eastAsia="宋体"/>
          <w:b/>
          <w:bCs/>
          <w:sz w:val="24"/>
        </w:rPr>
        <w:t>是风险识别工具提供者</w:t>
      </w:r>
      <w:r>
        <w:rPr>
          <w:rFonts w:hint="eastAsia" w:ascii="Times New Roman" w:hAnsi="Times New Roman" w:eastAsia="宋体"/>
          <w:sz w:val="24"/>
        </w:rPr>
        <w:t>：5D-DRS系统为投资者和监管者提供“第三只眼”，发现传统风控模型看不见的折旧错配风险；</w:t>
      </w:r>
    </w:p>
    <w:p w14:paraId="7115BA0F">
      <w:pPr>
        <w:pStyle w:val="26"/>
        <w:numPr>
          <w:ilvl w:val="0"/>
          <w:numId w:val="14"/>
        </w:numPr>
        <w:spacing w:before="40" w:after="40" w:line="360" w:lineRule="auto"/>
        <w:ind w:firstLine="480"/>
      </w:pPr>
      <w:r>
        <w:rPr>
          <w:rFonts w:hint="eastAsia" w:ascii="Times New Roman" w:hAnsi="Times New Roman" w:eastAsia="宋体"/>
          <w:b/>
          <w:bCs/>
          <w:sz w:val="24"/>
        </w:rPr>
        <w:t>是风险缓释方案设计者</w:t>
      </w:r>
      <w:r>
        <w:rPr>
          <w:rFonts w:hint="eastAsia" w:ascii="Times New Roman" w:hAnsi="Times New Roman" w:eastAsia="宋体"/>
          <w:sz w:val="24"/>
        </w:rPr>
        <w:t>：DMVI/ESI保险产品将“识别到的风险”转化为“可承保的标的”，完成风控闭环。</w:t>
      </w:r>
    </w:p>
    <w:bookmarkEnd w:id="150"/>
    <w:bookmarkEnd w:id="154"/>
    <w:p w14:paraId="22B6560E">
      <w:pPr>
        <w:pStyle w:val="4"/>
        <w:spacing w:before="320" w:after="160" w:line="360" w:lineRule="auto"/>
      </w:pPr>
      <w:bookmarkStart w:id="155" w:name="_Toc3465"/>
      <w:bookmarkStart w:id="156" w:name="主要结论"/>
      <w:r>
        <w:rPr>
          <w:rFonts w:ascii="Times New Roman" w:hAnsi="Times New Roman" w:eastAsia="黑体"/>
          <w:b/>
          <w:color w:val="003366"/>
          <w:sz w:val="28"/>
        </w:rPr>
        <w:t xml:space="preserve">7.2 </w:t>
      </w:r>
      <w:r>
        <w:rPr>
          <w:rFonts w:hint="eastAsia" w:ascii="Times New Roman" w:hAnsi="Times New Roman" w:eastAsia="黑体"/>
          <w:b/>
          <w:color w:val="003366"/>
          <w:sz w:val="28"/>
        </w:rPr>
        <w:t>主要结论</w:t>
      </w:r>
      <w:bookmarkEnd w:id="155"/>
    </w:p>
    <w:p w14:paraId="5C1DF09E">
      <w:pPr>
        <w:pStyle w:val="25"/>
        <w:spacing w:before="40" w:after="40" w:line="360" w:lineRule="auto"/>
        <w:ind w:firstLine="480"/>
      </w:pPr>
      <w:r>
        <w:rPr>
          <w:rFonts w:hint="eastAsia" w:ascii="Times New Roman" w:hAnsi="Times New Roman" w:eastAsia="宋体"/>
          <w:sz w:val="24"/>
        </w:rPr>
        <w:t>结论一：折旧错配是行业级计量现象，而非个别公司的会计瑕疵。</w:t>
      </w:r>
      <w:r>
        <w:rPr>
          <w:rFonts w:ascii="Times New Roman" w:hAnsi="Times New Roman" w:eastAsia="宋体"/>
          <w:sz w:val="24"/>
        </w:rPr>
        <w:t xml:space="preserve"> 30 </w:t>
      </w:r>
      <w:r>
        <w:rPr>
          <w:rFonts w:hint="eastAsia" w:ascii="Times New Roman" w:hAnsi="Times New Roman" w:eastAsia="宋体"/>
          <w:sz w:val="24"/>
        </w:rPr>
        <w:t>份面板样本中，六家在</w:t>
      </w:r>
      <w:r>
        <w:rPr>
          <w:rFonts w:ascii="Times New Roman" w:hAnsi="Times New Roman" w:eastAsia="宋体"/>
          <w:sz w:val="24"/>
        </w:rPr>
        <w:t xml:space="preserve"> AI </w:t>
      </w:r>
      <w:r>
        <w:rPr>
          <w:rFonts w:hint="eastAsia" w:ascii="Times New Roman" w:hAnsi="Times New Roman" w:eastAsia="宋体"/>
          <w:sz w:val="24"/>
        </w:rPr>
        <w:t>投资爆发后约</w:t>
      </w:r>
      <w:r>
        <w:rPr>
          <w:rFonts w:ascii="Times New Roman" w:hAnsi="Times New Roman" w:eastAsia="宋体"/>
          <w:sz w:val="24"/>
        </w:rPr>
        <w:t xml:space="preserve"> 12 </w:t>
      </w:r>
      <w:r>
        <w:rPr>
          <w:rFonts w:hint="eastAsia" w:ascii="Times New Roman" w:hAnsi="Times New Roman" w:eastAsia="宋体"/>
          <w:sz w:val="24"/>
        </w:rPr>
        <w:t>个月内（2022H2-2023H1</w:t>
      </w:r>
      <w:r>
        <w:rPr>
          <w:rFonts w:ascii="Times New Roman" w:hAnsi="Times New Roman" w:eastAsia="宋体"/>
          <w:sz w:val="24"/>
        </w:rPr>
        <w:t xml:space="preserve"> </w:t>
      </w:r>
      <w:r>
        <w:rPr>
          <w:rFonts w:hint="eastAsia" w:ascii="Times New Roman" w:hAnsi="Times New Roman" w:eastAsia="宋体"/>
          <w:sz w:val="24"/>
        </w:rPr>
        <w:t>窗口）同步延长折旧年限（Oracle</w:t>
      </w:r>
      <w:r>
        <w:rPr>
          <w:rFonts w:ascii="Times New Roman" w:hAnsi="Times New Roman" w:eastAsia="宋体"/>
          <w:sz w:val="24"/>
        </w:rPr>
        <w:t xml:space="preserve"> 4→5、Microsoft 4→6、Google 4→6、Intel 5→8、NVIDIA 3→4-5 </w:t>
      </w:r>
      <w:r>
        <w:rPr>
          <w:rFonts w:hint="eastAsia" w:ascii="Times New Roman" w:hAnsi="Times New Roman" w:eastAsia="宋体"/>
          <w:sz w:val="24"/>
        </w:rPr>
        <w:t>年，Meta</w:t>
      </w:r>
      <w:r>
        <w:rPr>
          <w:rFonts w:ascii="Times New Roman" w:hAnsi="Times New Roman" w:eastAsia="宋体"/>
          <w:sz w:val="24"/>
        </w:rPr>
        <w:t xml:space="preserve"> 2022 </w:t>
      </w:r>
      <w:r>
        <w:rPr>
          <w:rFonts w:hint="eastAsia" w:ascii="Times New Roman" w:hAnsi="Times New Roman" w:eastAsia="宋体"/>
          <w:sz w:val="24"/>
        </w:rPr>
        <w:t>年</w:t>
      </w:r>
      <w:r>
        <w:rPr>
          <w:rFonts w:ascii="Times New Roman" w:hAnsi="Times New Roman" w:eastAsia="宋体"/>
          <w:sz w:val="24"/>
        </w:rPr>
        <w:t xml:space="preserve"> </w:t>
      </w:r>
      <w:r>
        <w:rPr>
          <w:rFonts w:hint="eastAsia" w:ascii="Times New Roman" w:hAnsi="Times New Roman" w:eastAsia="宋体"/>
          <w:sz w:val="24"/>
        </w:rPr>
        <w:t>4→4.5→5），均采未来适用法、方向全部为利己的延长；其中</w:t>
      </w:r>
      <w:r>
        <w:rPr>
          <w:rFonts w:ascii="Times New Roman" w:hAnsi="Times New Roman" w:eastAsia="宋体"/>
          <w:sz w:val="24"/>
        </w:rPr>
        <w:t xml:space="preserve"> Oracle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两家在窗口之后再次延长（Oracle</w:t>
      </w:r>
      <w:r>
        <w:rPr>
          <w:rFonts w:ascii="Times New Roman" w:hAnsi="Times New Roman" w:eastAsia="宋体"/>
          <w:sz w:val="24"/>
        </w:rPr>
        <w:t xml:space="preserve"> FY2025 5→6 </w:t>
      </w:r>
      <w:r>
        <w:rPr>
          <w:rFonts w:hint="eastAsia" w:ascii="Times New Roman" w:hAnsi="Times New Roman" w:eastAsia="宋体"/>
          <w:sz w:val="24"/>
        </w:rPr>
        <w:t>年、Meta</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w:t>
      </w:r>
      <w:r>
        <w:rPr>
          <w:rFonts w:ascii="Times New Roman" w:hAnsi="Times New Roman" w:eastAsia="宋体"/>
          <w:sz w:val="24"/>
        </w:rPr>
        <w:t xml:space="preserve"> →5.5 </w:t>
      </w:r>
      <w:r>
        <w:rPr>
          <w:rFonts w:hint="eastAsia" w:ascii="Times New Roman" w:hAnsi="Times New Roman" w:eastAsia="宋体"/>
          <w:sz w:val="24"/>
        </w:rPr>
        <w:t>年），成为“连续延长者”。个体合规的会计选择，汇聚为系统性的利润前置。</w:t>
      </w:r>
    </w:p>
    <w:p w14:paraId="3BD5DE35">
      <w:pPr>
        <w:pStyle w:val="3"/>
        <w:spacing w:before="40" w:after="40" w:line="360" w:lineRule="auto"/>
        <w:ind w:firstLine="480"/>
      </w:pPr>
      <w:r>
        <w:rPr>
          <w:rFonts w:hint="eastAsia" w:ascii="Times New Roman" w:hAnsi="Times New Roman" w:eastAsia="宋体"/>
          <w:sz w:val="24"/>
        </w:rPr>
        <w:t>结论二：折旧风险可被结构化识别和量化比较，且风险高低由“假设激进度</w:t>
      </w:r>
      <w:r>
        <w:rPr>
          <w:rFonts w:ascii="Times New Roman" w:hAnsi="Times New Roman" w:eastAsia="宋体"/>
          <w:sz w:val="24"/>
        </w:rPr>
        <w:t xml:space="preserve"> × </w:t>
      </w:r>
      <w:r>
        <w:rPr>
          <w:rFonts w:hint="eastAsia" w:ascii="Times New Roman" w:hAnsi="Times New Roman" w:eastAsia="宋体"/>
          <w:sz w:val="24"/>
        </w:rPr>
        <w:t>资产敞口”内生决定。</w:t>
      </w:r>
      <w:r>
        <w:rPr>
          <w:rFonts w:ascii="Times New Roman" w:hAnsi="Times New Roman" w:eastAsia="宋体"/>
          <w:sz w:val="24"/>
        </w:rPr>
        <w:t xml:space="preserve"> </w:t>
      </w:r>
      <w:r>
        <w:rPr>
          <w:rFonts w:hint="eastAsia" w:ascii="Times New Roman" w:hAnsi="Times New Roman" w:eastAsia="宋体"/>
          <w:sz w:val="24"/>
        </w:rPr>
        <w:t>证据链标注体系</w:t>
      </w:r>
      <w:r>
        <w:rPr>
          <w:rFonts w:ascii="Times New Roman" w:hAnsi="Times New Roman" w:eastAsia="宋体"/>
          <w:sz w:val="24"/>
        </w:rPr>
        <w:t xml:space="preserve"> + 5D-DRS </w:t>
      </w:r>
      <w:r>
        <w:rPr>
          <w:rFonts w:hint="eastAsia" w:ascii="Times New Roman" w:hAnsi="Times New Roman" w:eastAsia="宋体"/>
          <w:sz w:val="24"/>
        </w:rPr>
        <w:t>模型在</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30 </w:t>
      </w:r>
      <w:r>
        <w:rPr>
          <w:rFonts w:hint="eastAsia" w:ascii="Times New Roman" w:hAnsi="Times New Roman" w:eastAsia="宋体"/>
          <w:sz w:val="24"/>
        </w:rPr>
        <w:t>个公司-年份观测上展现出良好的判别效度：重资产的制造型与运营型霸榜高风险区（中心年：Intel</w:t>
      </w:r>
      <w:r>
        <w:rPr>
          <w:rFonts w:ascii="Times New Roman" w:hAnsi="Times New Roman" w:eastAsia="宋体"/>
          <w:sz w:val="24"/>
        </w:rPr>
        <w:t xml:space="preserve"> 4.55、Google 4.25、Microsoft 4.20、Micron 4.20、Meta </w:t>
      </w:r>
      <w:r>
        <w:rPr>
          <w:rFonts w:hint="eastAsia" w:ascii="Times New Roman" w:hAnsi="Times New Roman" w:eastAsia="宋体"/>
          <w:sz w:val="24"/>
        </w:rPr>
        <w:t>4.00），轻资产的设计型与软件型居于榜尾（AMD</w:t>
      </w:r>
      <w:r>
        <w:rPr>
          <w:rFonts w:ascii="Times New Roman" w:hAnsi="Times New Roman" w:eastAsia="宋体"/>
          <w:sz w:val="24"/>
        </w:rPr>
        <w:t xml:space="preserve"> 2.40、Salesforce </w:t>
      </w:r>
      <w:r>
        <w:rPr>
          <w:rFonts w:hint="eastAsia" w:ascii="Times New Roman" w:hAnsi="Times New Roman" w:eastAsia="宋体"/>
          <w:sz w:val="24"/>
        </w:rPr>
        <w:t>2.10）——排序完全由模型内生生成。面板层面，8</w:t>
      </w:r>
      <w:r>
        <w:rPr>
          <w:rFonts w:ascii="Times New Roman" w:hAnsi="Times New Roman" w:eastAsia="宋体"/>
          <w:sz w:val="24"/>
        </w:rPr>
        <w:t xml:space="preserve"> </w:t>
      </w:r>
      <w:r>
        <w:rPr>
          <w:rFonts w:hint="eastAsia" w:ascii="Times New Roman" w:hAnsi="Times New Roman" w:eastAsia="宋体"/>
          <w:sz w:val="24"/>
        </w:rPr>
        <w:t>个变更年观测评分均值</w:t>
      </w:r>
      <w:r>
        <w:rPr>
          <w:rFonts w:ascii="Times New Roman" w:hAnsi="Times New Roman" w:eastAsia="宋体"/>
          <w:sz w:val="24"/>
        </w:rPr>
        <w:t xml:space="preserve"> 4.25 </w:t>
      </w:r>
      <w:r>
        <w:rPr>
          <w:rFonts w:hint="eastAsia" w:ascii="Times New Roman" w:hAnsi="Times New Roman" w:eastAsia="宋体"/>
          <w:sz w:val="24"/>
        </w:rPr>
        <w:t>高于</w:t>
      </w:r>
      <w:r>
        <w:rPr>
          <w:rFonts w:ascii="Times New Roman" w:hAnsi="Times New Roman" w:eastAsia="宋体"/>
          <w:sz w:val="24"/>
        </w:rPr>
        <w:t xml:space="preserve"> 22 </w:t>
      </w:r>
      <w:r>
        <w:rPr>
          <w:rFonts w:hint="eastAsia" w:ascii="Times New Roman" w:hAnsi="Times New Roman" w:eastAsia="宋体"/>
          <w:sz w:val="24"/>
        </w:rPr>
        <w:t>个非变更年的</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分），呈现共现模式，但有效独立样本量约</w:t>
      </w:r>
      <w:r>
        <w:rPr>
          <w:rFonts w:ascii="Times New Roman" w:hAnsi="Times New Roman" w:eastAsia="宋体"/>
          <w:sz w:val="24"/>
        </w:rPr>
        <w:t xml:space="preserve"> </w:t>
      </w:r>
      <w:r>
        <w:rPr>
          <w:rFonts w:hint="eastAsia" w:ascii="Times New Roman" w:hAnsi="Times New Roman" w:eastAsia="宋体"/>
          <w:sz w:val="24"/>
        </w:rPr>
        <w:t>10，不宜做统计显著性推断。</w:t>
      </w:r>
    </w:p>
    <w:p w14:paraId="2DDCAA98">
      <w:pPr>
        <w:pStyle w:val="3"/>
        <w:spacing w:before="40" w:after="40" w:line="360" w:lineRule="auto"/>
        <w:ind w:firstLine="480"/>
      </w:pPr>
      <w:r>
        <w:rPr>
          <w:rFonts w:hint="eastAsia" w:ascii="Times New Roman" w:hAnsi="Times New Roman" w:eastAsia="宋体"/>
          <w:sz w:val="24"/>
        </w:rPr>
        <w:t>结论三：错配的兑现沿“折旧—存货—商誉—租赁”四通道分化，且存在可干预的时间差。</w:t>
      </w:r>
      <w:r>
        <w:rPr>
          <w:rFonts w:ascii="Times New Roman" w:hAnsi="Times New Roman" w:eastAsia="宋体"/>
          <w:sz w:val="24"/>
        </w:rPr>
        <w:t xml:space="preserve"> </w:t>
      </w:r>
      <w:r>
        <w:rPr>
          <w:rFonts w:hint="eastAsia" w:ascii="Times New Roman" w:hAnsi="Times New Roman" w:eastAsia="宋体"/>
          <w:sz w:val="24"/>
        </w:rPr>
        <w:t>存储厂商的错配已兑现为存货减记（Micron</w:t>
      </w:r>
      <w:r>
        <w:rPr>
          <w:rFonts w:ascii="Times New Roman" w:hAnsi="Times New Roman" w:eastAsia="宋体"/>
          <w:sz w:val="24"/>
        </w:rPr>
        <w:t xml:space="preserve"> $18.3 </w:t>
      </w:r>
      <w:r>
        <w:rPr>
          <w:rFonts w:hint="eastAsia" w:ascii="Times New Roman" w:hAnsi="Times New Roman" w:eastAsia="宋体"/>
          <w:sz w:val="24"/>
        </w:rPr>
        <w:t>亿）与商誉减值；云厂商的错配仍在折旧表中累积，并出现表外化新形态（Oracle</w:t>
      </w:r>
      <w:r>
        <w:rPr>
          <w:rFonts w:ascii="Times New Roman" w:hAnsi="Times New Roman" w:eastAsia="宋体"/>
          <w:sz w:val="24"/>
        </w:rPr>
        <w:t xml:space="preserve"> </w:t>
      </w:r>
      <w:r>
        <w:rPr>
          <w:rFonts w:hint="eastAsia" w:ascii="Times New Roman" w:hAnsi="Times New Roman" w:eastAsia="宋体"/>
          <w:sz w:val="24"/>
        </w:rPr>
        <w:t>租赁承诺</w:t>
      </w:r>
      <w:r>
        <w:rPr>
          <w:rFonts w:ascii="Times New Roman" w:hAnsi="Times New Roman" w:eastAsia="宋体"/>
          <w:sz w:val="24"/>
        </w:rPr>
        <w:t xml:space="preserve"> FY2024 $322 </w:t>
      </w:r>
      <w:r>
        <w:rPr>
          <w:rFonts w:hint="eastAsia" w:ascii="Times New Roman" w:hAnsi="Times New Roman" w:eastAsia="宋体"/>
          <w:sz w:val="24"/>
        </w:rPr>
        <w:t>亿</w:t>
      </w:r>
      <w:r>
        <w:rPr>
          <w:rFonts w:ascii="Times New Roman" w:hAnsi="Times New Roman" w:eastAsia="宋体"/>
          <w:sz w:val="24"/>
        </w:rPr>
        <w:t xml:space="preserve"> → FY2025 </w:t>
      </w:r>
      <w:r>
        <w:rPr>
          <w:rFonts w:hint="eastAsia" w:ascii="Times New Roman" w:hAnsi="Times New Roman" w:eastAsia="宋体"/>
          <w:sz w:val="24"/>
        </w:rPr>
        <w:t>新增</w:t>
      </w:r>
      <w:r>
        <w:rPr>
          <w:rFonts w:ascii="Times New Roman" w:hAnsi="Times New Roman" w:eastAsia="宋体"/>
          <w:sz w:val="24"/>
        </w:rPr>
        <w:t xml:space="preserve"> $434 </w:t>
      </w:r>
      <w:r>
        <w:rPr>
          <w:rFonts w:hint="eastAsia" w:ascii="Times New Roman" w:hAnsi="Times New Roman" w:eastAsia="宋体"/>
          <w:sz w:val="24"/>
        </w:rPr>
        <w:t>亿）。这一时间差为“事前识别、过程管控”的风控方案提供了明确的干预窗口。</w:t>
      </w:r>
    </w:p>
    <w:p w14:paraId="3367D892">
      <w:pPr>
        <w:pStyle w:val="3"/>
        <w:spacing w:before="40" w:after="40" w:line="360" w:lineRule="auto"/>
        <w:ind w:firstLine="480"/>
      </w:pPr>
      <w:r>
        <w:rPr>
          <w:rFonts w:hint="eastAsia" w:ascii="Times New Roman" w:hAnsi="Times New Roman" w:eastAsia="宋体"/>
          <w:sz w:val="24"/>
        </w:rPr>
        <w:t>结论四：证据链方法具备对外部信息的双向验证能力。</w:t>
      </w:r>
      <w:r>
        <w:rPr>
          <w:rFonts w:ascii="Times New Roman" w:hAnsi="Times New Roman" w:eastAsia="宋体"/>
          <w:sz w:val="24"/>
        </w:rPr>
        <w:t xml:space="preserve"> </w:t>
      </w:r>
      <w:r>
        <w:rPr>
          <w:rFonts w:hint="eastAsia" w:ascii="Times New Roman" w:hAnsi="Times New Roman" w:eastAsia="宋体"/>
          <w:sz w:val="24"/>
        </w:rPr>
        <w:t>市场上易混淆的“5→8</w:t>
      </w:r>
      <w:r>
        <w:rPr>
          <w:rFonts w:ascii="Times New Roman" w:hAnsi="Times New Roman" w:eastAsia="宋体"/>
          <w:sz w:val="24"/>
        </w:rPr>
        <w:t xml:space="preserve"> </w:t>
      </w:r>
      <w:r>
        <w:rPr>
          <w:rFonts w:hint="eastAsia" w:ascii="Times New Roman" w:hAnsi="Times New Roman" w:eastAsia="宋体"/>
          <w:sz w:val="24"/>
        </w:rPr>
        <w:t>年”折旧变更真身为</w:t>
      </w:r>
      <w:r>
        <w:rPr>
          <w:rFonts w:ascii="Times New Roman" w:hAnsi="Times New Roman" w:eastAsia="宋体"/>
          <w:sz w:val="24"/>
        </w:rPr>
        <w:t xml:space="preserve"> Intel </w:t>
      </w:r>
      <w:r>
        <w:rPr>
          <w:rFonts w:hint="eastAsia" w:ascii="Times New Roman" w:hAnsi="Times New Roman" w:eastAsia="宋体"/>
          <w:sz w:val="24"/>
        </w:rPr>
        <w:t>晶圆厂设备（变更当年</w:t>
      </w:r>
      <w:r>
        <w:rPr>
          <w:rFonts w:ascii="Times New Roman" w:hAnsi="Times New Roman" w:eastAsia="宋体"/>
          <w:sz w:val="24"/>
        </w:rPr>
        <w:t xml:space="preserve"> Intel </w:t>
      </w:r>
      <w:r>
        <w:rPr>
          <w:rFonts w:hint="eastAsia" w:ascii="Times New Roman" w:hAnsi="Times New Roman" w:eastAsia="宋体"/>
          <w:sz w:val="24"/>
        </w:rPr>
        <w:t>经营利润仅</w:t>
      </w:r>
      <w:r>
        <w:rPr>
          <w:rFonts w:ascii="Times New Roman" w:hAnsi="Times New Roman" w:eastAsia="宋体"/>
          <w:sz w:val="24"/>
        </w:rPr>
        <w:t xml:space="preserve"> 9300 </w:t>
      </w:r>
      <w:r>
        <w:rPr>
          <w:rFonts w:hint="eastAsia" w:ascii="Times New Roman" w:hAnsi="Times New Roman" w:eastAsia="宋体"/>
          <w:sz w:val="24"/>
        </w:rPr>
        <w:t>万美元、变更减少折旧费用</w:t>
      </w:r>
      <w:r>
        <w:rPr>
          <w:rFonts w:ascii="Times New Roman" w:hAnsi="Times New Roman" w:eastAsia="宋体"/>
          <w:sz w:val="24"/>
        </w:rPr>
        <w:t xml:space="preserve"> 42 </w:t>
      </w:r>
      <w:r>
        <w:rPr>
          <w:rFonts w:hint="eastAsia" w:ascii="Times New Roman" w:hAnsi="Times New Roman" w:eastAsia="宋体"/>
          <w:sz w:val="24"/>
        </w:rPr>
        <w:t>亿美元（粗略加回后经营利润将转为约</w:t>
      </w:r>
      <w:r>
        <w:rPr>
          <w:rFonts w:ascii="Times New Roman" w:hAnsi="Times New Roman" w:eastAsia="宋体"/>
          <w:sz w:val="24"/>
        </w:rPr>
        <w:t xml:space="preserve"> 43 </w:t>
      </w:r>
      <w:r>
        <w:rPr>
          <w:rFonts w:hint="eastAsia" w:ascii="Times New Roman" w:hAnsi="Times New Roman" w:eastAsia="宋体"/>
          <w:sz w:val="24"/>
        </w:rPr>
        <w:t>亿美元量级）），本研究的证据链核验明确将其与</w:t>
      </w:r>
      <w:r>
        <w:rPr>
          <w:rFonts w:ascii="Times New Roman" w:hAnsi="Times New Roman" w:eastAsia="宋体"/>
          <w:sz w:val="24"/>
        </w:rPr>
        <w:t xml:space="preserve"> Oracle </w:t>
      </w:r>
      <w:r>
        <w:rPr>
          <w:rFonts w:hint="eastAsia" w:ascii="Times New Roman" w:hAnsi="Times New Roman" w:eastAsia="宋体"/>
          <w:sz w:val="24"/>
        </w:rPr>
        <w:t>区分；市场真实流传的“Oracle</w:t>
      </w:r>
      <w:r>
        <w:rPr>
          <w:rFonts w:ascii="Times New Roman" w:hAnsi="Times New Roman" w:eastAsia="宋体"/>
          <w:sz w:val="24"/>
        </w:rPr>
        <w:t xml:space="preserve"> </w:t>
      </w:r>
      <w:r>
        <w:rPr>
          <w:rFonts w:hint="eastAsia" w:ascii="Times New Roman" w:hAnsi="Times New Roman" w:eastAsia="宋体"/>
          <w:sz w:val="24"/>
        </w:rPr>
        <w:t>延长至</w:t>
      </w:r>
      <w:r>
        <w:rPr>
          <w:rFonts w:ascii="Times New Roman" w:hAnsi="Times New Roman" w:eastAsia="宋体"/>
          <w:sz w:val="24"/>
        </w:rPr>
        <w:t xml:space="preserve"> 6 </w:t>
      </w:r>
      <w:r>
        <w:rPr>
          <w:rFonts w:hint="eastAsia" w:ascii="Times New Roman" w:hAnsi="Times New Roman" w:eastAsia="宋体"/>
          <w:sz w:val="24"/>
        </w:rPr>
        <w:t>年”说法（界面新闻</w:t>
      </w:r>
      <w:r>
        <w:rPr>
          <w:rFonts w:ascii="Times New Roman" w:hAnsi="Times New Roman" w:eastAsia="宋体"/>
          <w:sz w:val="24"/>
        </w:rPr>
        <w:t xml:space="preserve"> 2025 </w:t>
      </w:r>
      <w:r>
        <w:rPr>
          <w:rFonts w:hint="eastAsia" w:ascii="Times New Roman" w:hAnsi="Times New Roman" w:eastAsia="宋体"/>
          <w:sz w:val="24"/>
        </w:rPr>
        <w:t>年底；Burry</w:t>
      </w:r>
      <w:r>
        <w:rPr>
          <w:rFonts w:ascii="Times New Roman" w:hAnsi="Times New Roman" w:eastAsia="宋体"/>
          <w:sz w:val="24"/>
        </w:rPr>
        <w:t xml:space="preserve"> 2025-11-11 </w:t>
      </w:r>
      <w:r>
        <w:rPr>
          <w:rFonts w:hint="eastAsia" w:ascii="Times New Roman" w:hAnsi="Times New Roman" w:eastAsia="宋体"/>
          <w:sz w:val="24"/>
        </w:rPr>
        <w:t>点名），经</w:t>
      </w:r>
      <w:r>
        <w:rPr>
          <w:rFonts w:ascii="Times New Roman" w:hAnsi="Times New Roman" w:eastAsia="宋体"/>
          <w:sz w:val="24"/>
        </w:rPr>
        <w:t xml:space="preserve"> FY2025 10-K </w:t>
      </w:r>
      <w:r>
        <w:rPr>
          <w:rFonts w:hint="eastAsia" w:ascii="Times New Roman" w:hAnsi="Times New Roman" w:eastAsia="宋体"/>
          <w:sz w:val="24"/>
        </w:rPr>
        <w:t>标注证实为真并完成逐字量化（2024</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6 </w:t>
      </w:r>
      <w:r>
        <w:rPr>
          <w:rFonts w:hint="eastAsia" w:ascii="Times New Roman" w:hAnsi="Times New Roman" w:eastAsia="宋体"/>
          <w:sz w:val="24"/>
        </w:rPr>
        <w:t>月生效，经营费用</w:t>
      </w:r>
      <w:r>
        <w:rPr>
          <w:rFonts w:ascii="Times New Roman" w:hAnsi="Times New Roman" w:eastAsia="宋体"/>
          <w:sz w:val="24"/>
        </w:rPr>
        <w:t xml:space="preserve"> -$7.33 </w:t>
      </w:r>
      <w:r>
        <w:rPr>
          <w:rFonts w:hint="eastAsia" w:ascii="Times New Roman" w:hAnsi="Times New Roman" w:eastAsia="宋体"/>
          <w:sz w:val="24"/>
        </w:rPr>
        <w:t>亿、净利</w:t>
      </w:r>
      <w:r>
        <w:rPr>
          <w:rFonts w:ascii="Times New Roman" w:hAnsi="Times New Roman" w:eastAsia="宋体"/>
          <w:sz w:val="24"/>
        </w:rPr>
        <w:t xml:space="preserve"> +$5.73 </w:t>
      </w:r>
      <w:r>
        <w:rPr>
          <w:rFonts w:hint="eastAsia" w:ascii="Times New Roman" w:hAnsi="Times New Roman" w:eastAsia="宋体"/>
          <w:sz w:val="24"/>
        </w:rPr>
        <w:t>亿）。在信息噪声极高的</w:t>
      </w:r>
      <w:r>
        <w:rPr>
          <w:rFonts w:ascii="Times New Roman" w:hAnsi="Times New Roman" w:eastAsia="宋体"/>
          <w:sz w:val="24"/>
        </w:rPr>
        <w:t xml:space="preserve"> AI </w:t>
      </w:r>
      <w:r>
        <w:rPr>
          <w:rFonts w:hint="eastAsia" w:ascii="Times New Roman" w:hAnsi="Times New Roman" w:eastAsia="宋体"/>
          <w:sz w:val="24"/>
        </w:rPr>
        <w:t>叙事环境中，回到原始披露文件的证据纪律本身即是风控能力。</w:t>
      </w:r>
    </w:p>
    <w:bookmarkEnd w:id="156"/>
    <w:p w14:paraId="1737E086">
      <w:pPr>
        <w:pStyle w:val="4"/>
        <w:spacing w:before="320" w:after="160" w:line="360" w:lineRule="auto"/>
      </w:pPr>
      <w:bookmarkStart w:id="157" w:name="_Toc8120"/>
      <w:bookmarkStart w:id="158" w:name="研究贡献"/>
      <w:r>
        <w:rPr>
          <w:rFonts w:ascii="Times New Roman" w:hAnsi="Times New Roman" w:eastAsia="黑体"/>
          <w:b/>
          <w:color w:val="003366"/>
          <w:sz w:val="28"/>
        </w:rPr>
        <w:t xml:space="preserve">7.3 </w:t>
      </w:r>
      <w:r>
        <w:rPr>
          <w:rFonts w:hint="eastAsia" w:ascii="Times New Roman" w:hAnsi="Times New Roman" w:eastAsia="黑体"/>
          <w:b/>
          <w:color w:val="003366"/>
          <w:sz w:val="28"/>
        </w:rPr>
        <w:t>研究贡献</w:t>
      </w:r>
      <w:bookmarkEnd w:id="157"/>
    </w:p>
    <w:p w14:paraId="484E6519">
      <w:pPr>
        <w:pStyle w:val="25"/>
        <w:spacing w:before="40" w:after="40" w:line="360" w:lineRule="auto"/>
        <w:ind w:firstLine="480"/>
      </w:pPr>
      <w:r>
        <w:rPr>
          <w:rFonts w:hint="eastAsia" w:ascii="Times New Roman" w:hAnsi="Times New Roman" w:eastAsia="宋体"/>
          <w:sz w:val="24"/>
        </w:rPr>
        <w:t>方法论上，提出了可复核、可复算的“证据链标注</w:t>
      </w:r>
      <w:r>
        <w:rPr>
          <w:rFonts w:ascii="Times New Roman" w:hAnsi="Times New Roman" w:eastAsia="宋体"/>
          <w:sz w:val="24"/>
        </w:rPr>
        <w:t xml:space="preserve"> + </w:t>
      </w:r>
      <w:r>
        <w:rPr>
          <w:rFonts w:hint="eastAsia" w:ascii="Times New Roman" w:hAnsi="Times New Roman" w:eastAsia="宋体"/>
          <w:sz w:val="24"/>
        </w:rPr>
        <w:t>五维评分”财报风险识别范式，每条结论可回溯至原文行号；数据资产上，建成</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财年结构化标注库（30 份已确认标注（JSON））与</w:t>
      </w:r>
      <w:r>
        <w:rPr>
          <w:rFonts w:ascii="Times New Roman" w:hAnsi="Times New Roman" w:eastAsia="宋体"/>
          <w:sz w:val="24"/>
        </w:rPr>
        <w:t xml:space="preserve"> 30 样本训练集（30 行 × 85 列</w:t>
      </w:r>
      <w:r>
        <w:rPr>
          <w:rFonts w:hint="eastAsia" w:ascii="Times New Roman" w:hAnsi="Times New Roman" w:eastAsia="宋体"/>
          <w:sz w:val="24"/>
        </w:rPr>
        <w:t>，GitHub</w:t>
      </w:r>
      <w:r>
        <w:rPr>
          <w:rFonts w:ascii="Times New Roman" w:hAnsi="Times New Roman" w:eastAsia="宋体"/>
          <w:sz w:val="24"/>
        </w:rPr>
        <w:t xml:space="preserve"> </w:t>
      </w:r>
      <w:r>
        <w:rPr>
          <w:rFonts w:hint="eastAsia" w:ascii="Times New Roman" w:hAnsi="Times New Roman" w:eastAsia="宋体"/>
          <w:sz w:val="24"/>
        </w:rPr>
        <w:t>随报告提交），并完成模型化路径的可行性验证（附录</w:t>
      </w:r>
      <w:r>
        <w:rPr>
          <w:rFonts w:ascii="Times New Roman" w:hAnsi="Times New Roman" w:eastAsia="宋体"/>
          <w:sz w:val="24"/>
        </w:rPr>
        <w:t xml:space="preserve"> </w:t>
      </w:r>
      <w:r>
        <w:rPr>
          <w:rFonts w:hint="eastAsia" w:ascii="Times New Roman" w:hAnsi="Times New Roman" w:eastAsia="宋体"/>
          <w:sz w:val="24"/>
        </w:rPr>
        <w:t>F）；应用上，形成“识别系统</w:t>
      </w:r>
      <w:r>
        <w:rPr>
          <w:rFonts w:ascii="Times New Roman" w:hAnsi="Times New Roman" w:eastAsia="宋体"/>
          <w:sz w:val="24"/>
        </w:rPr>
        <w:t xml:space="preserve"> + </w:t>
      </w:r>
      <w:r>
        <w:rPr>
          <w:rFonts w:hint="eastAsia" w:ascii="Times New Roman" w:hAnsi="Times New Roman" w:eastAsia="宋体"/>
          <w:sz w:val="24"/>
        </w:rPr>
        <w:t>预警规则</w:t>
      </w:r>
      <w:r>
        <w:rPr>
          <w:rFonts w:ascii="Times New Roman" w:hAnsi="Times New Roman" w:eastAsia="宋体"/>
          <w:sz w:val="24"/>
        </w:rPr>
        <w:t xml:space="preserve"> + </w:t>
      </w:r>
      <w:r>
        <w:rPr>
          <w:rFonts w:hint="eastAsia" w:ascii="Times New Roman" w:hAnsi="Times New Roman" w:eastAsia="宋体"/>
          <w:sz w:val="24"/>
        </w:rPr>
        <w:t>三类主体方案”的完整落地链条，直接对接科技保险核保定价、金融机构尽调筛查与监管科技场景。</w:t>
      </w:r>
    </w:p>
    <w:bookmarkEnd w:id="158"/>
    <w:p w14:paraId="76ABDFA4">
      <w:pPr>
        <w:pStyle w:val="4"/>
        <w:spacing w:before="320" w:after="160" w:line="360" w:lineRule="auto"/>
      </w:pPr>
      <w:bookmarkStart w:id="159" w:name="_Toc19313"/>
      <w:bookmarkStart w:id="160" w:name="研究局限与未来展望"/>
      <w:r>
        <w:rPr>
          <w:rFonts w:ascii="Times New Roman" w:hAnsi="Times New Roman" w:eastAsia="黑体"/>
          <w:b/>
          <w:color w:val="003366"/>
          <w:sz w:val="28"/>
        </w:rPr>
        <w:t xml:space="preserve">7.4 </w:t>
      </w:r>
      <w:r>
        <w:rPr>
          <w:rFonts w:hint="eastAsia" w:ascii="Times New Roman" w:hAnsi="Times New Roman" w:eastAsia="黑体"/>
          <w:b/>
          <w:color w:val="003366"/>
          <w:sz w:val="28"/>
        </w:rPr>
        <w:t>研究局限与未来展望</w:t>
      </w:r>
      <w:bookmarkEnd w:id="159"/>
    </w:p>
    <w:p w14:paraId="5E4F93E5">
      <w:pPr>
        <w:pStyle w:val="25"/>
        <w:spacing w:before="40" w:after="40" w:line="360" w:lineRule="auto"/>
        <w:ind w:firstLine="480"/>
      </w:pPr>
      <w:r>
        <w:rPr>
          <w:rFonts w:hint="eastAsia" w:ascii="Times New Roman" w:hAnsi="Times New Roman" w:eastAsia="宋体"/>
          <w:sz w:val="24"/>
        </w:rPr>
        <w:t>本研究的局限，在面板扩样后需要重新诚实表述：</w:t>
      </w:r>
    </w:p>
    <w:p w14:paraId="64F67B21">
      <w:pPr>
        <w:numPr>
          <w:ilvl w:val="0"/>
          <w:numId w:val="15"/>
        </w:numPr>
        <w:spacing w:before="40" w:after="40" w:line="360" w:lineRule="auto"/>
        <w:ind w:firstLine="480"/>
      </w:pPr>
      <w:r>
        <w:rPr>
          <w:rFonts w:hint="eastAsia" w:ascii="Times New Roman" w:hAnsi="Times New Roman" w:eastAsia="宋体"/>
          <w:sz w:val="24"/>
        </w:rPr>
        <w:t>面板聚类与有效样本量：30</w:t>
      </w:r>
      <w:r>
        <w:rPr>
          <w:rFonts w:ascii="Times New Roman" w:hAnsi="Times New Roman" w:eastAsia="宋体"/>
          <w:sz w:val="24"/>
        </w:rPr>
        <w:t xml:space="preserve"> </w:t>
      </w:r>
      <w:r>
        <w:rPr>
          <w:rFonts w:hint="eastAsia" w:ascii="Times New Roman" w:hAnsi="Times New Roman" w:eastAsia="宋体"/>
          <w:sz w:val="24"/>
        </w:rPr>
        <w:t>个观测来自</w:t>
      </w:r>
      <w:r>
        <w:rPr>
          <w:rFonts w:ascii="Times New Roman" w:hAnsi="Times New Roman" w:eastAsia="宋体"/>
          <w:sz w:val="24"/>
        </w:rPr>
        <w:t xml:space="preserve"> 10 </w:t>
      </w:r>
      <w:r>
        <w:rPr>
          <w:rFonts w:hint="eastAsia" w:ascii="Times New Roman" w:hAnsi="Times New Roman" w:eastAsia="宋体"/>
          <w:sz w:val="24"/>
        </w:rPr>
        <w:t>家公司，同公司三年评分高度相关，统计意义上的有效独立样本量约为</w:t>
      </w:r>
      <w:r>
        <w:rPr>
          <w:rFonts w:ascii="Times New Roman" w:hAnsi="Times New Roman" w:eastAsia="宋体"/>
          <w:sz w:val="24"/>
        </w:rPr>
        <w:t xml:space="preserve"> 10 </w:t>
      </w:r>
      <w:r>
        <w:rPr>
          <w:rFonts w:hint="eastAsia" w:ascii="Times New Roman" w:hAnsi="Times New Roman" w:eastAsia="宋体"/>
          <w:sz w:val="24"/>
        </w:rPr>
        <w:t>而非</w:t>
      </w:r>
      <w:r>
        <w:rPr>
          <w:rFonts w:ascii="Times New Roman" w:hAnsi="Times New Roman" w:eastAsia="宋体"/>
          <w:sz w:val="24"/>
        </w:rPr>
        <w:t xml:space="preserve"> </w:t>
      </w:r>
      <w:r>
        <w:rPr>
          <w:rFonts w:hint="eastAsia" w:ascii="Times New Roman" w:hAnsi="Times New Roman" w:eastAsia="宋体"/>
          <w:sz w:val="24"/>
        </w:rPr>
        <w:t>30——面板增强了轨迹可见性，但未等比增强统计推断力（原“单一年份横截面”局限已通过扩样解决，取而代之的是聚类局限）；</w:t>
      </w:r>
    </w:p>
    <w:p w14:paraId="65B0A617">
      <w:pPr>
        <w:numPr>
          <w:ilvl w:val="0"/>
          <w:numId w:val="15"/>
        </w:numPr>
        <w:spacing w:before="40" w:after="40" w:line="360" w:lineRule="auto"/>
        <w:ind w:firstLine="480"/>
      </w:pPr>
      <w:r>
        <w:rPr>
          <w:rFonts w:hint="eastAsia" w:ascii="Times New Roman" w:hAnsi="Times New Roman" w:eastAsia="宋体"/>
          <w:sz w:val="24"/>
        </w:rPr>
        <w:t>样本规模与特征维度的关系：30行×85列的训练集对机器学习而言样本量有限，YoY</w:t>
      </w:r>
      <w:r>
        <w:rPr>
          <w:rFonts w:ascii="Times New Roman" w:hAnsi="Times New Roman" w:eastAsia="宋体"/>
          <w:sz w:val="24"/>
        </w:rPr>
        <w:t xml:space="preserve"> </w:t>
      </w:r>
      <w:r>
        <w:rPr>
          <w:rFonts w:hint="eastAsia" w:ascii="Times New Roman" w:hAnsi="Times New Roman" w:eastAsia="宋体"/>
          <w:sz w:val="24"/>
        </w:rPr>
        <w:t>衍生指标在模型验证中未上位（附录</w:t>
      </w:r>
      <w:r>
        <w:rPr>
          <w:rFonts w:ascii="Times New Roman" w:hAnsi="Times New Roman" w:eastAsia="宋体"/>
          <w:sz w:val="24"/>
        </w:rPr>
        <w:t xml:space="preserve"> F </w:t>
      </w:r>
      <w:r>
        <w:rPr>
          <w:rFonts w:hint="eastAsia" w:ascii="Times New Roman" w:hAnsi="Times New Roman" w:eastAsia="宋体"/>
          <w:sz w:val="24"/>
        </w:rPr>
        <w:t>有专节讨论：模型主要学习公司间横截面差异，与同公司三年标签几乎不变有关），模型化路径维持“可行性概念验证”定位，不构成预测能力声明；</w:t>
      </w:r>
    </w:p>
    <w:p w14:paraId="1EC68C3F">
      <w:pPr>
        <w:numPr>
          <w:ilvl w:val="0"/>
          <w:numId w:val="15"/>
        </w:numPr>
        <w:spacing w:before="40" w:after="40" w:line="360" w:lineRule="auto"/>
        <w:ind w:firstLine="480"/>
      </w:pPr>
      <w:r>
        <w:rPr>
          <w:rFonts w:hint="eastAsia" w:ascii="Times New Roman" w:hAnsi="Times New Roman" w:eastAsia="宋体"/>
          <w:sz w:val="24"/>
        </w:rPr>
        <w:t>披露颗粒度不足：部分指标因披露限制标记</w:t>
      </w:r>
      <w:r>
        <w:rPr>
          <w:rFonts w:ascii="Times New Roman" w:hAnsi="Times New Roman" w:eastAsia="宋体"/>
          <w:sz w:val="24"/>
        </w:rPr>
        <w:t xml:space="preserve"> </w:t>
      </w:r>
      <w:r>
        <w:rPr>
          <w:rFonts w:hint="eastAsia" w:ascii="Times New Roman" w:hAnsi="Times New Roman" w:eastAsia="宋体"/>
          <w:sz w:val="24"/>
        </w:rPr>
        <w:t>NA（如服务器折旧占比），反映了披露颗粒度的普遍不足；</w:t>
      </w:r>
    </w:p>
    <w:p w14:paraId="051E9BF5">
      <w:pPr>
        <w:numPr>
          <w:ilvl w:val="0"/>
          <w:numId w:val="15"/>
        </w:numPr>
        <w:spacing w:before="40" w:after="40" w:line="360" w:lineRule="auto"/>
        <w:ind w:firstLine="480"/>
      </w:pPr>
      <w:r>
        <w:rPr>
          <w:rFonts w:hint="eastAsia" w:ascii="Times New Roman" w:hAnsi="Times New Roman" w:eastAsia="宋体"/>
          <w:sz w:val="24"/>
        </w:rPr>
        <w:t>外部参照系精度：GPU</w:t>
      </w:r>
      <w:r>
        <w:rPr>
          <w:rFonts w:ascii="Times New Roman" w:hAnsi="Times New Roman" w:eastAsia="宋体"/>
          <w:sz w:val="24"/>
        </w:rPr>
        <w:t xml:space="preserve"> </w:t>
      </w:r>
      <w:r>
        <w:rPr>
          <w:rFonts w:hint="eastAsia" w:ascii="Times New Roman" w:hAnsi="Times New Roman" w:eastAsia="宋体"/>
          <w:sz w:val="24"/>
        </w:rPr>
        <w:t>技术迭代周期采用行业共识估计，有待更精细的技术半衰期测度（如基于二手市场价格与性能基准的量化模型）；</w:t>
      </w:r>
    </w:p>
    <w:p w14:paraId="79367C13">
      <w:pPr>
        <w:numPr>
          <w:ilvl w:val="0"/>
          <w:numId w:val="15"/>
        </w:numPr>
        <w:spacing w:before="40" w:after="40" w:line="360" w:lineRule="auto"/>
        <w:ind w:firstLine="480"/>
      </w:pPr>
      <w:r>
        <w:rPr>
          <w:rFonts w:hint="eastAsia" w:ascii="Times New Roman" w:hAnsi="Times New Roman" w:eastAsia="宋体"/>
          <w:sz w:val="24"/>
        </w:rPr>
        <w:t>声明：本研究仅为学术竞赛研究，不构成任何投资建议。</w:t>
      </w:r>
    </w:p>
    <w:p w14:paraId="6DE6EFE2">
      <w:pPr>
        <w:pStyle w:val="25"/>
        <w:spacing w:before="40" w:after="40" w:line="360" w:lineRule="auto"/>
        <w:ind w:firstLine="480"/>
      </w:pPr>
      <w:r>
        <w:rPr>
          <w:rFonts w:hint="eastAsia" w:ascii="Times New Roman" w:hAnsi="Times New Roman" w:eastAsia="宋体"/>
          <w:sz w:val="24"/>
        </w:rPr>
        <w:t>未来方向：以标注库训练文本分类模型实现风险信号自动识别；接入</w:t>
      </w:r>
      <w:r>
        <w:rPr>
          <w:rFonts w:ascii="Times New Roman" w:hAnsi="Times New Roman" w:eastAsia="宋体"/>
          <w:sz w:val="24"/>
        </w:rPr>
        <w:t xml:space="preserve"> SEC XBRL </w:t>
      </w:r>
      <w:r>
        <w:rPr>
          <w:rFonts w:hint="eastAsia" w:ascii="Times New Roman" w:hAnsi="Times New Roman" w:eastAsia="宋体"/>
          <w:sz w:val="24"/>
        </w:rPr>
        <w:t>结构化数据实现全市场折旧指纹批量筛查；继续滚动跟踪“连续延长者”的第三次变更与表外租赁兑现；方法论迁移至</w:t>
      </w:r>
      <w:r>
        <w:rPr>
          <w:rFonts w:ascii="Times New Roman" w:hAnsi="Times New Roman" w:eastAsia="宋体"/>
          <w:sz w:val="24"/>
        </w:rPr>
        <w:t xml:space="preserve"> A </w:t>
      </w:r>
      <w:r>
        <w:rPr>
          <w:rFonts w:hint="eastAsia" w:ascii="Times New Roman" w:hAnsi="Times New Roman" w:eastAsia="宋体"/>
          <w:sz w:val="24"/>
        </w:rPr>
        <w:t>股/港股，服务中国智算中心建设潮下的风险前瞻管理——让“看得见风险、管得住过程、降得下损失”在本土科创生态中落地。</w:t>
      </w:r>
    </w:p>
    <w:p w14:paraId="09877519">
      <w:pPr>
        <w:pStyle w:val="3"/>
        <w:spacing w:before="40" w:after="40" w:line="360" w:lineRule="auto"/>
        <w:ind w:firstLine="480"/>
      </w:pPr>
      <w:r>
        <w:rPr>
          <w:rFonts w:hint="eastAsia" w:ascii="Times New Roman" w:hAnsi="Times New Roman" w:eastAsia="宋体"/>
          <w:sz w:val="24"/>
        </w:rPr>
        <w:t>更宏观地看，折旧错配的识别价值不限于个体公司：当利润计量失真在行业层面同步累积、全球资本向</w:t>
      </w:r>
      <w:r>
        <w:rPr>
          <w:rFonts w:ascii="Times New Roman" w:hAnsi="Times New Roman" w:eastAsia="宋体"/>
          <w:sz w:val="24"/>
        </w:rPr>
        <w:t xml:space="preserve"> AI </w:t>
      </w:r>
      <w:r>
        <w:rPr>
          <w:rFonts w:hint="eastAsia" w:ascii="Times New Roman" w:hAnsi="Times New Roman" w:eastAsia="宋体"/>
          <w:sz w:val="24"/>
        </w:rPr>
        <w:t>叙事资产高度集中时，计量层面的“小错配”可能经估值体系放大为市场层面的“大波动”——英格兰银行已将</w:t>
      </w:r>
      <w:r>
        <w:rPr>
          <w:rFonts w:ascii="Times New Roman" w:hAnsi="Times New Roman" w:eastAsia="宋体"/>
          <w:sz w:val="24"/>
        </w:rPr>
        <w:t xml:space="preserve"> AI </w:t>
      </w:r>
      <w:r>
        <w:rPr>
          <w:rFonts w:hint="eastAsia" w:ascii="Times New Roman" w:hAnsi="Times New Roman" w:eastAsia="宋体"/>
          <w:sz w:val="24"/>
        </w:rPr>
        <w:t>行业收益不确定性列为系统性风险，Hutton</w:t>
      </w:r>
      <w:r>
        <w:rPr>
          <w:rFonts w:ascii="Times New Roman" w:hAnsi="Times New Roman" w:eastAsia="宋体"/>
          <w:sz w:val="24"/>
        </w:rPr>
        <w:t xml:space="preserve"> et al. (2009) </w:t>
      </w:r>
      <w:r>
        <w:rPr>
          <w:rFonts w:hint="eastAsia" w:ascii="Times New Roman" w:hAnsi="Times New Roman" w:eastAsia="宋体"/>
          <w:sz w:val="24"/>
        </w:rPr>
        <w:t>亦证实财报不透明会推高股价崩盘风险。本研究不预测任何危机时点，但相信“看得见风险”本身，就是对市场稳定性最基础的贡献。</w:t>
      </w:r>
    </w:p>
    <w:bookmarkEnd w:id="148"/>
    <w:bookmarkEnd w:id="160"/>
    <w:p w14:paraId="22AA0AC9">
      <w:pPr>
        <w:pStyle w:val="2"/>
        <w:pageBreakBefore/>
        <w:spacing w:before="360" w:after="240" w:line="360" w:lineRule="auto"/>
        <w:jc w:val="center"/>
      </w:pPr>
      <w:bookmarkStart w:id="161" w:name="_Toc14696"/>
      <w:bookmarkStart w:id="162" w:name="参考文献"/>
      <w:r>
        <w:rPr>
          <w:rFonts w:hint="eastAsia" w:ascii="Times New Roman" w:hAnsi="Times New Roman" w:eastAsia="黑体"/>
          <w:b/>
          <w:color w:val="000000"/>
          <w:sz w:val="32"/>
        </w:rPr>
        <w:t>参考文献</w:t>
      </w:r>
      <w:bookmarkEnd w:id="161"/>
    </w:p>
    <w:p w14:paraId="7AFB9447">
      <w:pPr>
        <w:pStyle w:val="4"/>
        <w:spacing w:before="320" w:after="160" w:line="360" w:lineRule="auto"/>
      </w:pPr>
      <w:bookmarkStart w:id="163" w:name="_Toc5201"/>
      <w:bookmarkStart w:id="164" w:name="一学术文献方法论祖先与理论支撑"/>
      <w:r>
        <w:rPr>
          <w:rFonts w:hint="eastAsia" w:ascii="Times New Roman" w:hAnsi="Times New Roman" w:eastAsia="黑体"/>
          <w:b/>
          <w:color w:val="003366"/>
          <w:sz w:val="28"/>
        </w:rPr>
        <w:t>一、学术文献（方法论祖先与理论支撑）</w:t>
      </w:r>
      <w:bookmarkEnd w:id="163"/>
    </w:p>
    <w:p w14:paraId="3C301F2F">
      <w:pPr>
        <w:numPr>
          <w:ilvl w:val="0"/>
          <w:numId w:val="16"/>
        </w:numPr>
        <w:spacing w:before="40" w:after="40" w:line="360" w:lineRule="auto"/>
        <w:ind w:firstLine="480"/>
      </w:pPr>
      <w:r>
        <w:rPr>
          <w:rFonts w:ascii="Times New Roman" w:hAnsi="Times New Roman" w:eastAsia="宋体"/>
          <w:sz w:val="24"/>
        </w:rPr>
        <w:t>Loughran, T., &amp; McDonald, B. (2011). When Is a Liability Not a Liability? Textual Analysis, Dictionaries, and 10-Ks. Journal of Finance, 66(1), 35–65.</w:t>
      </w:r>
    </w:p>
    <w:p w14:paraId="50D6D34B">
      <w:pPr>
        <w:numPr>
          <w:ilvl w:val="0"/>
          <w:numId w:val="16"/>
        </w:numPr>
        <w:spacing w:before="40" w:after="40" w:line="360" w:lineRule="auto"/>
        <w:ind w:firstLine="480"/>
      </w:pPr>
      <w:r>
        <w:rPr>
          <w:rFonts w:ascii="Times New Roman" w:hAnsi="Times New Roman" w:eastAsia="宋体"/>
          <w:sz w:val="24"/>
        </w:rPr>
        <w:t>Li, F. (2010). The Information Content of Forward-Looking Statements in Corporate Filings—A Naïve Bayesian Machine Learning Approach. Journal of Accounting Research, 48(4), 1049–1102.</w:t>
      </w:r>
    </w:p>
    <w:p w14:paraId="166B48C9">
      <w:pPr>
        <w:numPr>
          <w:ilvl w:val="0"/>
          <w:numId w:val="16"/>
        </w:numPr>
        <w:spacing w:before="40" w:after="40" w:line="360" w:lineRule="auto"/>
        <w:ind w:firstLine="480"/>
      </w:pPr>
      <w:r>
        <w:rPr>
          <w:rFonts w:ascii="Times New Roman" w:hAnsi="Times New Roman" w:eastAsia="宋体"/>
          <w:sz w:val="24"/>
        </w:rPr>
        <w:t>Fields, T. D., Lys, T. Z., &amp; Vincent, L. (2001). Empirical Research on Accounting Choice. Journal of Accounting and Economics, 31(1–3), 255–307.</w:t>
      </w:r>
    </w:p>
    <w:p w14:paraId="6FAE0667">
      <w:pPr>
        <w:numPr>
          <w:ilvl w:val="0"/>
          <w:numId w:val="16"/>
        </w:numPr>
        <w:spacing w:before="40" w:after="40" w:line="360" w:lineRule="auto"/>
        <w:ind w:firstLine="480"/>
      </w:pPr>
      <w:r>
        <w:rPr>
          <w:rFonts w:hint="eastAsia" w:ascii="Times New Roman" w:hAnsi="Times New Roman" w:eastAsia="宋体"/>
          <w:sz w:val="24"/>
        </w:rPr>
        <w:t>吴溪,</w:t>
      </w:r>
      <w:r>
        <w:rPr>
          <w:rFonts w:ascii="Times New Roman" w:hAnsi="Times New Roman" w:eastAsia="宋体"/>
          <w:sz w:val="24"/>
        </w:rPr>
        <w:t xml:space="preserve"> </w:t>
      </w:r>
      <w:r>
        <w:rPr>
          <w:rFonts w:hint="eastAsia" w:ascii="Times New Roman" w:hAnsi="Times New Roman" w:eastAsia="宋体"/>
          <w:sz w:val="24"/>
        </w:rPr>
        <w:t>杨育龙,</w:t>
      </w:r>
      <w:r>
        <w:rPr>
          <w:rFonts w:ascii="Times New Roman" w:hAnsi="Times New Roman" w:eastAsia="宋体"/>
          <w:sz w:val="24"/>
        </w:rPr>
        <w:t xml:space="preserve"> </w:t>
      </w:r>
      <w:r>
        <w:rPr>
          <w:rFonts w:hint="eastAsia" w:ascii="Times New Roman" w:hAnsi="Times New Roman" w:eastAsia="宋体"/>
          <w:sz w:val="24"/>
        </w:rPr>
        <w:t>陆正飞.</w:t>
      </w:r>
      <w:r>
        <w:rPr>
          <w:rFonts w:ascii="Times New Roman" w:hAnsi="Times New Roman" w:eastAsia="宋体"/>
          <w:sz w:val="24"/>
        </w:rPr>
        <w:t xml:space="preserve"> (2015). </w:t>
      </w:r>
      <w:r>
        <w:rPr>
          <w:rFonts w:hint="eastAsia" w:ascii="Times New Roman" w:hAnsi="Times New Roman" w:eastAsia="宋体"/>
          <w:sz w:val="24"/>
        </w:rPr>
        <w:t>企业资产折旧期限变更：预计使用寿命的确定依据与后果——基于</w:t>
      </w:r>
      <w:r>
        <w:rPr>
          <w:rFonts w:ascii="Times New Roman" w:hAnsi="Times New Roman" w:eastAsia="宋体"/>
          <w:sz w:val="24"/>
        </w:rPr>
        <w:t xml:space="preserve"> A </w:t>
      </w:r>
      <w:r>
        <w:rPr>
          <w:rFonts w:hint="eastAsia" w:ascii="Times New Roman" w:hAnsi="Times New Roman" w:eastAsia="宋体"/>
          <w:sz w:val="24"/>
        </w:rPr>
        <w:t>股上市公司的经验证据.</w:t>
      </w:r>
      <w:r>
        <w:rPr>
          <w:rFonts w:ascii="Times New Roman" w:hAnsi="Times New Roman" w:eastAsia="宋体"/>
          <w:sz w:val="24"/>
        </w:rPr>
        <w:t xml:space="preserve"> </w:t>
      </w:r>
      <w:r>
        <w:rPr>
          <w:rFonts w:hint="eastAsia" w:ascii="Times New Roman" w:hAnsi="Times New Roman" w:eastAsia="宋体"/>
          <w:sz w:val="24"/>
        </w:rPr>
        <w:t>会计研究,</w:t>
      </w:r>
      <w:r>
        <w:rPr>
          <w:rFonts w:ascii="Times New Roman" w:hAnsi="Times New Roman" w:eastAsia="宋体"/>
          <w:sz w:val="24"/>
        </w:rPr>
        <w:t xml:space="preserve"> (4), 29–36.</w:t>
      </w:r>
    </w:p>
    <w:p w14:paraId="206AAB62">
      <w:pPr>
        <w:numPr>
          <w:ilvl w:val="0"/>
          <w:numId w:val="16"/>
        </w:numPr>
        <w:spacing w:before="40" w:after="40" w:line="360" w:lineRule="auto"/>
        <w:ind w:firstLine="480"/>
      </w:pPr>
      <w:r>
        <w:rPr>
          <w:rFonts w:hint="eastAsia" w:ascii="Times New Roman" w:hAnsi="Times New Roman" w:eastAsia="宋体"/>
          <w:sz w:val="24"/>
        </w:rPr>
        <w:t>潘素梅.</w:t>
      </w:r>
      <w:r>
        <w:rPr>
          <w:rFonts w:ascii="Times New Roman" w:hAnsi="Times New Roman" w:eastAsia="宋体"/>
          <w:sz w:val="24"/>
        </w:rPr>
        <w:t xml:space="preserve"> (2021). </w:t>
      </w:r>
      <w:r>
        <w:rPr>
          <w:rFonts w:hint="eastAsia" w:ascii="Times New Roman" w:hAnsi="Times New Roman" w:eastAsia="宋体"/>
          <w:sz w:val="24"/>
        </w:rPr>
        <w:t>固定资产折旧政策的盈余管理动机与经济后果.</w:t>
      </w:r>
      <w:r>
        <w:rPr>
          <w:rFonts w:ascii="Times New Roman" w:hAnsi="Times New Roman" w:eastAsia="宋体"/>
          <w:sz w:val="24"/>
        </w:rPr>
        <w:t xml:space="preserve"> </w:t>
      </w:r>
      <w:r>
        <w:rPr>
          <w:rFonts w:hint="eastAsia" w:ascii="Times New Roman" w:hAnsi="Times New Roman" w:eastAsia="宋体"/>
          <w:sz w:val="24"/>
        </w:rPr>
        <w:t>商业会计,</w:t>
      </w:r>
      <w:r>
        <w:rPr>
          <w:rFonts w:ascii="Times New Roman" w:hAnsi="Times New Roman" w:eastAsia="宋体"/>
          <w:sz w:val="24"/>
        </w:rPr>
        <w:t xml:space="preserve"> (3), 76–79.</w:t>
      </w:r>
    </w:p>
    <w:p w14:paraId="28A3211E">
      <w:pPr>
        <w:numPr>
          <w:ilvl w:val="0"/>
          <w:numId w:val="16"/>
        </w:numPr>
        <w:spacing w:before="40" w:after="40" w:line="360" w:lineRule="auto"/>
        <w:ind w:firstLine="480"/>
      </w:pPr>
      <w:r>
        <w:rPr>
          <w:rFonts w:ascii="Times New Roman" w:hAnsi="Times New Roman" w:eastAsia="宋体"/>
          <w:sz w:val="24"/>
        </w:rPr>
        <w:t>Elliott, J. A., &amp; Hanna, J. D. (1996). Repeated Accounting Write-offs and the Information Content of Earnings. Journal of Accounting Research, 34(Supplement), 135–155.</w:t>
      </w:r>
    </w:p>
    <w:p w14:paraId="514C831E">
      <w:pPr>
        <w:numPr>
          <w:ilvl w:val="0"/>
          <w:numId w:val="16"/>
        </w:numPr>
        <w:spacing w:before="40" w:after="40" w:line="360" w:lineRule="auto"/>
        <w:ind w:firstLine="480"/>
      </w:pPr>
      <w:r>
        <w:rPr>
          <w:rFonts w:ascii="Times New Roman" w:hAnsi="Times New Roman" w:eastAsia="宋体"/>
          <w:sz w:val="24"/>
        </w:rPr>
        <w:t>Hutton, A. P., Marcus, A. J., &amp; Tehranian, H. (2009). Opaque Financial Reports, R², and Crash Risk. Journal of Financial Economics, 94(1), 67–86.</w:t>
      </w:r>
    </w:p>
    <w:bookmarkEnd w:id="164"/>
    <w:p w14:paraId="30BB20D3">
      <w:pPr>
        <w:pStyle w:val="4"/>
        <w:spacing w:before="320" w:after="160" w:line="360" w:lineRule="auto"/>
      </w:pPr>
      <w:bookmarkStart w:id="165" w:name="_Toc27800"/>
      <w:bookmarkStart w:id="166" w:name="二行业与政策来源"/>
      <w:r>
        <w:rPr>
          <w:rFonts w:hint="eastAsia" w:ascii="Times New Roman" w:hAnsi="Times New Roman" w:eastAsia="黑体"/>
          <w:b/>
          <w:color w:val="003366"/>
          <w:sz w:val="28"/>
        </w:rPr>
        <w:t>二、行业与政策来源</w:t>
      </w:r>
      <w:bookmarkEnd w:id="165"/>
    </w:p>
    <w:p w14:paraId="1B4419B8">
      <w:pPr>
        <w:numPr>
          <w:ilvl w:val="0"/>
          <w:numId w:val="17"/>
        </w:numPr>
        <w:spacing w:before="40" w:after="40" w:line="360" w:lineRule="auto"/>
        <w:ind w:firstLine="480"/>
      </w:pPr>
      <w:r>
        <w:rPr>
          <w:rFonts w:ascii="Times New Roman" w:hAnsi="Times New Roman" w:eastAsia="宋体"/>
          <w:sz w:val="24"/>
        </w:rPr>
        <w:t xml:space="preserve">Michael Burry </w:t>
      </w:r>
      <w:r>
        <w:rPr>
          <w:rFonts w:hint="eastAsia" w:ascii="Times New Roman" w:hAnsi="Times New Roman" w:eastAsia="宋体"/>
          <w:sz w:val="24"/>
        </w:rPr>
        <w:t>关于超大规模云厂商折旧年限的公开指控（2025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月，X</w:t>
      </w:r>
      <w:r>
        <w:rPr>
          <w:rFonts w:ascii="Times New Roman" w:hAnsi="Times New Roman" w:eastAsia="宋体"/>
          <w:sz w:val="24"/>
        </w:rPr>
        <w:t xml:space="preserve"> </w:t>
      </w:r>
      <w:r>
        <w:rPr>
          <w:rFonts w:hint="eastAsia" w:ascii="Times New Roman" w:hAnsi="Times New Roman" w:eastAsia="宋体"/>
          <w:sz w:val="24"/>
        </w:rPr>
        <w:t>平台；含“到</w:t>
      </w:r>
      <w:r>
        <w:rPr>
          <w:rFonts w:ascii="Times New Roman" w:hAnsi="Times New Roman" w:eastAsia="宋体"/>
          <w:sz w:val="24"/>
        </w:rPr>
        <w:t xml:space="preserve"> 2028 </w:t>
      </w:r>
      <w:r>
        <w:rPr>
          <w:rFonts w:hint="eastAsia" w:ascii="Times New Roman" w:hAnsi="Times New Roman" w:eastAsia="宋体"/>
          <w:sz w:val="24"/>
        </w:rPr>
        <w:t>年（单年）Oracle</w:t>
      </w:r>
      <w:r>
        <w:rPr>
          <w:rFonts w:ascii="Times New Roman" w:hAnsi="Times New Roman" w:eastAsia="宋体"/>
          <w:sz w:val="24"/>
        </w:rPr>
        <w:t xml:space="preserve"> </w:t>
      </w:r>
      <w:r>
        <w:rPr>
          <w:rFonts w:hint="eastAsia" w:ascii="Times New Roman" w:hAnsi="Times New Roman" w:eastAsia="宋体"/>
          <w:sz w:val="24"/>
        </w:rPr>
        <w:t>利润或夸大</w:t>
      </w:r>
      <w:r>
        <w:rPr>
          <w:rFonts w:ascii="Times New Roman" w:hAnsi="Times New Roman" w:eastAsia="宋体"/>
          <w:sz w:val="24"/>
        </w:rPr>
        <w:t xml:space="preserve"> 26.9%、Meta </w:t>
      </w:r>
      <w:r>
        <w:rPr>
          <w:rFonts w:hint="eastAsia" w:ascii="Times New Roman" w:hAnsi="Times New Roman" w:eastAsia="宋体"/>
          <w:sz w:val="24"/>
        </w:rPr>
        <w:t>或夸大</w:t>
      </w:r>
      <w:r>
        <w:rPr>
          <w:rFonts w:ascii="Times New Roman" w:hAnsi="Times New Roman" w:eastAsia="宋体"/>
          <w:sz w:val="24"/>
        </w:rPr>
        <w:t xml:space="preserve"> </w:t>
      </w:r>
      <w:r>
        <w:rPr>
          <w:rFonts w:hint="eastAsia" w:ascii="Times New Roman" w:hAnsi="Times New Roman" w:eastAsia="宋体"/>
          <w:sz w:val="24"/>
        </w:rPr>
        <w:t>20.8%”测算）</w:t>
      </w:r>
    </w:p>
    <w:p w14:paraId="6802E3CC">
      <w:pPr>
        <w:numPr>
          <w:ilvl w:val="0"/>
          <w:numId w:val="17"/>
        </w:numPr>
        <w:spacing w:before="40" w:after="40" w:line="360" w:lineRule="auto"/>
        <w:ind w:firstLine="480"/>
      </w:pPr>
      <w:r>
        <w:rPr>
          <w:rFonts w:hint="eastAsia" w:ascii="Times New Roman" w:hAnsi="Times New Roman" w:eastAsia="宋体"/>
          <w:sz w:val="24"/>
        </w:rPr>
        <w:t>伯恩斯坦（Bernstein）研究报告（分析师</w:t>
      </w:r>
      <w:r>
        <w:rPr>
          <w:rFonts w:ascii="Times New Roman" w:hAnsi="Times New Roman" w:eastAsia="宋体"/>
          <w:sz w:val="24"/>
        </w:rPr>
        <w:t xml:space="preserve"> Stacy A. </w:t>
      </w:r>
      <w:r>
        <w:rPr>
          <w:rFonts w:hint="eastAsia" w:ascii="Times New Roman" w:hAnsi="Times New Roman" w:eastAsia="宋体"/>
          <w:sz w:val="24"/>
        </w:rPr>
        <w:t>Rasgon，2025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月中旬）：GPU</w:t>
      </w:r>
      <w:r>
        <w:rPr>
          <w:rFonts w:ascii="Times New Roman" w:hAnsi="Times New Roman" w:eastAsia="宋体"/>
          <w:sz w:val="24"/>
        </w:rPr>
        <w:t xml:space="preserve"> </w:t>
      </w:r>
      <w:r>
        <w:rPr>
          <w:rFonts w:hint="eastAsia" w:ascii="Times New Roman" w:hAnsi="Times New Roman" w:eastAsia="宋体"/>
          <w:sz w:val="24"/>
        </w:rPr>
        <w:t>可盈利运行约</w:t>
      </w:r>
      <w:r>
        <w:rPr>
          <w:rFonts w:ascii="Times New Roman" w:hAnsi="Times New Roman" w:eastAsia="宋体"/>
          <w:sz w:val="24"/>
        </w:rPr>
        <w:t xml:space="preserve"> 6 </w:t>
      </w:r>
      <w:r>
        <w:rPr>
          <w:rFonts w:hint="eastAsia" w:ascii="Times New Roman" w:hAnsi="Times New Roman" w:eastAsia="宋体"/>
          <w:sz w:val="24"/>
        </w:rPr>
        <w:t>年、折旧会计大体合理的反方观点</w:t>
      </w:r>
    </w:p>
    <w:p w14:paraId="5E86BB3F">
      <w:pPr>
        <w:numPr>
          <w:ilvl w:val="0"/>
          <w:numId w:val="17"/>
        </w:numPr>
        <w:spacing w:before="40" w:after="40" w:line="360" w:lineRule="auto"/>
        <w:ind w:firstLine="480"/>
      </w:pPr>
      <w:r>
        <w:rPr>
          <w:rFonts w:hint="eastAsia" w:ascii="Times New Roman" w:hAnsi="Times New Roman" w:eastAsia="宋体"/>
          <w:sz w:val="24"/>
        </w:rPr>
        <w:t>界面新闻：《面对芯片折旧，市场不淡定了》，2025-11-24，https://www.jiemian.com/article/13675259.html</w:t>
      </w:r>
    </w:p>
    <w:p w14:paraId="0110B071">
      <w:pPr>
        <w:numPr>
          <w:ilvl w:val="0"/>
          <w:numId w:val="17"/>
        </w:numPr>
        <w:spacing w:before="40" w:after="40" w:line="360" w:lineRule="auto"/>
        <w:ind w:firstLine="480"/>
      </w:pPr>
      <w:r>
        <w:rPr>
          <w:rFonts w:hint="eastAsia" w:ascii="Times New Roman" w:hAnsi="Times New Roman" w:eastAsia="宋体"/>
          <w:sz w:val="24"/>
        </w:rPr>
        <w:t>虎嗅：《AI</w:t>
      </w:r>
      <w:r>
        <w:rPr>
          <w:rFonts w:ascii="Times New Roman" w:hAnsi="Times New Roman" w:eastAsia="宋体"/>
          <w:sz w:val="24"/>
        </w:rPr>
        <w:t xml:space="preserve"> </w:t>
      </w:r>
      <w:r>
        <w:rPr>
          <w:rFonts w:hint="eastAsia" w:ascii="Times New Roman" w:hAnsi="Times New Roman" w:eastAsia="宋体"/>
          <w:sz w:val="24"/>
        </w:rPr>
        <w:t>泡沫的“核心争议”：GPU</w:t>
      </w:r>
      <w:r>
        <w:rPr>
          <w:rFonts w:ascii="Times New Roman" w:hAnsi="Times New Roman" w:eastAsia="宋体"/>
          <w:sz w:val="24"/>
        </w:rPr>
        <w:t xml:space="preserve"> </w:t>
      </w:r>
      <w:r>
        <w:rPr>
          <w:rFonts w:hint="eastAsia" w:ascii="Times New Roman" w:hAnsi="Times New Roman" w:eastAsia="宋体"/>
          <w:sz w:val="24"/>
        </w:rPr>
        <w:t>真的能“用”6</w:t>
      </w:r>
      <w:r>
        <w:rPr>
          <w:rFonts w:ascii="Times New Roman" w:hAnsi="Times New Roman" w:eastAsia="宋体"/>
          <w:sz w:val="24"/>
        </w:rPr>
        <w:t xml:space="preserve"> </w:t>
      </w:r>
      <w:r>
        <w:rPr>
          <w:rFonts w:hint="eastAsia" w:ascii="Times New Roman" w:hAnsi="Times New Roman" w:eastAsia="宋体"/>
          <w:sz w:val="24"/>
        </w:rPr>
        <w:t>年吗？》，2025-11-18，https://www.huxiu.com/article/4807094.html</w:t>
      </w:r>
    </w:p>
    <w:p w14:paraId="14232007">
      <w:pPr>
        <w:numPr>
          <w:ilvl w:val="0"/>
          <w:numId w:val="17"/>
        </w:numPr>
        <w:spacing w:before="40" w:after="40" w:line="360" w:lineRule="auto"/>
        <w:ind w:firstLine="480"/>
      </w:pPr>
      <w:r>
        <w:rPr>
          <w:rFonts w:hint="eastAsia" w:ascii="Times New Roman" w:hAnsi="Times New Roman" w:eastAsia="宋体"/>
          <w:sz w:val="24"/>
        </w:rPr>
        <w:t>美国银行（Bank</w:t>
      </w:r>
      <w:r>
        <w:rPr>
          <w:rFonts w:ascii="Times New Roman" w:hAnsi="Times New Roman" w:eastAsia="宋体"/>
          <w:sz w:val="24"/>
        </w:rPr>
        <w:t xml:space="preserve"> of </w:t>
      </w:r>
      <w:r>
        <w:rPr>
          <w:rFonts w:hint="eastAsia" w:ascii="Times New Roman" w:hAnsi="Times New Roman" w:eastAsia="宋体"/>
          <w:sz w:val="24"/>
        </w:rPr>
        <w:t>America）分析师</w:t>
      </w:r>
      <w:r>
        <w:rPr>
          <w:rFonts w:ascii="Times New Roman" w:hAnsi="Times New Roman" w:eastAsia="宋体"/>
          <w:sz w:val="24"/>
        </w:rPr>
        <w:t xml:space="preserve"> Justin Post </w:t>
      </w:r>
      <w:r>
        <w:rPr>
          <w:rFonts w:hint="eastAsia" w:ascii="Times New Roman" w:hAnsi="Times New Roman" w:eastAsia="宋体"/>
          <w:sz w:val="24"/>
        </w:rPr>
        <w:t>关于</w:t>
      </w:r>
      <w:r>
        <w:rPr>
          <w:rFonts w:ascii="Times New Roman" w:hAnsi="Times New Roman" w:eastAsia="宋体"/>
          <w:sz w:val="24"/>
        </w:rPr>
        <w:t xml:space="preserve"> 2026-2027 </w:t>
      </w:r>
      <w:r>
        <w:rPr>
          <w:rFonts w:hint="eastAsia" w:ascii="Times New Roman" w:hAnsi="Times New Roman" w:eastAsia="宋体"/>
          <w:sz w:val="24"/>
        </w:rPr>
        <w:t>年科技巨头折旧费用市场共识低估的测算（含</w:t>
      </w:r>
      <w:r>
        <w:rPr>
          <w:rFonts w:ascii="Times New Roman" w:hAnsi="Times New Roman" w:eastAsia="宋体"/>
          <w:sz w:val="24"/>
        </w:rPr>
        <w:t xml:space="preserve"> Google/Meta/Amazon </w:t>
      </w:r>
      <w:r>
        <w:rPr>
          <w:rFonts w:hint="eastAsia" w:ascii="Times New Roman" w:hAnsi="Times New Roman" w:eastAsia="宋体"/>
          <w:sz w:val="24"/>
        </w:rPr>
        <w:t>约</w:t>
      </w:r>
      <w:r>
        <w:rPr>
          <w:rFonts w:ascii="Times New Roman" w:hAnsi="Times New Roman" w:eastAsia="宋体"/>
          <w:sz w:val="24"/>
        </w:rPr>
        <w:t xml:space="preserve"> 164 </w:t>
      </w:r>
      <w:r>
        <w:rPr>
          <w:rFonts w:hint="eastAsia" w:ascii="Times New Roman" w:hAnsi="Times New Roman" w:eastAsia="宋体"/>
          <w:sz w:val="24"/>
        </w:rPr>
        <w:t>亿美元估算）</w:t>
      </w:r>
    </w:p>
    <w:p w14:paraId="12D8DD60">
      <w:pPr>
        <w:numPr>
          <w:ilvl w:val="0"/>
          <w:numId w:val="17"/>
        </w:numPr>
        <w:spacing w:before="40" w:after="40" w:line="360" w:lineRule="auto"/>
        <w:ind w:firstLine="480"/>
      </w:pPr>
      <w:r>
        <w:rPr>
          <w:rFonts w:hint="eastAsia" w:ascii="Times New Roman" w:hAnsi="Times New Roman" w:eastAsia="宋体"/>
          <w:sz w:val="24"/>
        </w:rPr>
        <w:t>摩根士丹利（Morgan</w:t>
      </w:r>
      <w:r>
        <w:rPr>
          <w:rFonts w:ascii="Times New Roman" w:hAnsi="Times New Roman" w:eastAsia="宋体"/>
          <w:sz w:val="24"/>
        </w:rPr>
        <w:t xml:space="preserve"> </w:t>
      </w:r>
      <w:r>
        <w:rPr>
          <w:rFonts w:hint="eastAsia" w:ascii="Times New Roman" w:hAnsi="Times New Roman" w:eastAsia="宋体"/>
          <w:sz w:val="24"/>
        </w:rPr>
        <w:t>Stanley）关于</w:t>
      </w:r>
      <w:r>
        <w:rPr>
          <w:rFonts w:ascii="Times New Roman" w:hAnsi="Times New Roman" w:eastAsia="宋体"/>
          <w:sz w:val="24"/>
        </w:rPr>
        <w:t xml:space="preserve"> AI </w:t>
      </w:r>
      <w:r>
        <w:rPr>
          <w:rFonts w:hint="eastAsia" w:ascii="Times New Roman" w:hAnsi="Times New Roman" w:eastAsia="宋体"/>
          <w:sz w:val="24"/>
        </w:rPr>
        <w:t>投资规模与折旧冲击的研究报告</w:t>
      </w:r>
    </w:p>
    <w:p w14:paraId="633780F7">
      <w:pPr>
        <w:numPr>
          <w:ilvl w:val="0"/>
          <w:numId w:val="17"/>
        </w:numPr>
        <w:spacing w:before="40" w:after="40" w:line="360" w:lineRule="auto"/>
        <w:ind w:firstLine="480"/>
      </w:pPr>
      <w:r>
        <w:rPr>
          <w:rFonts w:hint="eastAsia" w:ascii="Times New Roman" w:hAnsi="Times New Roman" w:eastAsia="宋体"/>
          <w:sz w:val="24"/>
        </w:rPr>
        <w:t>英格兰银行（Bank</w:t>
      </w:r>
      <w:r>
        <w:rPr>
          <w:rFonts w:ascii="Times New Roman" w:hAnsi="Times New Roman" w:eastAsia="宋体"/>
          <w:sz w:val="24"/>
        </w:rPr>
        <w:t xml:space="preserve"> of </w:t>
      </w:r>
      <w:r>
        <w:rPr>
          <w:rFonts w:hint="eastAsia" w:ascii="Times New Roman" w:hAnsi="Times New Roman" w:eastAsia="宋体"/>
          <w:sz w:val="24"/>
        </w:rPr>
        <w:t>England）关于</w:t>
      </w:r>
      <w:r>
        <w:rPr>
          <w:rFonts w:ascii="Times New Roman" w:hAnsi="Times New Roman" w:eastAsia="宋体"/>
          <w:sz w:val="24"/>
        </w:rPr>
        <w:t xml:space="preserve"> AI </w:t>
      </w:r>
      <w:r>
        <w:rPr>
          <w:rFonts w:hint="eastAsia" w:ascii="Times New Roman" w:hAnsi="Times New Roman" w:eastAsia="宋体"/>
          <w:sz w:val="24"/>
        </w:rPr>
        <w:t>行业收益不确定性的系统性风险提示</w:t>
      </w:r>
    </w:p>
    <w:p w14:paraId="016FF9B3">
      <w:pPr>
        <w:numPr>
          <w:ilvl w:val="0"/>
          <w:numId w:val="17"/>
        </w:numPr>
        <w:spacing w:before="40" w:after="40" w:line="360" w:lineRule="auto"/>
        <w:ind w:firstLine="480"/>
      </w:pPr>
      <w:r>
        <w:rPr>
          <w:rFonts w:hint="eastAsia" w:ascii="Times New Roman" w:hAnsi="Times New Roman" w:eastAsia="宋体"/>
          <w:sz w:val="24"/>
        </w:rPr>
        <w:t>科技部、金融监管总局、工信部、国家知识产权局：《关于加快推动科技保险高质量发展有力支撑高水平科技自立自强的若干意见》（2026-02-23）</w:t>
      </w:r>
    </w:p>
    <w:p w14:paraId="2679E392">
      <w:pPr>
        <w:numPr>
          <w:ilvl w:val="0"/>
          <w:numId w:val="17"/>
        </w:numPr>
        <w:spacing w:before="40" w:after="40" w:line="360" w:lineRule="auto"/>
        <w:ind w:firstLine="480"/>
      </w:pPr>
      <w:r>
        <w:rPr>
          <w:rFonts w:hint="eastAsia" w:ascii="Times New Roman" w:hAnsi="Times New Roman" w:eastAsia="宋体"/>
          <w:sz w:val="24"/>
        </w:rPr>
        <w:t>财税〔2014〕75</w:t>
      </w:r>
      <w:r>
        <w:rPr>
          <w:rFonts w:ascii="Times New Roman" w:hAnsi="Times New Roman" w:eastAsia="宋体"/>
          <w:sz w:val="24"/>
        </w:rPr>
        <w:t xml:space="preserve"> </w:t>
      </w:r>
      <w:r>
        <w:rPr>
          <w:rFonts w:hint="eastAsia" w:ascii="Times New Roman" w:hAnsi="Times New Roman" w:eastAsia="宋体"/>
          <w:sz w:val="24"/>
        </w:rPr>
        <w:t>号《关于完善固定资产加速折旧政策的通知》</w:t>
      </w:r>
    </w:p>
    <w:p w14:paraId="6A0CEE06">
      <w:pPr>
        <w:numPr>
          <w:ilvl w:val="0"/>
          <w:numId w:val="17"/>
        </w:numPr>
        <w:spacing w:before="40" w:after="40" w:line="360" w:lineRule="auto"/>
        <w:ind w:firstLine="480"/>
      </w:pPr>
      <w:r>
        <w:rPr>
          <w:rFonts w:hint="eastAsia" w:ascii="Times New Roman" w:hAnsi="Times New Roman" w:eastAsia="宋体"/>
          <w:sz w:val="24"/>
        </w:rPr>
        <w:t>财税〔2018〕54</w:t>
      </w:r>
      <w:r>
        <w:rPr>
          <w:rFonts w:ascii="Times New Roman" w:hAnsi="Times New Roman" w:eastAsia="宋体"/>
          <w:sz w:val="24"/>
        </w:rPr>
        <w:t xml:space="preserve"> </w:t>
      </w:r>
      <w:r>
        <w:rPr>
          <w:rFonts w:hint="eastAsia" w:ascii="Times New Roman" w:hAnsi="Times New Roman" w:eastAsia="宋体"/>
          <w:sz w:val="24"/>
        </w:rPr>
        <w:t>号《关于设备器具扣除有关企业所得税政策的通知》</w:t>
      </w:r>
    </w:p>
    <w:p w14:paraId="4E06E85E">
      <w:pPr>
        <w:numPr>
          <w:ilvl w:val="0"/>
          <w:numId w:val="17"/>
        </w:numPr>
        <w:spacing w:before="40" w:after="40" w:line="360" w:lineRule="auto"/>
        <w:ind w:firstLine="480"/>
      </w:pPr>
      <w:r>
        <w:rPr>
          <w:rFonts w:hint="eastAsia" w:ascii="Times New Roman" w:hAnsi="Times New Roman" w:eastAsia="宋体"/>
          <w:sz w:val="24"/>
        </w:rPr>
        <w:t>财政部税务总局公告</w:t>
      </w:r>
      <w:r>
        <w:rPr>
          <w:rFonts w:ascii="Times New Roman" w:hAnsi="Times New Roman" w:eastAsia="宋体"/>
          <w:sz w:val="24"/>
        </w:rPr>
        <w:t xml:space="preserve"> 2023 </w:t>
      </w:r>
      <w:r>
        <w:rPr>
          <w:rFonts w:hint="eastAsia" w:ascii="Times New Roman" w:hAnsi="Times New Roman" w:eastAsia="宋体"/>
          <w:sz w:val="24"/>
        </w:rPr>
        <w:t>年第</w:t>
      </w:r>
      <w:r>
        <w:rPr>
          <w:rFonts w:ascii="Times New Roman" w:hAnsi="Times New Roman" w:eastAsia="宋体"/>
          <w:sz w:val="24"/>
        </w:rPr>
        <w:t xml:space="preserve"> 37 </w:t>
      </w:r>
      <w:r>
        <w:rPr>
          <w:rFonts w:hint="eastAsia" w:ascii="Times New Roman" w:hAnsi="Times New Roman" w:eastAsia="宋体"/>
          <w:sz w:val="24"/>
        </w:rPr>
        <w:t>号（设备器具扣除政策延期至</w:t>
      </w:r>
      <w:r>
        <w:rPr>
          <w:rFonts w:ascii="Times New Roman" w:hAnsi="Times New Roman" w:eastAsia="宋体"/>
          <w:sz w:val="24"/>
        </w:rPr>
        <w:t xml:space="preserve"> 2027 </w:t>
      </w:r>
      <w:r>
        <w:rPr>
          <w:rFonts w:hint="eastAsia" w:ascii="Times New Roman" w:hAnsi="Times New Roman" w:eastAsia="宋体"/>
          <w:sz w:val="24"/>
        </w:rPr>
        <w:t>年）</w:t>
      </w:r>
    </w:p>
    <w:p w14:paraId="682AF276">
      <w:pPr>
        <w:numPr>
          <w:ilvl w:val="0"/>
          <w:numId w:val="17"/>
        </w:numPr>
        <w:spacing w:before="40" w:after="40" w:line="360" w:lineRule="auto"/>
        <w:ind w:firstLine="480"/>
      </w:pPr>
      <w:r>
        <w:rPr>
          <w:rFonts w:hint="eastAsia" w:ascii="Times New Roman" w:hAnsi="Times New Roman" w:eastAsia="宋体"/>
          <w:sz w:val="24"/>
        </w:rPr>
        <w:t>财税〔2015〕119</w:t>
      </w:r>
      <w:r>
        <w:rPr>
          <w:rFonts w:ascii="Times New Roman" w:hAnsi="Times New Roman" w:eastAsia="宋体"/>
          <w:sz w:val="24"/>
        </w:rPr>
        <w:t xml:space="preserve"> </w:t>
      </w:r>
      <w:r>
        <w:rPr>
          <w:rFonts w:hint="eastAsia" w:ascii="Times New Roman" w:hAnsi="Times New Roman" w:eastAsia="宋体"/>
          <w:sz w:val="24"/>
        </w:rPr>
        <w:t>号《关于完善研究开发费用税前加计扣除政策的通知》</w:t>
      </w:r>
    </w:p>
    <w:p w14:paraId="355327A2">
      <w:pPr>
        <w:numPr>
          <w:ilvl w:val="0"/>
          <w:numId w:val="17"/>
        </w:numPr>
        <w:spacing w:before="40" w:after="40" w:line="360" w:lineRule="auto"/>
        <w:ind w:firstLine="480"/>
      </w:pPr>
      <w:r>
        <w:rPr>
          <w:rFonts w:hint="eastAsia" w:ascii="Times New Roman" w:hAnsi="Times New Roman" w:eastAsia="宋体"/>
          <w:sz w:val="24"/>
        </w:rPr>
        <w:t>国家税务总局公告</w:t>
      </w:r>
      <w:r>
        <w:rPr>
          <w:rFonts w:ascii="Times New Roman" w:hAnsi="Times New Roman" w:eastAsia="宋体"/>
          <w:sz w:val="24"/>
        </w:rPr>
        <w:t xml:space="preserve"> 2017 </w:t>
      </w:r>
      <w:r>
        <w:rPr>
          <w:rFonts w:hint="eastAsia" w:ascii="Times New Roman" w:hAnsi="Times New Roman" w:eastAsia="宋体"/>
          <w:sz w:val="24"/>
        </w:rPr>
        <w:t>年第</w:t>
      </w:r>
      <w:r>
        <w:rPr>
          <w:rFonts w:ascii="Times New Roman" w:hAnsi="Times New Roman" w:eastAsia="宋体"/>
          <w:sz w:val="24"/>
        </w:rPr>
        <w:t xml:space="preserve"> 40 </w:t>
      </w:r>
      <w:r>
        <w:rPr>
          <w:rFonts w:hint="eastAsia" w:ascii="Times New Roman" w:hAnsi="Times New Roman" w:eastAsia="宋体"/>
          <w:sz w:val="24"/>
        </w:rPr>
        <w:t>号《研发费用税前加计扣除归集范围》</w:t>
      </w:r>
    </w:p>
    <w:p w14:paraId="1B034807">
      <w:pPr>
        <w:numPr>
          <w:ilvl w:val="0"/>
          <w:numId w:val="17"/>
        </w:numPr>
        <w:spacing w:before="40" w:after="40" w:line="360" w:lineRule="auto"/>
        <w:ind w:firstLine="480"/>
      </w:pPr>
      <w:r>
        <w:rPr>
          <w:rFonts w:hint="eastAsia" w:ascii="Times New Roman" w:hAnsi="Times New Roman" w:eastAsia="宋体"/>
          <w:sz w:val="24"/>
        </w:rPr>
        <w:t>十家样本公司</w:t>
      </w:r>
      <w:r>
        <w:rPr>
          <w:rFonts w:ascii="Times New Roman" w:hAnsi="Times New Roman" w:eastAsia="宋体"/>
          <w:sz w:val="24"/>
        </w:rPr>
        <w:t xml:space="preserve"> 10-K </w:t>
      </w:r>
      <w:r>
        <w:rPr>
          <w:rFonts w:hint="eastAsia" w:ascii="Times New Roman" w:hAnsi="Times New Roman" w:eastAsia="宋体"/>
          <w:sz w:val="24"/>
        </w:rPr>
        <w:t>年报（SEC</w:t>
      </w:r>
      <w:r>
        <w:rPr>
          <w:rFonts w:ascii="Times New Roman" w:hAnsi="Times New Roman" w:eastAsia="宋体"/>
          <w:sz w:val="24"/>
        </w:rPr>
        <w:t xml:space="preserve"> </w:t>
      </w:r>
      <w:r>
        <w:rPr>
          <w:rFonts w:hint="eastAsia" w:ascii="Times New Roman" w:hAnsi="Times New Roman" w:eastAsia="宋体"/>
          <w:sz w:val="24"/>
        </w:rPr>
        <w:t>EDGAR，2022-2025</w:t>
      </w:r>
      <w:r>
        <w:rPr>
          <w:rFonts w:ascii="Times New Roman" w:hAnsi="Times New Roman" w:eastAsia="宋体"/>
          <w:sz w:val="24"/>
        </w:rPr>
        <w:t xml:space="preserve"> </w:t>
      </w:r>
      <w:r>
        <w:rPr>
          <w:rFonts w:hint="eastAsia" w:ascii="Times New Roman" w:hAnsi="Times New Roman" w:eastAsia="宋体"/>
          <w:sz w:val="24"/>
        </w:rPr>
        <w:t>财年，共</w:t>
      </w:r>
      <w:r>
        <w:rPr>
          <w:rFonts w:ascii="Times New Roman" w:hAnsi="Times New Roman" w:eastAsia="宋体"/>
          <w:sz w:val="24"/>
        </w:rPr>
        <w:t xml:space="preserve"> 30 </w:t>
      </w:r>
      <w:r>
        <w:rPr>
          <w:rFonts w:hint="eastAsia" w:ascii="Times New Roman" w:hAnsi="Times New Roman" w:eastAsia="宋体"/>
          <w:sz w:val="24"/>
        </w:rPr>
        <w:t>份）：META、GOOGL、MSFT、ORCL、NVDA、AMD、INTC、MU、TSLA、CRM</w:t>
      </w:r>
    </w:p>
    <w:bookmarkEnd w:id="162"/>
    <w:bookmarkEnd w:id="166"/>
    <w:p w14:paraId="4FEE3980">
      <w:r>
        <w:rPr>
          <w:rFonts w:hint="eastAsia" w:ascii="Times New Roman" w:hAnsi="Times New Roman" w:eastAsia="宋体"/>
          <w:sz w:val="24"/>
        </w:rPr>
        <w:t>中国平安财产保险股份有限公司：《科技赋能风险减量》，中国平安励志计划科技企业分享资料，2026 年</w:t>
      </w:r>
    </w:p>
    <w:p w14:paraId="47912869">
      <w:r>
        <w:rPr>
          <w:rFonts w:hint="eastAsia" w:ascii="Times New Roman" w:hAnsi="Times New Roman" w:eastAsia="宋体"/>
          <w:sz w:val="24"/>
        </w:rPr>
        <w:t>晶澳科技（周艳方）：《从一块板到一个系统》，中国平安励志计划科技企业分享资料，2026 年</w:t>
      </w:r>
    </w:p>
    <w:p w14:paraId="6F6A4748">
      <w:pPr>
        <w:pStyle w:val="2"/>
        <w:pageBreakBefore/>
        <w:spacing w:before="360" w:after="240" w:line="360" w:lineRule="auto"/>
        <w:jc w:val="center"/>
      </w:pPr>
      <w:bookmarkStart w:id="167" w:name="_Toc25195"/>
      <w:bookmarkStart w:id="168" w:name="附录-a-评分锚点表与全部验算"/>
      <w:r>
        <w:rPr>
          <w:rFonts w:hint="eastAsia" w:ascii="Times New Roman" w:hAnsi="Times New Roman" w:eastAsia="黑体"/>
          <w:b/>
          <w:color w:val="000000"/>
          <w:sz w:val="32"/>
        </w:rPr>
        <w:t>附录</w:t>
      </w:r>
      <w:r>
        <w:rPr>
          <w:rFonts w:ascii="Times New Roman" w:hAnsi="Times New Roman" w:eastAsia="黑体"/>
          <w:b/>
          <w:color w:val="000000"/>
          <w:sz w:val="32"/>
        </w:rPr>
        <w:t xml:space="preserve"> A </w:t>
      </w:r>
      <w:r>
        <w:rPr>
          <w:rFonts w:hint="eastAsia" w:ascii="Times New Roman" w:hAnsi="Times New Roman" w:eastAsia="黑体"/>
          <w:b/>
          <w:color w:val="000000"/>
          <w:sz w:val="32"/>
        </w:rPr>
        <w:t>评分锚点表与全部验算</w:t>
      </w:r>
      <w:bookmarkEnd w:id="167"/>
    </w:p>
    <w:p w14:paraId="50F3C792">
      <w:pPr>
        <w:pStyle w:val="4"/>
        <w:spacing w:before="320" w:after="160" w:line="360" w:lineRule="auto"/>
      </w:pPr>
      <w:bookmarkStart w:id="169" w:name="_Toc6124"/>
      <w:bookmarkStart w:id="170" w:name="a.1-评分锚点表同-3.4.2此处从略"/>
      <w:r>
        <w:rPr>
          <w:rFonts w:ascii="Times New Roman" w:hAnsi="Times New Roman" w:eastAsia="黑体"/>
          <w:b/>
          <w:color w:val="003366"/>
          <w:sz w:val="28"/>
        </w:rPr>
        <w:t>A.1 评分锚点表</w:t>
      </w:r>
      <w:bookmarkEnd w:id="169"/>
    </w:p>
    <w:p w14:paraId="2F0A14DF">
      <w:pPr>
        <w:pStyle w:val="25"/>
        <w:spacing w:before="40" w:after="40" w:line="360" w:lineRule="auto"/>
        <w:ind w:firstLine="480"/>
      </w:pPr>
      <w:r>
        <w:rPr>
          <w:rFonts w:hint="eastAsia" w:ascii="Times New Roman" w:hAnsi="Times New Roman" w:eastAsia="宋体"/>
          <w:sz w:val="24"/>
        </w:rPr>
        <w:t>A.1 收录与 3.4.2 完全一致的评分锚点表，供评审复核对照。</w:t>
      </w:r>
    </w:p>
    <w:p w14:paraId="2A9A7AD5">
      <w:pPr>
        <w:pStyle w:val="6"/>
        <w:spacing w:before="320" w:after="160" w:line="360" w:lineRule="auto"/>
        <w:rPr>
          <w:b w:val="0"/>
          <w:bCs/>
          <w:i w:val="0"/>
          <w:iCs w:val="0"/>
        </w:rPr>
      </w:pPr>
      <w:r>
        <w:rPr>
          <w:rFonts w:ascii="Times New Roman" w:hAnsi="Times New Roman" w:eastAsia="黑体"/>
          <w:b w:val="0"/>
          <w:bCs/>
          <w:i w:val="0"/>
          <w:iCs w:val="0"/>
          <w:color w:val="003366"/>
          <w:sz w:val="28"/>
        </w:rPr>
        <w:t>（一）五维度一般锚点</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48300315">
        <w:tblPrEx>
          <w:tblCellMar>
            <w:top w:w="0" w:type="dxa"/>
            <w:left w:w="108" w:type="dxa"/>
            <w:bottom w:w="0" w:type="dxa"/>
            <w:right w:w="108" w:type="dxa"/>
          </w:tblCellMar>
        </w:tblPrEx>
        <w:tc>
          <w:tcPr>
            <w:tcW w:w="833" w:type="pct"/>
          </w:tcPr>
          <w:p w14:paraId="2331F7C9">
            <w:pPr>
              <w:pStyle w:val="26"/>
              <w:spacing w:before="20" w:after="20" w:line="276" w:lineRule="auto"/>
            </w:pPr>
            <w:r>
              <w:rPr>
                <w:rFonts w:hint="eastAsia" w:ascii="Times New Roman" w:hAnsi="Times New Roman" w:eastAsia="宋体"/>
                <w:b/>
                <w:bCs/>
                <w:sz w:val="20"/>
              </w:rPr>
              <w:t>维度</w:t>
            </w:r>
          </w:p>
        </w:tc>
        <w:tc>
          <w:tcPr>
            <w:tcW w:w="833" w:type="pct"/>
          </w:tcPr>
          <w:p w14:paraId="09B15B02">
            <w:pPr>
              <w:pStyle w:val="26"/>
              <w:spacing w:before="20" w:after="20" w:line="276" w:lineRule="auto"/>
            </w:pPr>
            <w:r>
              <w:rPr>
                <w:rFonts w:hint="eastAsia" w:ascii="Times New Roman" w:hAnsi="Times New Roman" w:eastAsia="宋体"/>
                <w:b/>
                <w:bCs/>
                <w:sz w:val="20"/>
              </w:rPr>
              <w:t>5 分</w:t>
            </w:r>
          </w:p>
        </w:tc>
        <w:tc>
          <w:tcPr>
            <w:tcW w:w="833" w:type="pct"/>
          </w:tcPr>
          <w:p w14:paraId="45C62D07">
            <w:pPr>
              <w:pStyle w:val="26"/>
              <w:spacing w:before="20" w:after="20" w:line="276" w:lineRule="auto"/>
            </w:pPr>
            <w:r>
              <w:rPr>
                <w:rFonts w:hint="eastAsia" w:ascii="Times New Roman" w:hAnsi="Times New Roman" w:eastAsia="宋体"/>
                <w:b/>
                <w:bCs/>
                <w:sz w:val="20"/>
              </w:rPr>
              <w:t>4 分</w:t>
            </w:r>
          </w:p>
        </w:tc>
        <w:tc>
          <w:tcPr>
            <w:tcW w:w="833" w:type="pct"/>
          </w:tcPr>
          <w:p w14:paraId="40DFD475">
            <w:pPr>
              <w:pStyle w:val="26"/>
              <w:spacing w:before="20" w:after="20" w:line="276" w:lineRule="auto"/>
            </w:pPr>
            <w:r>
              <w:rPr>
                <w:rFonts w:hint="eastAsia" w:ascii="Times New Roman" w:hAnsi="Times New Roman" w:eastAsia="宋体"/>
                <w:b/>
                <w:bCs/>
                <w:sz w:val="20"/>
              </w:rPr>
              <w:t>3 分</w:t>
            </w:r>
          </w:p>
        </w:tc>
        <w:tc>
          <w:tcPr>
            <w:tcW w:w="833" w:type="pct"/>
          </w:tcPr>
          <w:p w14:paraId="2C4CA454">
            <w:pPr>
              <w:pStyle w:val="26"/>
              <w:spacing w:before="20" w:after="20" w:line="276" w:lineRule="auto"/>
            </w:pPr>
            <w:r>
              <w:rPr>
                <w:rFonts w:hint="eastAsia" w:ascii="Times New Roman" w:hAnsi="Times New Roman" w:eastAsia="宋体"/>
                <w:b/>
                <w:bCs/>
                <w:sz w:val="20"/>
              </w:rPr>
              <w:t>2 分</w:t>
            </w:r>
          </w:p>
        </w:tc>
        <w:tc>
          <w:tcPr>
            <w:tcW w:w="833" w:type="pct"/>
          </w:tcPr>
          <w:p w14:paraId="1D1C363D">
            <w:pPr>
              <w:pStyle w:val="26"/>
              <w:spacing w:before="20" w:after="20" w:line="276" w:lineRule="auto"/>
            </w:pPr>
            <w:r>
              <w:rPr>
                <w:rFonts w:hint="eastAsia" w:ascii="Times New Roman" w:hAnsi="Times New Roman" w:eastAsia="宋体"/>
                <w:b/>
                <w:bCs/>
                <w:sz w:val="20"/>
              </w:rPr>
              <w:t>1 分</w:t>
            </w:r>
          </w:p>
        </w:tc>
      </w:tr>
      <w:tr w14:paraId="4DE26E3E">
        <w:tblPrEx>
          <w:tblCellMar>
            <w:top w:w="0" w:type="dxa"/>
            <w:left w:w="108" w:type="dxa"/>
            <w:bottom w:w="0" w:type="dxa"/>
            <w:right w:w="108" w:type="dxa"/>
          </w:tblCellMar>
        </w:tblPrEx>
        <w:tc>
          <w:tcPr>
            <w:tcW w:w="833" w:type="pct"/>
          </w:tcPr>
          <w:p w14:paraId="23D7A0E7">
            <w:pPr>
              <w:pStyle w:val="26"/>
              <w:spacing w:before="20" w:after="20" w:line="276" w:lineRule="auto"/>
            </w:pPr>
            <w:r>
              <w:rPr>
                <w:rFonts w:ascii="Times New Roman" w:hAnsi="Times New Roman" w:eastAsia="宋体"/>
                <w:sz w:val="20"/>
              </w:rPr>
              <w:t>D1 年限错配</w:t>
            </w:r>
          </w:p>
        </w:tc>
        <w:tc>
          <w:tcPr>
            <w:tcW w:w="833" w:type="pct"/>
          </w:tcPr>
          <w:p w14:paraId="0F988A1A">
            <w:pPr>
              <w:pStyle w:val="26"/>
              <w:spacing w:before="20" w:after="20" w:line="276" w:lineRule="auto"/>
            </w:pPr>
            <w:r>
              <w:rPr>
                <w:rFonts w:ascii="Times New Roman" w:hAnsi="Times New Roman" w:eastAsia="宋体"/>
                <w:sz w:val="20"/>
              </w:rPr>
              <w:t>≥6 年</w:t>
            </w:r>
          </w:p>
        </w:tc>
        <w:tc>
          <w:tcPr>
            <w:tcW w:w="833" w:type="pct"/>
          </w:tcPr>
          <w:p w14:paraId="2166A5EC">
            <w:pPr>
              <w:pStyle w:val="26"/>
              <w:spacing w:before="20" w:after="20" w:line="276" w:lineRule="auto"/>
            </w:pPr>
            <w:r>
              <w:rPr>
                <w:rFonts w:ascii="Times New Roman" w:hAnsi="Times New Roman" w:eastAsia="宋体"/>
                <w:sz w:val="20"/>
              </w:rPr>
              <w:t>4-6 年（vs 迭代 1-2 年）</w:t>
            </w:r>
          </w:p>
        </w:tc>
        <w:tc>
          <w:tcPr>
            <w:tcW w:w="833" w:type="pct"/>
          </w:tcPr>
          <w:p w14:paraId="0B089DE3">
            <w:pPr>
              <w:pStyle w:val="26"/>
              <w:spacing w:before="20" w:after="20" w:line="276" w:lineRule="auto"/>
            </w:pPr>
            <w:r>
              <w:rPr>
                <w:rFonts w:ascii="Times New Roman" w:hAnsi="Times New Roman" w:eastAsia="宋体"/>
                <w:sz w:val="20"/>
              </w:rPr>
              <w:t>3-4 年</w:t>
            </w:r>
          </w:p>
        </w:tc>
        <w:tc>
          <w:tcPr>
            <w:tcW w:w="833" w:type="pct"/>
          </w:tcPr>
          <w:p w14:paraId="3428FC2F">
            <w:pPr>
              <w:pStyle w:val="26"/>
              <w:spacing w:before="20" w:after="20" w:line="276" w:lineRule="auto"/>
            </w:pPr>
            <w:r>
              <w:rPr>
                <w:rFonts w:ascii="Times New Roman" w:hAnsi="Times New Roman" w:eastAsia="宋体"/>
                <w:sz w:val="20"/>
              </w:rPr>
              <w:t>2-3 年</w:t>
            </w:r>
          </w:p>
        </w:tc>
        <w:tc>
          <w:tcPr>
            <w:tcW w:w="833" w:type="pct"/>
          </w:tcPr>
          <w:p w14:paraId="2C6B0959">
            <w:pPr>
              <w:pStyle w:val="26"/>
              <w:spacing w:before="20" w:after="20" w:line="276" w:lineRule="auto"/>
            </w:pPr>
            <w:r>
              <w:rPr>
                <w:rFonts w:ascii="Times New Roman" w:hAnsi="Times New Roman" w:eastAsia="宋体"/>
                <w:sz w:val="20"/>
              </w:rPr>
              <w:t>≤2 年/加速折旧</w:t>
            </w:r>
          </w:p>
        </w:tc>
      </w:tr>
      <w:tr w14:paraId="7A5F7550">
        <w:tblPrEx>
          <w:tblCellMar>
            <w:top w:w="0" w:type="dxa"/>
            <w:left w:w="108" w:type="dxa"/>
            <w:bottom w:w="0" w:type="dxa"/>
            <w:right w:w="108" w:type="dxa"/>
          </w:tblCellMar>
        </w:tblPrEx>
        <w:tc>
          <w:tcPr>
            <w:tcW w:w="833" w:type="pct"/>
          </w:tcPr>
          <w:p w14:paraId="2395BBCA">
            <w:pPr>
              <w:pStyle w:val="26"/>
              <w:spacing w:before="20" w:after="20" w:line="276" w:lineRule="auto"/>
            </w:pPr>
            <w:r>
              <w:rPr>
                <w:rFonts w:ascii="Times New Roman" w:hAnsi="Times New Roman" w:eastAsia="宋体"/>
                <w:sz w:val="20"/>
              </w:rPr>
              <w:t>D2 政策保守性</w:t>
            </w:r>
          </w:p>
        </w:tc>
        <w:tc>
          <w:tcPr>
            <w:tcW w:w="833" w:type="pct"/>
          </w:tcPr>
          <w:p w14:paraId="5BC9E319">
            <w:pPr>
              <w:pStyle w:val="26"/>
              <w:spacing w:before="20" w:after="20" w:line="276" w:lineRule="auto"/>
            </w:pPr>
            <w:r>
              <w:rPr>
                <w:rFonts w:ascii="Times New Roman" w:hAnsi="Times New Roman" w:eastAsia="宋体"/>
                <w:sz w:val="20"/>
              </w:rPr>
              <w:t>本期延长+未来适用</w:t>
            </w:r>
          </w:p>
        </w:tc>
        <w:tc>
          <w:tcPr>
            <w:tcW w:w="833" w:type="pct"/>
          </w:tcPr>
          <w:p w14:paraId="25AFC6B3">
            <w:pPr>
              <w:pStyle w:val="26"/>
              <w:spacing w:before="20" w:after="20" w:line="276" w:lineRule="auto"/>
            </w:pPr>
            <w:r>
              <w:rPr>
                <w:rFonts w:ascii="Times New Roman" w:hAnsi="Times New Roman" w:eastAsia="宋体"/>
                <w:sz w:val="20"/>
              </w:rPr>
              <w:t>历史有延长记录</w:t>
            </w:r>
          </w:p>
        </w:tc>
        <w:tc>
          <w:tcPr>
            <w:tcW w:w="833" w:type="pct"/>
          </w:tcPr>
          <w:p w14:paraId="0464842F">
            <w:pPr>
              <w:pStyle w:val="26"/>
              <w:spacing w:before="20" w:after="20" w:line="276" w:lineRule="auto"/>
            </w:pPr>
            <w:r>
              <w:rPr>
                <w:rFonts w:ascii="Times New Roman" w:hAnsi="Times New Roman" w:eastAsia="宋体"/>
                <w:sz w:val="20"/>
              </w:rPr>
              <w:t>prospectively 无延长</w:t>
            </w:r>
          </w:p>
        </w:tc>
        <w:tc>
          <w:tcPr>
            <w:tcW w:w="833" w:type="pct"/>
          </w:tcPr>
          <w:p w14:paraId="55560377">
            <w:pPr>
              <w:pStyle w:val="26"/>
              <w:spacing w:before="20" w:after="20" w:line="276" w:lineRule="auto"/>
            </w:pPr>
            <w:r>
              <w:rPr>
                <w:rFonts w:ascii="Times New Roman" w:hAnsi="Times New Roman" w:eastAsia="宋体"/>
                <w:sz w:val="20"/>
              </w:rPr>
              <w:t>有追溯/缩短</w:t>
            </w:r>
          </w:p>
        </w:tc>
        <w:tc>
          <w:tcPr>
            <w:tcW w:w="833" w:type="pct"/>
          </w:tcPr>
          <w:p w14:paraId="2FDE04CA">
            <w:pPr>
              <w:pStyle w:val="26"/>
              <w:spacing w:before="20" w:after="20" w:line="276" w:lineRule="auto"/>
            </w:pPr>
            <w:r>
              <w:rPr>
                <w:rFonts w:ascii="Times New Roman" w:hAnsi="Times New Roman" w:eastAsia="宋体"/>
                <w:sz w:val="20"/>
              </w:rPr>
              <w:t>主动缩短年限</w:t>
            </w:r>
          </w:p>
        </w:tc>
      </w:tr>
      <w:tr w14:paraId="1C5A758D">
        <w:tblPrEx>
          <w:tblCellMar>
            <w:top w:w="0" w:type="dxa"/>
            <w:left w:w="108" w:type="dxa"/>
            <w:bottom w:w="0" w:type="dxa"/>
            <w:right w:w="108" w:type="dxa"/>
          </w:tblCellMar>
        </w:tblPrEx>
        <w:tc>
          <w:tcPr>
            <w:tcW w:w="833" w:type="pct"/>
          </w:tcPr>
          <w:p w14:paraId="32C65992">
            <w:pPr>
              <w:pStyle w:val="26"/>
              <w:spacing w:before="20" w:after="20" w:line="276" w:lineRule="auto"/>
            </w:pPr>
            <w:r>
              <w:rPr>
                <w:rFonts w:ascii="Times New Roman" w:hAnsi="Times New Roman" w:eastAsia="宋体"/>
                <w:sz w:val="20"/>
              </w:rPr>
              <w:t>D3 减值触发</w:t>
            </w:r>
          </w:p>
        </w:tc>
        <w:tc>
          <w:tcPr>
            <w:tcW w:w="833" w:type="pct"/>
          </w:tcPr>
          <w:p w14:paraId="79704133">
            <w:pPr>
              <w:pStyle w:val="26"/>
              <w:spacing w:before="20" w:after="20" w:line="276" w:lineRule="auto"/>
            </w:pPr>
            <w:r>
              <w:rPr>
                <w:rFonts w:ascii="Times New Roman" w:hAnsi="Times New Roman" w:eastAsia="宋体"/>
                <w:sz w:val="20"/>
              </w:rPr>
              <w:t>本期大额实际减值+多处直接信号</w:t>
            </w:r>
          </w:p>
        </w:tc>
        <w:tc>
          <w:tcPr>
            <w:tcW w:w="833" w:type="pct"/>
          </w:tcPr>
          <w:p w14:paraId="632B4AC1">
            <w:pPr>
              <w:pStyle w:val="26"/>
              <w:spacing w:before="20" w:after="20" w:line="276" w:lineRule="auto"/>
            </w:pPr>
            <w:r>
              <w:rPr>
                <w:rFonts w:ascii="Times New Roman" w:hAnsi="Times New Roman" w:eastAsia="宋体"/>
                <w:sz w:val="20"/>
              </w:rPr>
              <w:t>有实际减值或≥3 处直接信号</w:t>
            </w:r>
          </w:p>
        </w:tc>
        <w:tc>
          <w:tcPr>
            <w:tcW w:w="833" w:type="pct"/>
          </w:tcPr>
          <w:p w14:paraId="3CE05F80">
            <w:pPr>
              <w:pStyle w:val="26"/>
              <w:spacing w:before="20" w:after="20" w:line="276" w:lineRule="auto"/>
            </w:pPr>
            <w:r>
              <w:rPr>
                <w:rFonts w:ascii="Times New Roman" w:hAnsi="Times New Roman" w:eastAsia="宋体"/>
                <w:sz w:val="20"/>
              </w:rPr>
              <w:t>仅间接信号</w:t>
            </w:r>
          </w:p>
        </w:tc>
        <w:tc>
          <w:tcPr>
            <w:tcW w:w="833" w:type="pct"/>
          </w:tcPr>
          <w:p w14:paraId="2F8AF920">
            <w:pPr>
              <w:pStyle w:val="26"/>
              <w:spacing w:before="20" w:after="20" w:line="276" w:lineRule="auto"/>
            </w:pPr>
            <w:r>
              <w:rPr>
                <w:rFonts w:ascii="Times New Roman" w:hAnsi="Times New Roman" w:eastAsia="宋体"/>
                <w:sz w:val="20"/>
              </w:rPr>
              <w:t>稀少间接</w:t>
            </w:r>
          </w:p>
        </w:tc>
        <w:tc>
          <w:tcPr>
            <w:tcW w:w="833" w:type="pct"/>
          </w:tcPr>
          <w:p w14:paraId="05F0918E">
            <w:pPr>
              <w:pStyle w:val="26"/>
              <w:spacing w:before="20" w:after="20" w:line="276" w:lineRule="auto"/>
            </w:pPr>
            <w:r>
              <w:rPr>
                <w:rFonts w:ascii="Times New Roman" w:hAnsi="Times New Roman" w:eastAsia="宋体"/>
                <w:sz w:val="20"/>
              </w:rPr>
              <w:t>基本无</w:t>
            </w:r>
          </w:p>
        </w:tc>
      </w:tr>
      <w:tr w14:paraId="096E858A">
        <w:tblPrEx>
          <w:tblCellMar>
            <w:top w:w="0" w:type="dxa"/>
            <w:left w:w="108" w:type="dxa"/>
            <w:bottom w:w="0" w:type="dxa"/>
            <w:right w:w="108" w:type="dxa"/>
          </w:tblCellMar>
        </w:tblPrEx>
        <w:tc>
          <w:tcPr>
            <w:tcW w:w="833" w:type="pct"/>
          </w:tcPr>
          <w:p w14:paraId="3E98D7A2">
            <w:pPr>
              <w:pStyle w:val="26"/>
              <w:spacing w:before="20" w:after="20" w:line="276" w:lineRule="auto"/>
            </w:pPr>
            <w:r>
              <w:rPr>
                <w:rFonts w:ascii="Times New Roman" w:hAnsi="Times New Roman" w:eastAsia="宋体"/>
                <w:sz w:val="20"/>
              </w:rPr>
              <w:t>D4 CAPEX 强度</w:t>
            </w:r>
          </w:p>
        </w:tc>
        <w:tc>
          <w:tcPr>
            <w:tcW w:w="833" w:type="pct"/>
          </w:tcPr>
          <w:p w14:paraId="502989FC">
            <w:pPr>
              <w:pStyle w:val="26"/>
              <w:spacing w:before="20" w:after="20" w:line="276" w:lineRule="auto"/>
            </w:pPr>
            <w:r>
              <w:rPr>
                <w:rFonts w:ascii="Times New Roman" w:hAnsi="Times New Roman" w:eastAsia="宋体"/>
                <w:sz w:val="20"/>
              </w:rPr>
              <w:t>≥25%</w:t>
            </w:r>
          </w:p>
        </w:tc>
        <w:tc>
          <w:tcPr>
            <w:tcW w:w="833" w:type="pct"/>
          </w:tcPr>
          <w:p w14:paraId="5CB9DE20">
            <w:pPr>
              <w:pStyle w:val="26"/>
              <w:spacing w:before="20" w:after="20" w:line="276" w:lineRule="auto"/>
            </w:pPr>
            <w:r>
              <w:rPr>
                <w:rFonts w:ascii="Times New Roman" w:hAnsi="Times New Roman" w:eastAsia="宋体"/>
                <w:sz w:val="20"/>
              </w:rPr>
              <w:t>15-25%</w:t>
            </w:r>
          </w:p>
        </w:tc>
        <w:tc>
          <w:tcPr>
            <w:tcW w:w="833" w:type="pct"/>
          </w:tcPr>
          <w:p w14:paraId="55EAB155">
            <w:pPr>
              <w:pStyle w:val="26"/>
              <w:spacing w:before="20" w:after="20" w:line="276" w:lineRule="auto"/>
            </w:pPr>
            <w:r>
              <w:rPr>
                <w:rFonts w:ascii="Times New Roman" w:hAnsi="Times New Roman" w:eastAsia="宋体"/>
                <w:sz w:val="20"/>
              </w:rPr>
              <w:t>8-15%</w:t>
            </w:r>
          </w:p>
        </w:tc>
        <w:tc>
          <w:tcPr>
            <w:tcW w:w="833" w:type="pct"/>
          </w:tcPr>
          <w:p w14:paraId="413ADCFD">
            <w:pPr>
              <w:pStyle w:val="26"/>
              <w:spacing w:before="20" w:after="20" w:line="276" w:lineRule="auto"/>
            </w:pPr>
            <w:r>
              <w:rPr>
                <w:rFonts w:ascii="Times New Roman" w:hAnsi="Times New Roman" w:eastAsia="宋体"/>
                <w:sz w:val="20"/>
              </w:rPr>
              <w:t>3-8%</w:t>
            </w:r>
          </w:p>
        </w:tc>
        <w:tc>
          <w:tcPr>
            <w:tcW w:w="833" w:type="pct"/>
          </w:tcPr>
          <w:p w14:paraId="6329295B">
            <w:pPr>
              <w:pStyle w:val="26"/>
              <w:spacing w:before="20" w:after="20" w:line="276" w:lineRule="auto"/>
            </w:pPr>
            <w:r>
              <w:rPr>
                <w:rFonts w:ascii="Times New Roman" w:hAnsi="Times New Roman" w:eastAsia="宋体"/>
                <w:sz w:val="20"/>
              </w:rPr>
              <w:t>&lt;3%</w:t>
            </w:r>
          </w:p>
        </w:tc>
      </w:tr>
      <w:tr w14:paraId="2B505F6C">
        <w:tblPrEx>
          <w:tblCellMar>
            <w:top w:w="0" w:type="dxa"/>
            <w:left w:w="108" w:type="dxa"/>
            <w:bottom w:w="0" w:type="dxa"/>
            <w:right w:w="108" w:type="dxa"/>
          </w:tblCellMar>
        </w:tblPrEx>
        <w:tc>
          <w:tcPr>
            <w:tcW w:w="833" w:type="pct"/>
          </w:tcPr>
          <w:p w14:paraId="1A84AA45">
            <w:pPr>
              <w:pStyle w:val="26"/>
              <w:spacing w:before="20" w:after="20" w:line="276" w:lineRule="auto"/>
            </w:pPr>
            <w:r>
              <w:rPr>
                <w:rFonts w:ascii="Times New Roman" w:hAnsi="Times New Roman" w:eastAsia="宋体"/>
                <w:sz w:val="20"/>
              </w:rPr>
              <w:t>D5 竞争替代</w:t>
            </w:r>
          </w:p>
        </w:tc>
        <w:tc>
          <w:tcPr>
            <w:tcW w:w="833" w:type="pct"/>
          </w:tcPr>
          <w:p w14:paraId="10554A8D">
            <w:pPr>
              <w:pStyle w:val="26"/>
              <w:spacing w:before="20" w:after="20" w:line="276" w:lineRule="auto"/>
            </w:pPr>
            <w:r>
              <w:rPr>
                <w:rFonts w:ascii="Times New Roman" w:hAnsi="Times New Roman" w:eastAsia="宋体"/>
                <w:sz w:val="20"/>
              </w:rPr>
              <w:t>算力竞赛主力、直接运营海量 GPU</w:t>
            </w:r>
          </w:p>
        </w:tc>
        <w:tc>
          <w:tcPr>
            <w:tcW w:w="833" w:type="pct"/>
          </w:tcPr>
          <w:p w14:paraId="1D724C2C">
            <w:pPr>
              <w:pStyle w:val="26"/>
              <w:spacing w:before="20" w:after="20" w:line="276" w:lineRule="auto"/>
            </w:pPr>
            <w:r>
              <w:rPr>
                <w:rFonts w:ascii="Times New Roman" w:hAnsi="Times New Roman" w:eastAsia="宋体"/>
                <w:sz w:val="20"/>
              </w:rPr>
              <w:t>大量运营 GPU/数据中心</w:t>
            </w:r>
          </w:p>
        </w:tc>
        <w:tc>
          <w:tcPr>
            <w:tcW w:w="833" w:type="pct"/>
          </w:tcPr>
          <w:p w14:paraId="073601BA">
            <w:pPr>
              <w:pStyle w:val="26"/>
              <w:spacing w:before="20" w:after="20" w:line="276" w:lineRule="auto"/>
            </w:pPr>
            <w:r>
              <w:rPr>
                <w:rFonts w:ascii="Times New Roman" w:hAnsi="Times New Roman" w:eastAsia="宋体"/>
                <w:sz w:val="20"/>
              </w:rPr>
              <w:t>部分暴露/跟随</w:t>
            </w:r>
          </w:p>
        </w:tc>
        <w:tc>
          <w:tcPr>
            <w:tcW w:w="833" w:type="pct"/>
          </w:tcPr>
          <w:p w14:paraId="0BE0AA69">
            <w:pPr>
              <w:pStyle w:val="26"/>
              <w:spacing w:before="20" w:after="20" w:line="276" w:lineRule="auto"/>
            </w:pPr>
            <w:r>
              <w:rPr>
                <w:rFonts w:ascii="Times New Roman" w:hAnsi="Times New Roman" w:eastAsia="宋体"/>
                <w:sz w:val="20"/>
              </w:rPr>
              <w:t>间接暴露（卖芯片）</w:t>
            </w:r>
          </w:p>
        </w:tc>
        <w:tc>
          <w:tcPr>
            <w:tcW w:w="833" w:type="pct"/>
          </w:tcPr>
          <w:p w14:paraId="05487CB7">
            <w:pPr>
              <w:pStyle w:val="26"/>
              <w:spacing w:before="20" w:after="20" w:line="276" w:lineRule="auto"/>
            </w:pPr>
            <w:r>
              <w:rPr>
                <w:rFonts w:ascii="Times New Roman" w:hAnsi="Times New Roman" w:eastAsia="宋体"/>
                <w:sz w:val="20"/>
              </w:rPr>
              <w:t>基本无暴露</w:t>
            </w:r>
          </w:p>
        </w:tc>
      </w:tr>
    </w:tbl>
    <w:p w14:paraId="0CA38267">
      <w:pPr>
        <w:pStyle w:val="6"/>
        <w:spacing w:before="320" w:after="160" w:line="360" w:lineRule="auto"/>
        <w:rPr>
          <w:b w:val="0"/>
          <w:bCs/>
          <w:i w:val="0"/>
          <w:iCs w:val="0"/>
        </w:rPr>
      </w:pPr>
      <w:r>
        <w:rPr>
          <w:rFonts w:ascii="Times New Roman" w:hAnsi="Times New Roman" w:eastAsia="黑体"/>
          <w:b w:val="0"/>
          <w:bCs/>
          <w:i w:val="0"/>
          <w:iCs w:val="0"/>
          <w:color w:val="003366"/>
          <w:sz w:val="28"/>
        </w:rPr>
        <w:t>（二）D1 折旧年限 vs 技术实际寿命（按资产类型细化）</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6D8FCDD1">
        <w:tblPrEx>
          <w:tblCellMar>
            <w:top w:w="0" w:type="dxa"/>
            <w:left w:w="108" w:type="dxa"/>
            <w:bottom w:w="0" w:type="dxa"/>
            <w:right w:w="108" w:type="dxa"/>
          </w:tblCellMar>
        </w:tblPrEx>
        <w:tc>
          <w:tcPr>
            <w:tcW w:w="1250" w:type="pct"/>
          </w:tcPr>
          <w:p w14:paraId="062F6659">
            <w:pPr>
              <w:pStyle w:val="26"/>
              <w:spacing w:before="20" w:after="20" w:line="276" w:lineRule="auto"/>
            </w:pPr>
            <w:r>
              <w:rPr>
                <w:rFonts w:hint="eastAsia" w:ascii="Times New Roman" w:hAnsi="Times New Roman" w:eastAsia="宋体"/>
                <w:b/>
                <w:bCs/>
                <w:sz w:val="20"/>
              </w:rPr>
              <w:t>资产类型</w:t>
            </w:r>
          </w:p>
        </w:tc>
        <w:tc>
          <w:tcPr>
            <w:tcW w:w="1250" w:type="pct"/>
          </w:tcPr>
          <w:p w14:paraId="5AD78D63">
            <w:pPr>
              <w:pStyle w:val="26"/>
              <w:spacing w:before="20" w:after="20" w:line="276" w:lineRule="auto"/>
            </w:pPr>
            <w:r>
              <w:rPr>
                <w:rFonts w:hint="eastAsia" w:ascii="Times New Roman" w:hAnsi="Times New Roman" w:eastAsia="宋体"/>
                <w:b/>
                <w:bCs/>
                <w:sz w:val="20"/>
              </w:rPr>
              <w:t>技术基准</w:t>
            </w:r>
          </w:p>
        </w:tc>
        <w:tc>
          <w:tcPr>
            <w:tcW w:w="1250" w:type="pct"/>
          </w:tcPr>
          <w:p w14:paraId="309C6E1D">
            <w:pPr>
              <w:pStyle w:val="26"/>
              <w:spacing w:before="20" w:after="20" w:line="276" w:lineRule="auto"/>
            </w:pPr>
            <w:r>
              <w:rPr>
                <w:rFonts w:hint="eastAsia" w:ascii="Times New Roman" w:hAnsi="Times New Roman" w:eastAsia="宋体"/>
                <w:b/>
                <w:bCs/>
                <w:sz w:val="20"/>
              </w:rPr>
              <w:t>锚点</w:t>
            </w:r>
          </w:p>
        </w:tc>
        <w:tc>
          <w:tcPr>
            <w:tcW w:w="1250" w:type="pct"/>
          </w:tcPr>
          <w:p w14:paraId="068110FE">
            <w:pPr>
              <w:pStyle w:val="26"/>
              <w:spacing w:before="20" w:after="20" w:line="276" w:lineRule="auto"/>
            </w:pPr>
            <w:r>
              <w:rPr>
                <w:rFonts w:hint="eastAsia" w:ascii="Times New Roman" w:hAnsi="Times New Roman" w:eastAsia="宋体"/>
                <w:b/>
                <w:bCs/>
                <w:sz w:val="20"/>
              </w:rPr>
              <w:t>示例</w:t>
            </w:r>
          </w:p>
        </w:tc>
      </w:tr>
      <w:tr w14:paraId="71518488">
        <w:tblPrEx>
          <w:tblCellMar>
            <w:top w:w="0" w:type="dxa"/>
            <w:left w:w="108" w:type="dxa"/>
            <w:bottom w:w="0" w:type="dxa"/>
            <w:right w:w="108" w:type="dxa"/>
          </w:tblCellMar>
        </w:tblPrEx>
        <w:tc>
          <w:tcPr>
            <w:tcW w:w="1250" w:type="pct"/>
          </w:tcPr>
          <w:p w14:paraId="5913746D">
            <w:pPr>
              <w:pStyle w:val="26"/>
              <w:spacing w:before="20" w:after="20" w:line="276" w:lineRule="auto"/>
            </w:pPr>
            <w:r>
              <w:rPr>
                <w:rFonts w:ascii="Times New Roman" w:hAnsi="Times New Roman" w:eastAsia="宋体"/>
                <w:sz w:val="20"/>
              </w:rPr>
              <w:t>服务器/网络/数据中心</w:t>
            </w:r>
          </w:p>
        </w:tc>
        <w:tc>
          <w:tcPr>
            <w:tcW w:w="1250" w:type="pct"/>
          </w:tcPr>
          <w:p w14:paraId="07240B3A">
            <w:pPr>
              <w:pStyle w:val="26"/>
              <w:spacing w:before="20" w:after="20" w:line="276" w:lineRule="auto"/>
            </w:pPr>
            <w:r>
              <w:rPr>
                <w:rFonts w:ascii="Times New Roman" w:hAnsi="Times New Roman" w:eastAsia="宋体"/>
                <w:sz w:val="20"/>
              </w:rPr>
              <w:t>1.5年</w:t>
            </w:r>
          </w:p>
        </w:tc>
        <w:tc>
          <w:tcPr>
            <w:tcW w:w="1250" w:type="pct"/>
          </w:tcPr>
          <w:p w14:paraId="57B43FD1">
            <w:pPr>
              <w:pStyle w:val="26"/>
              <w:spacing w:before="20" w:after="20" w:line="276" w:lineRule="auto"/>
            </w:pPr>
            <w:r>
              <w:rPr>
                <w:rFonts w:ascii="Times New Roman" w:hAnsi="Times New Roman" w:eastAsia="宋体"/>
                <w:sz w:val="20"/>
              </w:rPr>
              <w:t>5:≥6y / 4:4-6y / 3:3-4y / 2:2-3y / 1:≤2y</w:t>
            </w:r>
          </w:p>
        </w:tc>
        <w:tc>
          <w:tcPr>
            <w:tcW w:w="1250" w:type="pct"/>
          </w:tcPr>
          <w:p w14:paraId="466957A8">
            <w:pPr>
              <w:pStyle w:val="26"/>
              <w:spacing w:before="20" w:after="20" w:line="276" w:lineRule="auto"/>
            </w:pPr>
            <w:r>
              <w:rPr>
                <w:rFonts w:ascii="Times New Roman" w:hAnsi="Times New Roman" w:eastAsia="宋体"/>
                <w:sz w:val="20"/>
              </w:rPr>
              <w:t>MSFT 6y→5分; META 5.5y→4分; NVDA 4-5y→4分</w:t>
            </w:r>
          </w:p>
        </w:tc>
      </w:tr>
      <w:tr w14:paraId="255E6ADC">
        <w:tblPrEx>
          <w:tblCellMar>
            <w:top w:w="0" w:type="dxa"/>
            <w:left w:w="108" w:type="dxa"/>
            <w:bottom w:w="0" w:type="dxa"/>
            <w:right w:w="108" w:type="dxa"/>
          </w:tblCellMar>
        </w:tblPrEx>
        <w:tc>
          <w:tcPr>
            <w:tcW w:w="1250" w:type="pct"/>
          </w:tcPr>
          <w:p w14:paraId="1ACB9526">
            <w:pPr>
              <w:pStyle w:val="26"/>
              <w:spacing w:before="20" w:after="20" w:line="276" w:lineRule="auto"/>
            </w:pPr>
            <w:r>
              <w:rPr>
                <w:rFonts w:ascii="Times New Roman" w:hAnsi="Times New Roman" w:eastAsia="宋体"/>
                <w:sz w:val="20"/>
              </w:rPr>
              <w:t>晶圆厂/制造设备</w:t>
            </w:r>
          </w:p>
        </w:tc>
        <w:tc>
          <w:tcPr>
            <w:tcW w:w="1250" w:type="pct"/>
          </w:tcPr>
          <w:p w14:paraId="6B6597A0">
            <w:pPr>
              <w:pStyle w:val="26"/>
              <w:spacing w:before="20" w:after="20" w:line="276" w:lineRule="auto"/>
            </w:pPr>
            <w:r>
              <w:rPr>
                <w:rFonts w:ascii="Times New Roman" w:hAnsi="Times New Roman" w:eastAsia="宋体"/>
                <w:sz w:val="20"/>
              </w:rPr>
              <w:t>3.5年</w:t>
            </w:r>
          </w:p>
        </w:tc>
        <w:tc>
          <w:tcPr>
            <w:tcW w:w="1250" w:type="pct"/>
          </w:tcPr>
          <w:p w14:paraId="706B7C45">
            <w:pPr>
              <w:pStyle w:val="26"/>
              <w:spacing w:before="20" w:after="20" w:line="276" w:lineRule="auto"/>
            </w:pPr>
            <w:r>
              <w:rPr>
                <w:rFonts w:ascii="Times New Roman" w:hAnsi="Times New Roman" w:eastAsia="宋体"/>
                <w:sz w:val="20"/>
              </w:rPr>
              <w:t>5:≥10y / 4:7-10y / 3:5-7y / 2:3.5-5y / 1:≤3.5y</w:t>
            </w:r>
          </w:p>
        </w:tc>
        <w:tc>
          <w:tcPr>
            <w:tcW w:w="1250" w:type="pct"/>
          </w:tcPr>
          <w:p w14:paraId="352A1CD7">
            <w:pPr>
              <w:pStyle w:val="26"/>
              <w:spacing w:before="20" w:after="20" w:line="276" w:lineRule="auto"/>
            </w:pPr>
            <w:r>
              <w:rPr>
                <w:rFonts w:ascii="Times New Roman" w:hAnsi="Times New Roman" w:eastAsia="宋体"/>
                <w:sz w:val="20"/>
              </w:rPr>
              <w:t>MU 7y→4分; INTC 8y→4分</w:t>
            </w:r>
          </w:p>
        </w:tc>
      </w:tr>
      <w:tr w14:paraId="032297A8">
        <w:tblPrEx>
          <w:tblCellMar>
            <w:top w:w="0" w:type="dxa"/>
            <w:left w:w="108" w:type="dxa"/>
            <w:bottom w:w="0" w:type="dxa"/>
            <w:right w:w="108" w:type="dxa"/>
          </w:tblCellMar>
        </w:tblPrEx>
        <w:tc>
          <w:tcPr>
            <w:tcW w:w="1250" w:type="pct"/>
          </w:tcPr>
          <w:p w14:paraId="18799E73">
            <w:pPr>
              <w:pStyle w:val="26"/>
              <w:spacing w:before="20" w:after="20" w:line="276" w:lineRule="auto"/>
            </w:pPr>
            <w:r>
              <w:rPr>
                <w:rFonts w:ascii="Times New Roman" w:hAnsi="Times New Roman" w:eastAsia="宋体"/>
                <w:sz w:val="20"/>
              </w:rPr>
              <w:t>通用设备/软件</w:t>
            </w:r>
          </w:p>
        </w:tc>
        <w:tc>
          <w:tcPr>
            <w:tcW w:w="1250" w:type="pct"/>
          </w:tcPr>
          <w:p w14:paraId="5B7549F2">
            <w:pPr>
              <w:pStyle w:val="26"/>
              <w:spacing w:before="20" w:after="20" w:line="276" w:lineRule="auto"/>
            </w:pPr>
            <w:r>
              <w:rPr>
                <w:rFonts w:ascii="Times New Roman" w:hAnsi="Times New Roman" w:eastAsia="宋体"/>
                <w:sz w:val="20"/>
              </w:rPr>
              <w:t>2-4年</w:t>
            </w:r>
          </w:p>
        </w:tc>
        <w:tc>
          <w:tcPr>
            <w:tcW w:w="1250" w:type="pct"/>
          </w:tcPr>
          <w:p w14:paraId="7D436931">
            <w:pPr>
              <w:pStyle w:val="26"/>
              <w:spacing w:before="20" w:after="20" w:line="276" w:lineRule="auto"/>
            </w:pPr>
            <w:r>
              <w:rPr>
                <w:rFonts w:ascii="Times New Roman" w:hAnsi="Times New Roman" w:eastAsia="宋体"/>
                <w:sz w:val="20"/>
              </w:rPr>
              <w:t>5:≥7y / 4:5-7y / 3:3-5y / 2:2-3y / 1:≤2y</w:t>
            </w:r>
          </w:p>
        </w:tc>
        <w:tc>
          <w:tcPr>
            <w:tcW w:w="1250" w:type="pct"/>
          </w:tcPr>
          <w:p w14:paraId="36E7E383">
            <w:pPr>
              <w:pStyle w:val="26"/>
              <w:spacing w:before="20" w:after="20" w:line="276" w:lineRule="auto"/>
            </w:pPr>
            <w:r>
              <w:rPr>
                <w:rFonts w:ascii="Times New Roman" w:hAnsi="Times New Roman" w:eastAsia="宋体"/>
                <w:sz w:val="20"/>
              </w:rPr>
              <w:t>NVDA test equip 7y→4分</w:t>
            </w:r>
          </w:p>
        </w:tc>
      </w:tr>
      <w:tr w14:paraId="4AD75F4D">
        <w:tblPrEx>
          <w:tblCellMar>
            <w:top w:w="0" w:type="dxa"/>
            <w:left w:w="108" w:type="dxa"/>
            <w:bottom w:w="0" w:type="dxa"/>
            <w:right w:w="108" w:type="dxa"/>
          </w:tblCellMar>
        </w:tblPrEx>
        <w:tc>
          <w:tcPr>
            <w:tcW w:w="1250" w:type="pct"/>
          </w:tcPr>
          <w:p w14:paraId="2764A2A8">
            <w:pPr>
              <w:pStyle w:val="26"/>
              <w:spacing w:before="20" w:after="20" w:line="276" w:lineRule="auto"/>
            </w:pPr>
            <w:r>
              <w:rPr>
                <w:rFonts w:ascii="Times New Roman" w:hAnsi="Times New Roman" w:eastAsia="宋体"/>
                <w:sz w:val="20"/>
              </w:rPr>
              <w:t>建筑物/土地</w:t>
            </w:r>
          </w:p>
        </w:tc>
        <w:tc>
          <w:tcPr>
            <w:tcW w:w="1250" w:type="pct"/>
          </w:tcPr>
          <w:p w14:paraId="7EB48D4A">
            <w:pPr>
              <w:pStyle w:val="26"/>
              <w:spacing w:before="20" w:after="20" w:line="276" w:lineRule="auto"/>
            </w:pPr>
            <w:r>
              <w:rPr>
                <w:rFonts w:ascii="Times New Roman" w:hAnsi="Times New Roman" w:eastAsia="宋体"/>
                <w:sz w:val="20"/>
              </w:rPr>
              <w:t>—</w:t>
            </w:r>
          </w:p>
        </w:tc>
        <w:tc>
          <w:tcPr>
            <w:tcW w:w="1250" w:type="pct"/>
          </w:tcPr>
          <w:p w14:paraId="6971BE5B">
            <w:pPr>
              <w:pStyle w:val="26"/>
              <w:spacing w:before="20" w:after="20" w:line="276" w:lineRule="auto"/>
            </w:pPr>
            <w:r>
              <w:rPr>
                <w:rFonts w:ascii="Times New Roman" w:hAnsi="Times New Roman" w:eastAsia="宋体"/>
                <w:sz w:val="20"/>
              </w:rPr>
              <w:t>EXCLUDED（不计入D1）</w:t>
            </w:r>
          </w:p>
        </w:tc>
        <w:tc>
          <w:tcPr>
            <w:tcW w:w="1250" w:type="pct"/>
          </w:tcPr>
          <w:p w14:paraId="0558971E">
            <w:pPr>
              <w:pStyle w:val="26"/>
              <w:spacing w:before="20" w:after="20" w:line="276" w:lineRule="auto"/>
            </w:pPr>
            <w:r>
              <w:rPr>
                <w:rFonts w:ascii="Times New Roman" w:hAnsi="Times New Roman" w:eastAsia="宋体"/>
                <w:sz w:val="20"/>
              </w:rPr>
              <w:t>Building 15-25y→不适用</w:t>
            </w:r>
          </w:p>
        </w:tc>
      </w:tr>
      <w:tr w14:paraId="3A71E4D7">
        <w:tblPrEx>
          <w:tblCellMar>
            <w:top w:w="0" w:type="dxa"/>
            <w:left w:w="108" w:type="dxa"/>
            <w:bottom w:w="0" w:type="dxa"/>
            <w:right w:w="108" w:type="dxa"/>
          </w:tblCellMar>
        </w:tblPrEx>
        <w:tc>
          <w:tcPr>
            <w:tcW w:w="1250" w:type="pct"/>
          </w:tcPr>
          <w:p w14:paraId="0A8C207C">
            <w:pPr>
              <w:pStyle w:val="26"/>
              <w:spacing w:before="20" w:after="20" w:line="276" w:lineRule="auto"/>
            </w:pPr>
            <w:r>
              <w:rPr>
                <w:rFonts w:ascii="Times New Roman" w:hAnsi="Times New Roman" w:eastAsia="宋体"/>
                <w:sz w:val="20"/>
              </w:rPr>
              <w:t>无形资产/商誉/摊销</w:t>
            </w:r>
          </w:p>
        </w:tc>
        <w:tc>
          <w:tcPr>
            <w:tcW w:w="1250" w:type="pct"/>
          </w:tcPr>
          <w:p w14:paraId="7CDF11B0">
            <w:pPr>
              <w:pStyle w:val="26"/>
              <w:spacing w:before="20" w:after="20" w:line="276" w:lineRule="auto"/>
            </w:pPr>
            <w:r>
              <w:rPr>
                <w:rFonts w:ascii="Times New Roman" w:hAnsi="Times New Roman" w:eastAsia="宋体"/>
                <w:sz w:val="20"/>
              </w:rPr>
              <w:t>—</w:t>
            </w:r>
          </w:p>
        </w:tc>
        <w:tc>
          <w:tcPr>
            <w:tcW w:w="1250" w:type="pct"/>
          </w:tcPr>
          <w:p w14:paraId="7E12DB9C">
            <w:pPr>
              <w:pStyle w:val="26"/>
              <w:spacing w:before="20" w:after="20" w:line="276" w:lineRule="auto"/>
            </w:pPr>
            <w:r>
              <w:rPr>
                <w:rFonts w:ascii="Times New Roman" w:hAnsi="Times New Roman" w:eastAsia="宋体"/>
                <w:sz w:val="20"/>
              </w:rPr>
              <w:t>EXCLUDED（不计入D1）</w:t>
            </w:r>
          </w:p>
        </w:tc>
        <w:tc>
          <w:tcPr>
            <w:tcW w:w="1250" w:type="pct"/>
          </w:tcPr>
          <w:p w14:paraId="6FE7367E">
            <w:pPr>
              <w:pStyle w:val="26"/>
              <w:spacing w:before="20" w:after="20" w:line="276" w:lineRule="auto"/>
            </w:pPr>
            <w:r>
              <w:rPr>
                <w:rFonts w:ascii="Times New Roman" w:hAnsi="Times New Roman" w:eastAsia="宋体"/>
                <w:sz w:val="20"/>
              </w:rPr>
              <w:t>AMD Xilinx 16y摊销→不适用</w:t>
            </w:r>
          </w:p>
        </w:tc>
      </w:tr>
    </w:tbl>
    <w:p w14:paraId="18E830CB">
      <w:pPr>
        <w:pStyle w:val="3"/>
        <w:spacing w:before="40" w:after="40" w:line="360" w:lineRule="auto"/>
        <w:ind w:firstLine="480"/>
      </w:pPr>
      <w:r>
        <w:rPr>
          <w:rFonts w:hint="eastAsia" w:ascii="Times New Roman" w:hAnsi="Times New Roman" w:eastAsia="宋体"/>
          <w:sz w:val="24"/>
        </w:rPr>
        <w:t>执行规则：① 范围取上限；② 变更后年限；③ 三年内两次延长可审慎上浮 1 分（详见 3.4.2）。</w:t>
      </w:r>
    </w:p>
    <w:p w14:paraId="79D69F26">
      <w:pPr>
        <w:pStyle w:val="6"/>
        <w:spacing w:before="320" w:after="160" w:line="360" w:lineRule="auto"/>
        <w:rPr>
          <w:b w:val="0"/>
          <w:bCs/>
          <w:i w:val="0"/>
          <w:iCs w:val="0"/>
        </w:rPr>
      </w:pPr>
      <w:r>
        <w:rPr>
          <w:rFonts w:ascii="Times New Roman" w:hAnsi="Times New Roman" w:eastAsia="黑体"/>
          <w:b w:val="0"/>
          <w:bCs/>
          <w:i w:val="0"/>
          <w:iCs w:val="0"/>
          <w:color w:val="003366"/>
          <w:sz w:val="28"/>
        </w:rPr>
        <w:t>（三）D2 会计政策保守性（细化）</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3CD364B0">
        <w:tblPrEx>
          <w:tblCellMar>
            <w:top w:w="0" w:type="dxa"/>
            <w:left w:w="108" w:type="dxa"/>
            <w:bottom w:w="0" w:type="dxa"/>
            <w:right w:w="108" w:type="dxa"/>
          </w:tblCellMar>
        </w:tblPrEx>
        <w:tc>
          <w:tcPr>
            <w:tcW w:w="1666" w:type="pct"/>
          </w:tcPr>
          <w:p w14:paraId="77244A12">
            <w:pPr>
              <w:pStyle w:val="26"/>
              <w:spacing w:before="20" w:after="20" w:line="276" w:lineRule="auto"/>
            </w:pPr>
            <w:r>
              <w:rPr>
                <w:rFonts w:hint="eastAsia" w:ascii="Times New Roman" w:hAnsi="Times New Roman" w:eastAsia="宋体"/>
                <w:b/>
                <w:bCs/>
                <w:sz w:val="20"/>
              </w:rPr>
              <w:t>分数</w:t>
            </w:r>
          </w:p>
        </w:tc>
        <w:tc>
          <w:tcPr>
            <w:tcW w:w="1666" w:type="pct"/>
          </w:tcPr>
          <w:p w14:paraId="52F9A88C">
            <w:pPr>
              <w:pStyle w:val="26"/>
              <w:spacing w:before="20" w:after="20" w:line="276" w:lineRule="auto"/>
            </w:pPr>
            <w:r>
              <w:rPr>
                <w:rFonts w:hint="eastAsia" w:ascii="Times New Roman" w:hAnsi="Times New Roman" w:eastAsia="宋体"/>
                <w:b/>
                <w:bCs/>
                <w:sz w:val="20"/>
              </w:rPr>
              <w:t>锚点条件</w:t>
            </w:r>
          </w:p>
        </w:tc>
        <w:tc>
          <w:tcPr>
            <w:tcW w:w="1666" w:type="pct"/>
          </w:tcPr>
          <w:p w14:paraId="5CE6772C">
            <w:pPr>
              <w:pStyle w:val="26"/>
              <w:spacing w:before="20" w:after="20" w:line="276" w:lineRule="auto"/>
            </w:pPr>
            <w:r>
              <w:rPr>
                <w:rFonts w:hint="eastAsia" w:ascii="Times New Roman" w:hAnsi="Times New Roman" w:eastAsia="宋体"/>
                <w:b/>
                <w:bCs/>
                <w:sz w:val="20"/>
              </w:rPr>
              <w:t>示例</w:t>
            </w:r>
          </w:p>
        </w:tc>
      </w:tr>
      <w:tr w14:paraId="49B058EC">
        <w:tblPrEx>
          <w:tblCellMar>
            <w:top w:w="0" w:type="dxa"/>
            <w:left w:w="108" w:type="dxa"/>
            <w:bottom w:w="0" w:type="dxa"/>
            <w:right w:w="108" w:type="dxa"/>
          </w:tblCellMar>
        </w:tblPrEx>
        <w:tc>
          <w:tcPr>
            <w:tcW w:w="1666" w:type="pct"/>
          </w:tcPr>
          <w:p w14:paraId="6E3D9FCF">
            <w:pPr>
              <w:pStyle w:val="26"/>
              <w:spacing w:before="20" w:after="20" w:line="276" w:lineRule="auto"/>
            </w:pPr>
            <w:r>
              <w:rPr>
                <w:rFonts w:ascii="Times New Roman" w:hAnsi="Times New Roman" w:eastAsia="宋体"/>
                <w:sz w:val="20"/>
              </w:rPr>
              <w:t>5</w:t>
            </w:r>
          </w:p>
        </w:tc>
        <w:tc>
          <w:tcPr>
            <w:tcW w:w="1666" w:type="pct"/>
          </w:tcPr>
          <w:p w14:paraId="61A20D9E">
            <w:pPr>
              <w:pStyle w:val="26"/>
              <w:spacing w:before="20" w:after="20" w:line="276" w:lineRule="auto"/>
            </w:pPr>
            <w:r>
              <w:rPr>
                <w:rFonts w:ascii="Times New Roman" w:hAnsi="Times New Roman" w:eastAsia="宋体"/>
                <w:sz w:val="20"/>
              </w:rPr>
              <w:t>本期延长年限 + 未来适用法；或三年内两次延长</w:t>
            </w:r>
          </w:p>
        </w:tc>
        <w:tc>
          <w:tcPr>
            <w:tcW w:w="1666" w:type="pct"/>
          </w:tcPr>
          <w:p w14:paraId="78D432C5">
            <w:pPr>
              <w:pStyle w:val="26"/>
              <w:spacing w:before="20" w:after="20" w:line="276" w:lineRule="auto"/>
            </w:pPr>
            <w:r>
              <w:rPr>
                <w:rFonts w:ascii="Times New Roman" w:hAnsi="Times New Roman" w:eastAsia="宋体"/>
                <w:sz w:val="20"/>
              </w:rPr>
              <w:t>ORCL FY2025 5→6y; META FY2024 5→5.5y</w:t>
            </w:r>
          </w:p>
        </w:tc>
      </w:tr>
      <w:tr w14:paraId="1938D5FF">
        <w:tblPrEx>
          <w:tblCellMar>
            <w:top w:w="0" w:type="dxa"/>
            <w:left w:w="108" w:type="dxa"/>
            <w:bottom w:w="0" w:type="dxa"/>
            <w:right w:w="108" w:type="dxa"/>
          </w:tblCellMar>
        </w:tblPrEx>
        <w:tc>
          <w:tcPr>
            <w:tcW w:w="1666" w:type="pct"/>
          </w:tcPr>
          <w:p w14:paraId="23E706BC">
            <w:pPr>
              <w:pStyle w:val="26"/>
              <w:spacing w:before="20" w:after="20" w:line="276" w:lineRule="auto"/>
            </w:pPr>
            <w:r>
              <w:rPr>
                <w:rFonts w:ascii="Times New Roman" w:hAnsi="Times New Roman" w:eastAsia="宋体"/>
                <w:sz w:val="20"/>
              </w:rPr>
              <w:t>4</w:t>
            </w:r>
          </w:p>
        </w:tc>
        <w:tc>
          <w:tcPr>
            <w:tcW w:w="1666" w:type="pct"/>
          </w:tcPr>
          <w:p w14:paraId="78C5F913">
            <w:pPr>
              <w:pStyle w:val="26"/>
              <w:spacing w:before="20" w:after="20" w:line="276" w:lineRule="auto"/>
            </w:pPr>
            <w:r>
              <w:rPr>
                <w:rFonts w:ascii="Times New Roman" w:hAnsi="Times New Roman" w:eastAsia="宋体"/>
                <w:sz w:val="20"/>
              </w:rPr>
              <w:t>历史有延长记录，本期无变更；或变更幅度≥50%</w:t>
            </w:r>
          </w:p>
        </w:tc>
        <w:tc>
          <w:tcPr>
            <w:tcW w:w="1666" w:type="pct"/>
          </w:tcPr>
          <w:p w14:paraId="277848C0">
            <w:pPr>
              <w:pStyle w:val="26"/>
              <w:spacing w:before="20" w:after="20" w:line="276" w:lineRule="auto"/>
            </w:pPr>
            <w:r>
              <w:rPr>
                <w:rFonts w:ascii="Times New Roman" w:hAnsi="Times New Roman" w:eastAsia="宋体"/>
                <w:sz w:val="20"/>
              </w:rPr>
              <w:t>MSFT FY2025（2022年4→6y仍在执行）; GOOGL FY2024</w:t>
            </w:r>
          </w:p>
        </w:tc>
      </w:tr>
      <w:tr w14:paraId="6BE7C04F">
        <w:tblPrEx>
          <w:tblCellMar>
            <w:top w:w="0" w:type="dxa"/>
            <w:left w:w="108" w:type="dxa"/>
            <w:bottom w:w="0" w:type="dxa"/>
            <w:right w:w="108" w:type="dxa"/>
          </w:tblCellMar>
        </w:tblPrEx>
        <w:tc>
          <w:tcPr>
            <w:tcW w:w="1666" w:type="pct"/>
          </w:tcPr>
          <w:p w14:paraId="5A78D9B7">
            <w:pPr>
              <w:pStyle w:val="26"/>
              <w:spacing w:before="20" w:after="20" w:line="276" w:lineRule="auto"/>
            </w:pPr>
            <w:r>
              <w:rPr>
                <w:rFonts w:ascii="Times New Roman" w:hAnsi="Times New Roman" w:eastAsia="宋体"/>
                <w:sz w:val="20"/>
              </w:rPr>
              <w:t>3</w:t>
            </w:r>
          </w:p>
        </w:tc>
        <w:tc>
          <w:tcPr>
            <w:tcW w:w="1666" w:type="pct"/>
          </w:tcPr>
          <w:p w14:paraId="312779AE">
            <w:pPr>
              <w:pStyle w:val="26"/>
              <w:spacing w:before="20" w:after="20" w:line="276" w:lineRule="auto"/>
            </w:pPr>
            <w:r>
              <w:rPr>
                <w:rFonts w:ascii="Times New Roman" w:hAnsi="Times New Roman" w:eastAsia="宋体"/>
                <w:sz w:val="20"/>
              </w:rPr>
              <w:t>无变更记录；政策中性；仅其他估计变更</w:t>
            </w:r>
          </w:p>
        </w:tc>
        <w:tc>
          <w:tcPr>
            <w:tcW w:w="1666" w:type="pct"/>
          </w:tcPr>
          <w:p w14:paraId="3C421B90">
            <w:pPr>
              <w:pStyle w:val="26"/>
              <w:spacing w:before="20" w:after="20" w:line="276" w:lineRule="auto"/>
            </w:pPr>
            <w:r>
              <w:rPr>
                <w:rFonts w:ascii="Times New Roman" w:hAnsi="Times New Roman" w:eastAsia="宋体"/>
                <w:sz w:val="20"/>
              </w:rPr>
              <w:t>MU FY2024（7y固定多年）; CRM FY2025</w:t>
            </w:r>
          </w:p>
        </w:tc>
      </w:tr>
      <w:tr w14:paraId="1892008E">
        <w:tblPrEx>
          <w:tblCellMar>
            <w:top w:w="0" w:type="dxa"/>
            <w:left w:w="108" w:type="dxa"/>
            <w:bottom w:w="0" w:type="dxa"/>
            <w:right w:w="108" w:type="dxa"/>
          </w:tblCellMar>
        </w:tblPrEx>
        <w:tc>
          <w:tcPr>
            <w:tcW w:w="1666" w:type="pct"/>
          </w:tcPr>
          <w:p w14:paraId="33DF723B">
            <w:pPr>
              <w:pStyle w:val="26"/>
              <w:spacing w:before="20" w:after="20" w:line="276" w:lineRule="auto"/>
            </w:pPr>
            <w:r>
              <w:rPr>
                <w:rFonts w:ascii="Times New Roman" w:hAnsi="Times New Roman" w:eastAsia="宋体"/>
                <w:sz w:val="20"/>
              </w:rPr>
              <w:t>2</w:t>
            </w:r>
          </w:p>
        </w:tc>
        <w:tc>
          <w:tcPr>
            <w:tcW w:w="1666" w:type="pct"/>
          </w:tcPr>
          <w:p w14:paraId="7D9EBA80">
            <w:pPr>
              <w:pStyle w:val="26"/>
              <w:spacing w:before="20" w:after="20" w:line="276" w:lineRule="auto"/>
            </w:pPr>
            <w:r>
              <w:rPr>
                <w:rFonts w:ascii="Times New Roman" w:hAnsi="Times New Roman" w:eastAsia="宋体"/>
                <w:sz w:val="20"/>
              </w:rPr>
              <w:t>使用追溯调整；或本期缩短年限</w:t>
            </w:r>
          </w:p>
        </w:tc>
        <w:tc>
          <w:tcPr>
            <w:tcW w:w="1666" w:type="pct"/>
          </w:tcPr>
          <w:p w14:paraId="24E65D3D">
            <w:pPr>
              <w:pStyle w:val="26"/>
              <w:spacing w:before="20" w:after="20" w:line="276" w:lineRule="auto"/>
            </w:pPr>
            <w:r>
              <w:rPr>
                <w:rFonts w:ascii="Times New Roman" w:hAnsi="Times New Roman" w:eastAsia="宋体"/>
                <w:sz w:val="20"/>
              </w:rPr>
              <w:t>Amazon 2025（6→5y缩回）</w:t>
            </w:r>
          </w:p>
        </w:tc>
      </w:tr>
      <w:tr w14:paraId="39CC3016">
        <w:tblPrEx>
          <w:tblCellMar>
            <w:top w:w="0" w:type="dxa"/>
            <w:left w:w="108" w:type="dxa"/>
            <w:bottom w:w="0" w:type="dxa"/>
            <w:right w:w="108" w:type="dxa"/>
          </w:tblCellMar>
        </w:tblPrEx>
        <w:tc>
          <w:tcPr>
            <w:tcW w:w="1666" w:type="pct"/>
          </w:tcPr>
          <w:p w14:paraId="5699E193">
            <w:pPr>
              <w:pStyle w:val="26"/>
              <w:spacing w:before="20" w:after="20" w:line="276" w:lineRule="auto"/>
            </w:pPr>
            <w:r>
              <w:rPr>
                <w:rFonts w:ascii="Times New Roman" w:hAnsi="Times New Roman" w:eastAsia="宋体"/>
                <w:sz w:val="20"/>
              </w:rPr>
              <w:t>1</w:t>
            </w:r>
          </w:p>
        </w:tc>
        <w:tc>
          <w:tcPr>
            <w:tcW w:w="1666" w:type="pct"/>
          </w:tcPr>
          <w:p w14:paraId="03E9180C">
            <w:pPr>
              <w:pStyle w:val="26"/>
              <w:spacing w:before="20" w:after="20" w:line="276" w:lineRule="auto"/>
            </w:pPr>
            <w:r>
              <w:rPr>
                <w:rFonts w:ascii="Times New Roman" w:hAnsi="Times New Roman" w:eastAsia="宋体"/>
                <w:sz w:val="20"/>
              </w:rPr>
              <w:t>显著缩短年限 + 无合理技术依据</w:t>
            </w:r>
          </w:p>
        </w:tc>
        <w:tc>
          <w:tcPr>
            <w:tcW w:w="1666" w:type="pct"/>
          </w:tcPr>
          <w:p w14:paraId="3EFB8AF3">
            <w:pPr>
              <w:pStyle w:val="26"/>
              <w:spacing w:before="20" w:after="20" w:line="276" w:lineRule="auto"/>
            </w:pPr>
            <w:r>
              <w:rPr>
                <w:rFonts w:ascii="Times New Roman" w:hAnsi="Times New Roman" w:eastAsia="宋体"/>
                <w:sz w:val="20"/>
              </w:rPr>
              <w:t>（样本中无）</w:t>
            </w:r>
          </w:p>
        </w:tc>
      </w:tr>
      <w:tr w14:paraId="3384E971">
        <w:tblPrEx>
          <w:tblCellMar>
            <w:top w:w="0" w:type="dxa"/>
            <w:left w:w="108" w:type="dxa"/>
            <w:bottom w:w="0" w:type="dxa"/>
            <w:right w:w="108" w:type="dxa"/>
          </w:tblCellMar>
        </w:tblPrEx>
        <w:tc>
          <w:tcPr>
            <w:tcW w:w="1666" w:type="pct"/>
          </w:tcPr>
          <w:p w14:paraId="0988A9B1">
            <w:pPr>
              <w:pStyle w:val="26"/>
              <w:spacing w:before="20" w:after="20" w:line="276" w:lineRule="auto"/>
            </w:pPr>
            <w:r>
              <w:rPr>
                <w:rFonts w:ascii="Times New Roman" w:hAnsi="Times New Roman" w:eastAsia="宋体"/>
                <w:sz w:val="20"/>
              </w:rPr>
              <w:t>PATTERN BONUS</w:t>
            </w:r>
          </w:p>
        </w:tc>
        <w:tc>
          <w:tcPr>
            <w:tcW w:w="1666" w:type="pct"/>
          </w:tcPr>
          <w:p w14:paraId="1F507292">
            <w:pPr>
              <w:pStyle w:val="26"/>
              <w:spacing w:before="20" w:after="20" w:line="276" w:lineRule="auto"/>
            </w:pPr>
            <w:r>
              <w:rPr>
                <w:rFonts w:ascii="Times New Roman" w:hAnsi="Times New Roman" w:eastAsia="宋体"/>
                <w:sz w:val="20"/>
              </w:rPr>
              <w:t>三年内两次延长 = 自动5分</w:t>
            </w:r>
          </w:p>
        </w:tc>
        <w:tc>
          <w:tcPr>
            <w:tcW w:w="1666" w:type="pct"/>
          </w:tcPr>
          <w:p w14:paraId="6AA2DC5F">
            <w:pPr>
              <w:pStyle w:val="26"/>
              <w:spacing w:before="20" w:after="20" w:line="276" w:lineRule="auto"/>
            </w:pPr>
            <w:r>
              <w:rPr>
                <w:rFonts w:ascii="Times New Roman" w:hAnsi="Times New Roman" w:eastAsia="宋体"/>
                <w:sz w:val="20"/>
              </w:rPr>
              <w:t>META 2022+2024; ORCL 2023+2025</w:t>
            </w:r>
          </w:p>
        </w:tc>
      </w:tr>
      <w:bookmarkEnd w:id="170"/>
    </w:tbl>
    <w:p w14:paraId="7A87B90D">
      <w:pPr>
        <w:pStyle w:val="4"/>
        <w:spacing w:before="320" w:after="160" w:line="360" w:lineRule="auto"/>
      </w:pPr>
      <w:bookmarkStart w:id="171" w:name="_Toc14769"/>
      <w:bookmarkStart w:id="172" w:name="a.2-中心年-10-个观测综合评分验算表"/>
      <w:r>
        <w:rPr>
          <w:rFonts w:ascii="Times New Roman" w:hAnsi="Times New Roman" w:eastAsia="黑体"/>
          <w:b/>
          <w:color w:val="003366"/>
          <w:sz w:val="28"/>
        </w:rPr>
        <w:t xml:space="preserve">A.2 </w:t>
      </w:r>
      <w:r>
        <w:rPr>
          <w:rFonts w:hint="eastAsia" w:ascii="Times New Roman" w:hAnsi="Times New Roman" w:eastAsia="黑体"/>
          <w:b/>
          <w:color w:val="003366"/>
          <w:sz w:val="28"/>
        </w:rPr>
        <w:t>中心年</w:t>
      </w:r>
      <w:r>
        <w:rPr>
          <w:rFonts w:ascii="Times New Roman" w:hAnsi="Times New Roman" w:eastAsia="黑体"/>
          <w:b/>
          <w:color w:val="003366"/>
          <w:sz w:val="28"/>
        </w:rPr>
        <w:t xml:space="preserve"> 10 </w:t>
      </w:r>
      <w:r>
        <w:rPr>
          <w:rFonts w:hint="eastAsia" w:ascii="Times New Roman" w:hAnsi="Times New Roman" w:eastAsia="黑体"/>
          <w:b/>
          <w:color w:val="003366"/>
          <w:sz w:val="28"/>
        </w:rPr>
        <w:t>个观测综合评分验算表</w:t>
      </w:r>
      <w:bookmarkEnd w:id="171"/>
    </w:p>
    <w:p w14:paraId="596C68C5">
      <w:pPr>
        <w:pStyle w:val="25"/>
        <w:spacing w:before="40" w:after="40" w:line="360" w:lineRule="auto"/>
        <w:ind w:firstLine="480"/>
      </w:pPr>
      <w:r>
        <w:rPr>
          <w:rFonts w:hint="eastAsia" w:ascii="Times New Roman" w:hAnsi="Times New Roman" w:eastAsia="宋体"/>
          <w:sz w:val="24"/>
        </w:rPr>
        <w:t>权重：D1=0.25，D2=0.20，D3=0.20，D4=0.20，D5=0.15</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BDA86B5">
        <w:tblPrEx>
          <w:tblCellMar>
            <w:top w:w="0" w:type="dxa"/>
            <w:left w:w="108" w:type="dxa"/>
            <w:bottom w:w="0" w:type="dxa"/>
            <w:right w:w="108" w:type="dxa"/>
          </w:tblCellMar>
        </w:tblPrEx>
        <w:trPr>
          <w:cantSplit/>
          <w:tblHeader/>
        </w:trPr>
        <w:tc>
          <w:p w14:paraId="3D315E8A">
            <w:pPr>
              <w:pStyle w:val="26"/>
              <w:spacing w:before="20" w:after="20" w:line="276" w:lineRule="auto"/>
            </w:pPr>
            <w:r>
              <w:rPr>
                <w:rFonts w:hint="eastAsia" w:ascii="Times New Roman" w:hAnsi="Times New Roman" w:eastAsia="宋体"/>
                <w:b/>
                <w:bCs/>
                <w:sz w:val="20"/>
              </w:rPr>
              <w:t>观测</w:t>
            </w:r>
          </w:p>
        </w:tc>
        <w:tc>
          <w:p w14:paraId="319FC52D">
            <w:pPr>
              <w:pStyle w:val="26"/>
              <w:spacing w:before="20" w:after="20" w:line="276" w:lineRule="auto"/>
            </w:pPr>
            <w:r>
              <w:rPr>
                <w:rFonts w:hint="eastAsia" w:ascii="Times New Roman" w:hAnsi="Times New Roman" w:eastAsia="宋体"/>
                <w:b/>
                <w:bCs/>
                <w:sz w:val="20"/>
              </w:rPr>
              <w:t>验算式</w:t>
            </w:r>
          </w:p>
        </w:tc>
        <w:tc>
          <w:p w14:paraId="551BE77C">
            <w:pPr>
              <w:pStyle w:val="26"/>
              <w:spacing w:before="20" w:after="20" w:line="276" w:lineRule="auto"/>
            </w:pPr>
            <w:r>
              <w:rPr>
                <w:rFonts w:hint="eastAsia" w:ascii="Times New Roman" w:hAnsi="Times New Roman" w:eastAsia="宋体"/>
                <w:b/>
                <w:bCs/>
                <w:sz w:val="20"/>
              </w:rPr>
              <w:t>综合评分</w:t>
            </w:r>
          </w:p>
        </w:tc>
      </w:tr>
      <w:tr w14:paraId="66AD3C73">
        <w:tblPrEx>
          <w:tblCellMar>
            <w:top w:w="0" w:type="dxa"/>
            <w:left w:w="108" w:type="dxa"/>
            <w:bottom w:w="0" w:type="dxa"/>
            <w:right w:w="108" w:type="dxa"/>
          </w:tblCellMar>
        </w:tblPrEx>
        <w:trPr>
          <w:cantSplit/>
        </w:trPr>
        <w:tc>
          <w:p w14:paraId="2B6E29C0">
            <w:pPr>
              <w:pStyle w:val="26"/>
              <w:spacing w:before="20" w:after="20" w:line="276" w:lineRule="auto"/>
            </w:pPr>
            <w:r>
              <w:rPr>
                <w:rFonts w:ascii="Times New Roman" w:hAnsi="Times New Roman" w:eastAsia="宋体"/>
                <w:sz w:val="20"/>
              </w:rPr>
              <w:t>INTC FY2023</w:t>
            </w:r>
          </w:p>
        </w:tc>
        <w:tc>
          <w:p w14:paraId="01BEB494">
            <w:pPr>
              <w:pStyle w:val="26"/>
              <w:spacing w:before="20" w:after="20" w:line="276" w:lineRule="auto"/>
            </w:pPr>
            <w:r>
              <w:rPr>
                <w:rFonts w:ascii="Times New Roman" w:hAnsi="Times New Roman" w:eastAsia="宋体"/>
                <w:sz w:val="20"/>
              </w:rPr>
              <w:t>4×0.25+5×0.20+4×0.20+5×0.20+5×0.15=1.00+1.00+0.80+1.00+0.75</w:t>
            </w:r>
          </w:p>
        </w:tc>
        <w:tc>
          <w:p w14:paraId="6D4F49E2">
            <w:pPr>
              <w:pStyle w:val="26"/>
              <w:spacing w:before="20" w:after="20" w:line="276" w:lineRule="auto"/>
            </w:pPr>
            <w:r>
              <w:rPr>
                <w:rFonts w:ascii="Times New Roman" w:hAnsi="Times New Roman" w:eastAsia="宋体"/>
                <w:sz w:val="20"/>
              </w:rPr>
              <w:t>4.55</w:t>
            </w:r>
          </w:p>
        </w:tc>
      </w:tr>
      <w:tr w14:paraId="7BDC2E68">
        <w:tblPrEx>
          <w:tblCellMar>
            <w:top w:w="0" w:type="dxa"/>
            <w:left w:w="108" w:type="dxa"/>
            <w:bottom w:w="0" w:type="dxa"/>
            <w:right w:w="108" w:type="dxa"/>
          </w:tblCellMar>
        </w:tblPrEx>
        <w:trPr>
          <w:cantSplit/>
        </w:trPr>
        <w:tc>
          <w:p w14:paraId="6AE02FCA">
            <w:pPr>
              <w:pStyle w:val="26"/>
              <w:spacing w:before="20" w:after="20" w:line="276" w:lineRule="auto"/>
            </w:pPr>
            <w:r>
              <w:rPr>
                <w:rFonts w:ascii="Times New Roman" w:hAnsi="Times New Roman" w:eastAsia="宋体"/>
                <w:sz w:val="20"/>
              </w:rPr>
              <w:t>GOOGL 2023</w:t>
            </w:r>
          </w:p>
        </w:tc>
        <w:tc>
          <w:p w14:paraId="19D5E4A1">
            <w:pPr>
              <w:pStyle w:val="26"/>
              <w:spacing w:before="20" w:after="20" w:line="276" w:lineRule="auto"/>
            </w:pPr>
            <w:r>
              <w:rPr>
                <w:rFonts w:ascii="Times New Roman" w:hAnsi="Times New Roman" w:eastAsia="宋体"/>
                <w:sz w:val="20"/>
              </w:rPr>
              <w:t>5×0.25+5×0.20+4×0.20+3×0.20+4×0.15=1.25+1.00+0.80+0.60+0.60</w:t>
            </w:r>
          </w:p>
        </w:tc>
        <w:tc>
          <w:p w14:paraId="43F92F3C">
            <w:pPr>
              <w:pStyle w:val="26"/>
              <w:spacing w:before="20" w:after="20" w:line="276" w:lineRule="auto"/>
            </w:pPr>
            <w:r>
              <w:rPr>
                <w:rFonts w:ascii="Times New Roman" w:hAnsi="Times New Roman" w:eastAsia="宋体"/>
                <w:sz w:val="20"/>
              </w:rPr>
              <w:t>4.25</w:t>
            </w:r>
          </w:p>
        </w:tc>
      </w:tr>
      <w:tr w14:paraId="3EC71AD2">
        <w:tblPrEx>
          <w:tblCellMar>
            <w:top w:w="0" w:type="dxa"/>
            <w:left w:w="108" w:type="dxa"/>
            <w:bottom w:w="0" w:type="dxa"/>
            <w:right w:w="108" w:type="dxa"/>
          </w:tblCellMar>
        </w:tblPrEx>
        <w:trPr>
          <w:cantSplit/>
        </w:trPr>
        <w:tc>
          <w:p w14:paraId="7790C745">
            <w:pPr>
              <w:pStyle w:val="26"/>
              <w:spacing w:before="20" w:after="20" w:line="276" w:lineRule="auto"/>
            </w:pPr>
            <w:r>
              <w:rPr>
                <w:rFonts w:ascii="Times New Roman" w:hAnsi="Times New Roman" w:eastAsia="宋体"/>
                <w:sz w:val="20"/>
              </w:rPr>
              <w:t>MSFT FY2024</w:t>
            </w:r>
          </w:p>
        </w:tc>
        <w:tc>
          <w:p w14:paraId="34C8FEA7">
            <w:pPr>
              <w:pStyle w:val="26"/>
              <w:spacing w:before="20" w:after="20" w:line="276" w:lineRule="auto"/>
            </w:pPr>
            <w:r>
              <w:rPr>
                <w:rFonts w:ascii="Times New Roman" w:hAnsi="Times New Roman" w:eastAsia="宋体"/>
                <w:sz w:val="20"/>
              </w:rPr>
              <w:t>5×0.25+4×0.20+3×0.20+4×0.20+5×0.15=1.25+0.80+0.60+0.80+0.75</w:t>
            </w:r>
          </w:p>
        </w:tc>
        <w:tc>
          <w:p w14:paraId="51CAFEB8">
            <w:pPr>
              <w:pStyle w:val="26"/>
              <w:spacing w:before="20" w:after="20" w:line="276" w:lineRule="auto"/>
            </w:pPr>
            <w:r>
              <w:rPr>
                <w:rFonts w:ascii="Times New Roman" w:hAnsi="Times New Roman" w:eastAsia="宋体"/>
                <w:sz w:val="20"/>
              </w:rPr>
              <w:t>4.20</w:t>
            </w:r>
          </w:p>
        </w:tc>
      </w:tr>
      <w:tr w14:paraId="20A7CF7A">
        <w:tblPrEx>
          <w:tblCellMar>
            <w:top w:w="0" w:type="dxa"/>
            <w:left w:w="108" w:type="dxa"/>
            <w:bottom w:w="0" w:type="dxa"/>
            <w:right w:w="108" w:type="dxa"/>
          </w:tblCellMar>
        </w:tblPrEx>
        <w:trPr>
          <w:cantSplit/>
        </w:trPr>
        <w:tc>
          <w:p w14:paraId="2619B1E4">
            <w:pPr>
              <w:pStyle w:val="26"/>
              <w:spacing w:before="20" w:after="20" w:line="276" w:lineRule="auto"/>
            </w:pPr>
            <w:r>
              <w:rPr>
                <w:rFonts w:ascii="Times New Roman" w:hAnsi="Times New Roman" w:eastAsia="宋体"/>
                <w:sz w:val="20"/>
              </w:rPr>
              <w:t>MU FY2023</w:t>
            </w:r>
          </w:p>
        </w:tc>
        <w:tc>
          <w:p w14:paraId="16A56F25">
            <w:pPr>
              <w:pStyle w:val="26"/>
              <w:spacing w:before="20" w:after="20" w:line="276" w:lineRule="auto"/>
            </w:pPr>
            <w:r>
              <w:rPr>
                <w:rFonts w:ascii="Times New Roman" w:hAnsi="Times New Roman" w:eastAsia="宋体"/>
                <w:sz w:val="20"/>
              </w:rPr>
              <w:t>4×0.25+3×0.20+5×0.20+5×0.20+4×0.15=1.00+0.60+1.00+1.00+0.60</w:t>
            </w:r>
          </w:p>
        </w:tc>
        <w:tc>
          <w:p w14:paraId="48B00CB3">
            <w:pPr>
              <w:pStyle w:val="26"/>
              <w:spacing w:before="20" w:after="20" w:line="276" w:lineRule="auto"/>
            </w:pPr>
            <w:r>
              <w:rPr>
                <w:rFonts w:ascii="Times New Roman" w:hAnsi="Times New Roman" w:eastAsia="宋体"/>
                <w:sz w:val="20"/>
              </w:rPr>
              <w:t>4.20</w:t>
            </w:r>
          </w:p>
        </w:tc>
      </w:tr>
      <w:tr w14:paraId="4D26BEA8">
        <w:tblPrEx>
          <w:tblCellMar>
            <w:top w:w="0" w:type="dxa"/>
            <w:left w:w="108" w:type="dxa"/>
            <w:bottom w:w="0" w:type="dxa"/>
            <w:right w:w="108" w:type="dxa"/>
          </w:tblCellMar>
        </w:tblPrEx>
        <w:trPr>
          <w:cantSplit/>
        </w:trPr>
        <w:tc>
          <w:p w14:paraId="13887856">
            <w:pPr>
              <w:pStyle w:val="26"/>
              <w:spacing w:before="20" w:after="20" w:line="276" w:lineRule="auto"/>
            </w:pPr>
            <w:r>
              <w:rPr>
                <w:rFonts w:ascii="Times New Roman" w:hAnsi="Times New Roman" w:eastAsia="宋体"/>
                <w:sz w:val="20"/>
              </w:rPr>
              <w:t>META 2023</w:t>
            </w:r>
          </w:p>
        </w:tc>
        <w:tc>
          <w:p w14:paraId="61E2D4BE">
            <w:pPr>
              <w:pStyle w:val="26"/>
              <w:spacing w:before="20" w:after="20" w:line="276" w:lineRule="auto"/>
            </w:pPr>
            <w:r>
              <w:rPr>
                <w:rFonts w:ascii="Times New Roman" w:hAnsi="Times New Roman" w:eastAsia="宋体"/>
                <w:sz w:val="20"/>
              </w:rPr>
              <w:t>4×0.25+4×0.20+4×0.20+4×0.20+4×0.15=1.00+0.80+0.80+0.80+0.60</w:t>
            </w:r>
          </w:p>
        </w:tc>
        <w:tc>
          <w:p w14:paraId="0A8BF5D5">
            <w:pPr>
              <w:pStyle w:val="26"/>
              <w:spacing w:before="20" w:after="20" w:line="276" w:lineRule="auto"/>
            </w:pPr>
            <w:r>
              <w:rPr>
                <w:rFonts w:ascii="Times New Roman" w:hAnsi="Times New Roman" w:eastAsia="宋体"/>
                <w:sz w:val="20"/>
              </w:rPr>
              <w:t>4.00</w:t>
            </w:r>
          </w:p>
        </w:tc>
      </w:tr>
      <w:tr w14:paraId="3291BBDB">
        <w:tblPrEx>
          <w:tblCellMar>
            <w:top w:w="0" w:type="dxa"/>
            <w:left w:w="108" w:type="dxa"/>
            <w:bottom w:w="0" w:type="dxa"/>
            <w:right w:w="108" w:type="dxa"/>
          </w:tblCellMar>
        </w:tblPrEx>
        <w:trPr>
          <w:cantSplit/>
        </w:trPr>
        <w:tc>
          <w:p w14:paraId="423373A1">
            <w:pPr>
              <w:pStyle w:val="26"/>
              <w:spacing w:before="20" w:after="20" w:line="276" w:lineRule="auto"/>
            </w:pPr>
            <w:r>
              <w:rPr>
                <w:rFonts w:ascii="Times New Roman" w:hAnsi="Times New Roman" w:eastAsia="宋体"/>
                <w:sz w:val="20"/>
              </w:rPr>
              <w:t>ORCL FY2024</w:t>
            </w:r>
          </w:p>
        </w:tc>
        <w:tc>
          <w:p w14:paraId="769A3803">
            <w:pPr>
              <w:pStyle w:val="26"/>
              <w:spacing w:before="20" w:after="20" w:line="276" w:lineRule="auto"/>
            </w:pPr>
            <w:r>
              <w:rPr>
                <w:rFonts w:ascii="Times New Roman" w:hAnsi="Times New Roman" w:eastAsia="宋体"/>
                <w:sz w:val="20"/>
              </w:rPr>
              <w:t>4×0.25+4×0.20+3×0.20+3×0.20+4×0.15=1.00+0.80+0.60+0.60+0.60</w:t>
            </w:r>
          </w:p>
        </w:tc>
        <w:tc>
          <w:p w14:paraId="636F9E7C">
            <w:pPr>
              <w:pStyle w:val="26"/>
              <w:spacing w:before="20" w:after="20" w:line="276" w:lineRule="auto"/>
            </w:pPr>
            <w:r>
              <w:rPr>
                <w:rFonts w:ascii="Times New Roman" w:hAnsi="Times New Roman" w:eastAsia="宋体"/>
                <w:sz w:val="20"/>
              </w:rPr>
              <w:t>3.60</w:t>
            </w:r>
          </w:p>
        </w:tc>
      </w:tr>
      <w:tr w14:paraId="0104DF4C">
        <w:tblPrEx>
          <w:tblCellMar>
            <w:top w:w="0" w:type="dxa"/>
            <w:left w:w="108" w:type="dxa"/>
            <w:bottom w:w="0" w:type="dxa"/>
            <w:right w:w="108" w:type="dxa"/>
          </w:tblCellMar>
        </w:tblPrEx>
        <w:trPr>
          <w:cantSplit/>
        </w:trPr>
        <w:tc>
          <w:p w14:paraId="0BE79166">
            <w:pPr>
              <w:pStyle w:val="26"/>
              <w:spacing w:before="20" w:after="20" w:line="276" w:lineRule="auto"/>
            </w:pPr>
            <w:r>
              <w:rPr>
                <w:rFonts w:ascii="Times New Roman" w:hAnsi="Times New Roman" w:eastAsia="宋体"/>
                <w:sz w:val="20"/>
              </w:rPr>
              <w:t>TSLA 2023</w:t>
            </w:r>
          </w:p>
        </w:tc>
        <w:tc>
          <w:p w14:paraId="787083C5">
            <w:pPr>
              <w:pStyle w:val="26"/>
              <w:spacing w:before="20" w:after="20" w:line="276" w:lineRule="auto"/>
            </w:pPr>
            <w:r>
              <w:rPr>
                <w:rFonts w:ascii="Times New Roman" w:hAnsi="Times New Roman" w:eastAsia="宋体"/>
                <w:sz w:val="20"/>
              </w:rPr>
              <w:t>4×0.25+3×0.20+2×0.20+3×0.20+4×0.15=1.00+0.60+0.40+0.60+0.60</w:t>
            </w:r>
          </w:p>
        </w:tc>
        <w:tc>
          <w:p w14:paraId="59114537">
            <w:pPr>
              <w:pStyle w:val="26"/>
              <w:spacing w:before="20" w:after="20" w:line="276" w:lineRule="auto"/>
            </w:pPr>
            <w:r>
              <w:rPr>
                <w:rFonts w:ascii="Times New Roman" w:hAnsi="Times New Roman" w:eastAsia="宋体"/>
                <w:sz w:val="20"/>
              </w:rPr>
              <w:t>3.20</w:t>
            </w:r>
          </w:p>
        </w:tc>
      </w:tr>
      <w:tr w14:paraId="2A6CA10B">
        <w:tblPrEx>
          <w:tblCellMar>
            <w:top w:w="0" w:type="dxa"/>
            <w:left w:w="108" w:type="dxa"/>
            <w:bottom w:w="0" w:type="dxa"/>
            <w:right w:w="108" w:type="dxa"/>
          </w:tblCellMar>
        </w:tblPrEx>
        <w:trPr>
          <w:cantSplit/>
        </w:trPr>
        <w:tc>
          <w:p w14:paraId="26F8A3DF">
            <w:pPr>
              <w:pStyle w:val="26"/>
              <w:spacing w:before="20" w:after="20" w:line="276" w:lineRule="auto"/>
            </w:pPr>
            <w:r>
              <w:rPr>
                <w:rFonts w:ascii="Times New Roman" w:hAnsi="Times New Roman" w:eastAsia="宋体"/>
                <w:sz w:val="20"/>
              </w:rPr>
              <w:t>NVDA FY2024</w:t>
            </w:r>
          </w:p>
        </w:tc>
        <w:tc>
          <w:p w14:paraId="76B8DFBB">
            <w:pPr>
              <w:pStyle w:val="26"/>
              <w:spacing w:before="20" w:after="20" w:line="276" w:lineRule="auto"/>
            </w:pPr>
            <w:r>
              <w:rPr>
                <w:rFonts w:ascii="Times New Roman" w:hAnsi="Times New Roman" w:eastAsia="宋体"/>
                <w:sz w:val="20"/>
              </w:rPr>
              <w:t>4×0.25+5×0.20+3×0.20+1×0.20+2×0.15=1.00+1.00+0.60+0.20+0.30</w:t>
            </w:r>
          </w:p>
        </w:tc>
        <w:tc>
          <w:p w14:paraId="57185B66">
            <w:pPr>
              <w:pStyle w:val="26"/>
              <w:spacing w:before="20" w:after="20" w:line="276" w:lineRule="auto"/>
            </w:pPr>
            <w:r>
              <w:rPr>
                <w:rFonts w:ascii="Times New Roman" w:hAnsi="Times New Roman" w:eastAsia="宋体"/>
                <w:sz w:val="20"/>
              </w:rPr>
              <w:t>3.10</w:t>
            </w:r>
          </w:p>
        </w:tc>
      </w:tr>
      <w:tr w14:paraId="5DBE7F1A">
        <w:tblPrEx>
          <w:tblCellMar>
            <w:top w:w="0" w:type="dxa"/>
            <w:left w:w="108" w:type="dxa"/>
            <w:bottom w:w="0" w:type="dxa"/>
            <w:right w:w="108" w:type="dxa"/>
          </w:tblCellMar>
        </w:tblPrEx>
        <w:trPr>
          <w:cantSplit/>
        </w:trPr>
        <w:tc>
          <w:p w14:paraId="44530E29">
            <w:pPr>
              <w:pStyle w:val="26"/>
              <w:spacing w:before="20" w:after="20" w:line="276" w:lineRule="auto"/>
            </w:pPr>
            <w:r>
              <w:rPr>
                <w:rFonts w:ascii="Times New Roman" w:hAnsi="Times New Roman" w:eastAsia="宋体"/>
                <w:sz w:val="20"/>
              </w:rPr>
              <w:t>AMD FY2023</w:t>
            </w:r>
          </w:p>
        </w:tc>
        <w:tc>
          <w:p w14:paraId="3677FA49">
            <w:pPr>
              <w:pStyle w:val="26"/>
              <w:spacing w:before="20" w:after="20" w:line="276" w:lineRule="auto"/>
            </w:pPr>
            <w:r>
              <w:rPr>
                <w:rFonts w:ascii="Times New Roman" w:hAnsi="Times New Roman" w:eastAsia="宋体"/>
                <w:sz w:val="20"/>
              </w:rPr>
              <w:t>3×0.25+2×0.20+3×0.20+1×0.20+3×0.15=0.75+0.40+0.60+0.20+0.45</w:t>
            </w:r>
          </w:p>
        </w:tc>
        <w:tc>
          <w:p w14:paraId="708984DF">
            <w:pPr>
              <w:pStyle w:val="26"/>
              <w:spacing w:before="20" w:after="20" w:line="276" w:lineRule="auto"/>
            </w:pPr>
            <w:r>
              <w:rPr>
                <w:rFonts w:ascii="Times New Roman" w:hAnsi="Times New Roman" w:eastAsia="宋体"/>
                <w:sz w:val="20"/>
              </w:rPr>
              <w:t>2.40</w:t>
            </w:r>
          </w:p>
        </w:tc>
      </w:tr>
      <w:tr w14:paraId="2EE151FB">
        <w:tblPrEx>
          <w:tblCellMar>
            <w:top w:w="0" w:type="dxa"/>
            <w:left w:w="108" w:type="dxa"/>
            <w:bottom w:w="0" w:type="dxa"/>
            <w:right w:w="108" w:type="dxa"/>
          </w:tblCellMar>
        </w:tblPrEx>
        <w:trPr>
          <w:cantSplit/>
        </w:trPr>
        <w:tc>
          <w:p w14:paraId="4875C1E2">
            <w:pPr>
              <w:pStyle w:val="26"/>
              <w:spacing w:before="20" w:after="20" w:line="276" w:lineRule="auto"/>
            </w:pPr>
            <w:r>
              <w:rPr>
                <w:rFonts w:ascii="Times New Roman" w:hAnsi="Times New Roman" w:eastAsia="宋体"/>
                <w:sz w:val="20"/>
              </w:rPr>
              <w:t>CRM FY2024</w:t>
            </w:r>
          </w:p>
        </w:tc>
        <w:tc>
          <w:p w14:paraId="4AC79D1E">
            <w:pPr>
              <w:pStyle w:val="26"/>
              <w:spacing w:before="20" w:after="20" w:line="276" w:lineRule="auto"/>
            </w:pPr>
            <w:r>
              <w:rPr>
                <w:rFonts w:ascii="Times New Roman" w:hAnsi="Times New Roman" w:eastAsia="宋体"/>
                <w:sz w:val="20"/>
              </w:rPr>
              <w:t>3×0.25+3×0.20+2×0.20+1×0.20+1×0.15=0.75+0.60+0.40+0.20+0.15</w:t>
            </w:r>
          </w:p>
        </w:tc>
        <w:tc>
          <w:p w14:paraId="036A64DB">
            <w:pPr>
              <w:pStyle w:val="26"/>
              <w:spacing w:before="20" w:after="20" w:line="276" w:lineRule="auto"/>
            </w:pPr>
            <w:r>
              <w:rPr>
                <w:rFonts w:ascii="Times New Roman" w:hAnsi="Times New Roman" w:eastAsia="宋体"/>
                <w:sz w:val="20"/>
              </w:rPr>
              <w:t>2.10</w:t>
            </w:r>
          </w:p>
        </w:tc>
      </w:tr>
      <w:bookmarkEnd w:id="172"/>
    </w:tbl>
    <w:p w14:paraId="551DF769">
      <w:pPr>
        <w:pStyle w:val="4"/>
        <w:spacing w:before="320" w:after="160" w:line="360" w:lineRule="auto"/>
      </w:pPr>
      <w:bookmarkStart w:id="173" w:name="_Toc14329"/>
      <w:bookmarkStart w:id="174" w:name="a.3-扩样-20-个观测综合评分验算表扩样新增"/>
      <w:r>
        <w:rPr>
          <w:rFonts w:ascii="Times New Roman" w:hAnsi="Times New Roman" w:eastAsia="黑体"/>
          <w:b/>
          <w:color w:val="003366"/>
          <w:sz w:val="28"/>
        </w:rPr>
        <w:t xml:space="preserve">A.3 </w:t>
      </w:r>
      <w:r>
        <w:rPr>
          <w:rFonts w:hint="eastAsia" w:ascii="Times New Roman" w:hAnsi="Times New Roman" w:eastAsia="黑体"/>
          <w:b/>
          <w:color w:val="003366"/>
          <w:sz w:val="28"/>
        </w:rPr>
        <w:t>扩样</w:t>
      </w:r>
      <w:r>
        <w:rPr>
          <w:rFonts w:ascii="Times New Roman" w:hAnsi="Times New Roman" w:eastAsia="黑体"/>
          <w:b/>
          <w:color w:val="003366"/>
          <w:sz w:val="28"/>
        </w:rPr>
        <w:t xml:space="preserve"> 20 </w:t>
      </w:r>
      <w:r>
        <w:rPr>
          <w:rFonts w:hint="eastAsia" w:ascii="Times New Roman" w:hAnsi="Times New Roman" w:eastAsia="黑体"/>
          <w:b/>
          <w:color w:val="003366"/>
          <w:sz w:val="28"/>
        </w:rPr>
        <w:t>个观测综合评分验算表（扩样新增）</w:t>
      </w:r>
      <w:bookmarkEnd w:id="173"/>
    </w:p>
    <w:p w14:paraId="1906F745">
      <w:pPr>
        <w:pStyle w:val="25"/>
        <w:spacing w:before="40" w:after="40" w:line="360" w:lineRule="auto"/>
        <w:ind w:firstLine="480"/>
      </w:pPr>
      <w:r>
        <w:rPr>
          <w:rFonts w:hint="eastAsia" w:ascii="Times New Roman" w:hAnsi="Times New Roman" w:eastAsia="宋体"/>
          <w:sz w:val="24"/>
        </w:rPr>
        <w:t>维度分逐行取自各公司-年份标注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w:t>
      </w:r>
      <w:r>
        <w:rPr>
          <w:rFonts w:hint="eastAsia" w:ascii="Times New Roman" w:hAnsi="Times New Roman" w:eastAsia="宋体"/>
          <w:sz w:val="24"/>
        </w:rPr>
        <w:t>dimension_scores，权重同上；验算到小数点后两位，与标注库</w:t>
      </w:r>
      <w:r>
        <w:rPr>
          <w:rFonts w:ascii="Times New Roman" w:hAnsi="Times New Roman" w:eastAsia="宋体"/>
          <w:sz w:val="24"/>
        </w:rPr>
        <w:t xml:space="preserve"> composite_score </w:t>
      </w:r>
      <w:r>
        <w:rPr>
          <w:rFonts w:hint="eastAsia" w:ascii="Times New Roman" w:hAnsi="Times New Roman" w:eastAsia="宋体"/>
          <w:sz w:val="24"/>
        </w:rPr>
        <w:t>及训练集</w:t>
      </w:r>
      <w:r>
        <w:rPr>
          <w:rFonts w:ascii="Times New Roman" w:hAnsi="Times New Roman" w:eastAsia="宋体"/>
          <w:sz w:val="24"/>
        </w:rPr>
        <w:t xml:space="preserve"> v06 </w:t>
      </w:r>
      <w:r>
        <w:rPr>
          <w:rFonts w:hint="eastAsia" w:ascii="Times New Roman" w:hAnsi="Times New Roman" w:eastAsia="宋体"/>
          <w:sz w:val="24"/>
        </w:rPr>
        <w:t>逐行核对。</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421DA3FC">
        <w:tblPrEx>
          <w:tblCellMar>
            <w:top w:w="0" w:type="dxa"/>
            <w:left w:w="108" w:type="dxa"/>
            <w:bottom w:w="0" w:type="dxa"/>
            <w:right w:w="108" w:type="dxa"/>
          </w:tblCellMar>
        </w:tblPrEx>
        <w:trPr>
          <w:cantSplit/>
          <w:tblHeader/>
        </w:trPr>
        <w:tc>
          <w:p w14:paraId="01106717">
            <w:pPr>
              <w:pStyle w:val="26"/>
              <w:spacing w:before="20" w:after="20" w:line="276" w:lineRule="auto"/>
            </w:pPr>
            <w:r>
              <w:rPr>
                <w:rFonts w:hint="eastAsia" w:ascii="Times New Roman" w:hAnsi="Times New Roman" w:eastAsia="宋体"/>
                <w:b/>
                <w:bCs/>
                <w:sz w:val="20"/>
              </w:rPr>
              <w:t>观测</w:t>
            </w:r>
          </w:p>
        </w:tc>
        <w:tc>
          <w:p w14:paraId="15F267C4">
            <w:pPr>
              <w:pStyle w:val="26"/>
              <w:spacing w:before="20" w:after="20" w:line="276" w:lineRule="auto"/>
            </w:pPr>
            <w:r>
              <w:rPr>
                <w:rFonts w:hint="eastAsia" w:ascii="Times New Roman" w:hAnsi="Times New Roman" w:eastAsia="宋体"/>
                <w:b/>
                <w:bCs/>
                <w:sz w:val="20"/>
              </w:rPr>
              <w:t>维度分（D1/D2/D3/D4/D5）</w:t>
            </w:r>
          </w:p>
        </w:tc>
        <w:tc>
          <w:p w14:paraId="114BED97">
            <w:pPr>
              <w:pStyle w:val="26"/>
              <w:spacing w:before="20" w:after="20" w:line="276" w:lineRule="auto"/>
            </w:pPr>
            <w:r>
              <w:rPr>
                <w:rFonts w:hint="eastAsia" w:ascii="Times New Roman" w:hAnsi="Times New Roman" w:eastAsia="宋体"/>
                <w:b/>
                <w:bCs/>
                <w:sz w:val="20"/>
              </w:rPr>
              <w:t>验算式（加权和）</w:t>
            </w:r>
          </w:p>
        </w:tc>
        <w:tc>
          <w:p w14:paraId="079CF332">
            <w:pPr>
              <w:pStyle w:val="26"/>
              <w:spacing w:before="20" w:after="20" w:line="276" w:lineRule="auto"/>
            </w:pPr>
            <w:r>
              <w:rPr>
                <w:rFonts w:hint="eastAsia" w:ascii="Times New Roman" w:hAnsi="Times New Roman" w:eastAsia="宋体"/>
                <w:b/>
                <w:bCs/>
                <w:sz w:val="20"/>
              </w:rPr>
              <w:t>综合评分</w:t>
            </w:r>
          </w:p>
        </w:tc>
      </w:tr>
      <w:tr w14:paraId="63A2D831">
        <w:tblPrEx>
          <w:tblCellMar>
            <w:top w:w="0" w:type="dxa"/>
            <w:left w:w="108" w:type="dxa"/>
            <w:bottom w:w="0" w:type="dxa"/>
            <w:right w:w="108" w:type="dxa"/>
          </w:tblCellMar>
        </w:tblPrEx>
        <w:trPr>
          <w:cantSplit/>
        </w:trPr>
        <w:tc>
          <w:p w14:paraId="65B164B3">
            <w:pPr>
              <w:pStyle w:val="26"/>
              <w:spacing w:before="20" w:after="20" w:line="276" w:lineRule="auto"/>
            </w:pPr>
            <w:r>
              <w:rPr>
                <w:rFonts w:ascii="Times New Roman" w:hAnsi="Times New Roman" w:eastAsia="宋体"/>
                <w:sz w:val="20"/>
              </w:rPr>
              <w:t>META 2022</w:t>
            </w:r>
          </w:p>
        </w:tc>
        <w:tc>
          <w:p w14:paraId="48AF5A7D">
            <w:pPr>
              <w:pStyle w:val="26"/>
              <w:spacing w:before="20" w:after="20" w:line="276" w:lineRule="auto"/>
            </w:pPr>
            <w:r>
              <w:rPr>
                <w:rFonts w:ascii="Times New Roman" w:hAnsi="Times New Roman" w:eastAsia="宋体"/>
                <w:sz w:val="20"/>
              </w:rPr>
              <w:t>4/5/5/5/4</w:t>
            </w:r>
          </w:p>
        </w:tc>
        <w:tc>
          <w:p w14:paraId="55F6633D">
            <w:pPr>
              <w:pStyle w:val="26"/>
              <w:spacing w:before="20" w:after="20" w:line="276" w:lineRule="auto"/>
            </w:pPr>
            <w:r>
              <w:rPr>
                <w:rFonts w:ascii="Times New Roman" w:hAnsi="Times New Roman" w:eastAsia="宋体"/>
                <w:sz w:val="20"/>
              </w:rPr>
              <w:t>1.00+1.00+1.00+1.00+0.60</w:t>
            </w:r>
          </w:p>
        </w:tc>
        <w:tc>
          <w:p w14:paraId="06E9BD4E">
            <w:pPr>
              <w:pStyle w:val="26"/>
              <w:spacing w:before="20" w:after="20" w:line="276" w:lineRule="auto"/>
            </w:pPr>
            <w:r>
              <w:rPr>
                <w:rFonts w:ascii="Times New Roman" w:hAnsi="Times New Roman" w:eastAsia="宋体"/>
                <w:sz w:val="20"/>
              </w:rPr>
              <w:t>4.60</w:t>
            </w:r>
          </w:p>
        </w:tc>
      </w:tr>
      <w:tr w14:paraId="006524AE">
        <w:tblPrEx>
          <w:tblCellMar>
            <w:top w:w="0" w:type="dxa"/>
            <w:left w:w="108" w:type="dxa"/>
            <w:bottom w:w="0" w:type="dxa"/>
            <w:right w:w="108" w:type="dxa"/>
          </w:tblCellMar>
        </w:tblPrEx>
        <w:trPr>
          <w:cantSplit/>
        </w:trPr>
        <w:tc>
          <w:p w14:paraId="41A920A8">
            <w:pPr>
              <w:pStyle w:val="26"/>
              <w:spacing w:before="20" w:after="20" w:line="276" w:lineRule="auto"/>
            </w:pPr>
            <w:r>
              <w:rPr>
                <w:rFonts w:ascii="Times New Roman" w:hAnsi="Times New Roman" w:eastAsia="宋体"/>
                <w:sz w:val="20"/>
              </w:rPr>
              <w:t>META 2024</w:t>
            </w:r>
          </w:p>
        </w:tc>
        <w:tc>
          <w:p w14:paraId="4AA6C36A">
            <w:pPr>
              <w:pStyle w:val="26"/>
              <w:spacing w:before="20" w:after="20" w:line="276" w:lineRule="auto"/>
            </w:pPr>
            <w:r>
              <w:rPr>
                <w:rFonts w:ascii="Times New Roman" w:hAnsi="Times New Roman" w:eastAsia="宋体"/>
                <w:sz w:val="20"/>
              </w:rPr>
              <w:t>5/5/3/5/5</w:t>
            </w:r>
          </w:p>
        </w:tc>
        <w:tc>
          <w:p w14:paraId="0742A5D2">
            <w:pPr>
              <w:pStyle w:val="26"/>
              <w:spacing w:before="20" w:after="20" w:line="276" w:lineRule="auto"/>
            </w:pPr>
            <w:r>
              <w:rPr>
                <w:rFonts w:ascii="Times New Roman" w:hAnsi="Times New Roman" w:eastAsia="宋体"/>
                <w:sz w:val="20"/>
              </w:rPr>
              <w:t>1.25+1.00+0.60+1.00+0.75 =</w:t>
            </w:r>
          </w:p>
        </w:tc>
        <w:tc>
          <w:p w14:paraId="2842A165">
            <w:pPr>
              <w:pStyle w:val="26"/>
              <w:spacing w:before="20" w:after="20" w:line="276" w:lineRule="auto"/>
            </w:pPr>
            <w:r>
              <w:rPr>
                <w:rFonts w:ascii="Times New Roman" w:hAnsi="Times New Roman" w:eastAsia="宋体"/>
                <w:sz w:val="20"/>
              </w:rPr>
              <w:t>4.60</w:t>
            </w:r>
          </w:p>
        </w:tc>
      </w:tr>
      <w:tr w14:paraId="5B833D2A">
        <w:tblPrEx>
          <w:tblCellMar>
            <w:top w:w="0" w:type="dxa"/>
            <w:left w:w="108" w:type="dxa"/>
            <w:bottom w:w="0" w:type="dxa"/>
            <w:right w:w="108" w:type="dxa"/>
          </w:tblCellMar>
        </w:tblPrEx>
        <w:trPr>
          <w:cantSplit/>
        </w:trPr>
        <w:tc>
          <w:p w14:paraId="07EFB93B">
            <w:pPr>
              <w:pStyle w:val="26"/>
              <w:spacing w:before="20" w:after="20" w:line="276" w:lineRule="auto"/>
            </w:pPr>
            <w:r>
              <w:rPr>
                <w:rFonts w:ascii="Times New Roman" w:hAnsi="Times New Roman" w:eastAsia="宋体"/>
                <w:sz w:val="20"/>
              </w:rPr>
              <w:t>MSFT FY2023</w:t>
            </w:r>
          </w:p>
        </w:tc>
        <w:tc>
          <w:p w14:paraId="3A6EEEE1">
            <w:pPr>
              <w:pStyle w:val="26"/>
              <w:spacing w:before="20" w:after="20" w:line="276" w:lineRule="auto"/>
            </w:pPr>
            <w:r>
              <w:rPr>
                <w:rFonts w:ascii="Times New Roman" w:hAnsi="Times New Roman" w:eastAsia="宋体"/>
                <w:sz w:val="20"/>
              </w:rPr>
              <w:t>5/5/4/3/5</w:t>
            </w:r>
          </w:p>
        </w:tc>
        <w:tc>
          <w:p w14:paraId="2F6A8C5A">
            <w:pPr>
              <w:pStyle w:val="26"/>
              <w:spacing w:before="20" w:after="20" w:line="276" w:lineRule="auto"/>
            </w:pPr>
            <w:r>
              <w:rPr>
                <w:rFonts w:ascii="Times New Roman" w:hAnsi="Times New Roman" w:eastAsia="宋体"/>
                <w:sz w:val="20"/>
              </w:rPr>
              <w:t>1.25+1.00+0.80+0.60+0.75</w:t>
            </w:r>
          </w:p>
        </w:tc>
        <w:tc>
          <w:p w14:paraId="66F5DFC6">
            <w:pPr>
              <w:pStyle w:val="26"/>
              <w:spacing w:before="20" w:after="20" w:line="276" w:lineRule="auto"/>
            </w:pPr>
            <w:r>
              <w:rPr>
                <w:rFonts w:ascii="Times New Roman" w:hAnsi="Times New Roman" w:eastAsia="宋体"/>
                <w:sz w:val="20"/>
              </w:rPr>
              <w:t>4.40</w:t>
            </w:r>
          </w:p>
        </w:tc>
      </w:tr>
      <w:tr w14:paraId="34580663">
        <w:tblPrEx>
          <w:tblCellMar>
            <w:top w:w="0" w:type="dxa"/>
            <w:left w:w="108" w:type="dxa"/>
            <w:bottom w:w="0" w:type="dxa"/>
            <w:right w:w="108" w:type="dxa"/>
          </w:tblCellMar>
        </w:tblPrEx>
        <w:trPr>
          <w:cantSplit/>
        </w:trPr>
        <w:tc>
          <w:p w14:paraId="5FEC0E85">
            <w:pPr>
              <w:pStyle w:val="26"/>
              <w:spacing w:before="20" w:after="20" w:line="276" w:lineRule="auto"/>
            </w:pPr>
            <w:r>
              <w:rPr>
                <w:rFonts w:ascii="Times New Roman" w:hAnsi="Times New Roman" w:eastAsia="宋体"/>
                <w:sz w:val="20"/>
              </w:rPr>
              <w:t>MSFT FY2025</w:t>
            </w:r>
          </w:p>
        </w:tc>
        <w:tc>
          <w:p w14:paraId="5897484D">
            <w:pPr>
              <w:pStyle w:val="26"/>
              <w:spacing w:before="20" w:after="20" w:line="276" w:lineRule="auto"/>
            </w:pPr>
            <w:r>
              <w:rPr>
                <w:rFonts w:ascii="Times New Roman" w:hAnsi="Times New Roman" w:eastAsia="宋体"/>
                <w:sz w:val="20"/>
              </w:rPr>
              <w:t>5/4/3/5/5</w:t>
            </w:r>
          </w:p>
        </w:tc>
        <w:tc>
          <w:p w14:paraId="61345F25">
            <w:pPr>
              <w:pStyle w:val="26"/>
              <w:spacing w:before="20" w:after="20" w:line="276" w:lineRule="auto"/>
            </w:pPr>
            <w:r>
              <w:rPr>
                <w:rFonts w:ascii="Times New Roman" w:hAnsi="Times New Roman" w:eastAsia="宋体"/>
                <w:sz w:val="20"/>
              </w:rPr>
              <w:t>1.25+0.80+0.60+1.00+0.75</w:t>
            </w:r>
          </w:p>
        </w:tc>
        <w:tc>
          <w:p w14:paraId="05D06C98">
            <w:pPr>
              <w:pStyle w:val="26"/>
              <w:spacing w:before="20" w:after="20" w:line="276" w:lineRule="auto"/>
            </w:pPr>
            <w:r>
              <w:rPr>
                <w:rFonts w:ascii="Times New Roman" w:hAnsi="Times New Roman" w:eastAsia="宋体"/>
                <w:sz w:val="20"/>
              </w:rPr>
              <w:t>4.40</w:t>
            </w:r>
          </w:p>
        </w:tc>
      </w:tr>
      <w:tr w14:paraId="23C8FD73">
        <w:tblPrEx>
          <w:tblCellMar>
            <w:top w:w="0" w:type="dxa"/>
            <w:left w:w="108" w:type="dxa"/>
            <w:bottom w:w="0" w:type="dxa"/>
            <w:right w:w="108" w:type="dxa"/>
          </w:tblCellMar>
        </w:tblPrEx>
        <w:trPr>
          <w:cantSplit/>
        </w:trPr>
        <w:tc>
          <w:p w14:paraId="1C3C5B8B">
            <w:pPr>
              <w:pStyle w:val="26"/>
              <w:spacing w:before="20" w:after="20" w:line="276" w:lineRule="auto"/>
            </w:pPr>
            <w:r>
              <w:rPr>
                <w:rFonts w:ascii="Times New Roman" w:hAnsi="Times New Roman" w:eastAsia="宋体"/>
                <w:sz w:val="20"/>
              </w:rPr>
              <w:t>GOOGL 2022</w:t>
            </w:r>
          </w:p>
        </w:tc>
        <w:tc>
          <w:p w14:paraId="75E4B31D">
            <w:pPr>
              <w:pStyle w:val="26"/>
              <w:spacing w:before="20" w:after="20" w:line="276" w:lineRule="auto"/>
            </w:pPr>
            <w:r>
              <w:rPr>
                <w:rFonts w:ascii="Times New Roman" w:hAnsi="Times New Roman" w:eastAsia="宋体"/>
                <w:sz w:val="20"/>
              </w:rPr>
              <w:t>5/5/2/4/5</w:t>
            </w:r>
          </w:p>
        </w:tc>
        <w:tc>
          <w:p w14:paraId="25EC4E65">
            <w:pPr>
              <w:pStyle w:val="26"/>
              <w:spacing w:before="20" w:after="20" w:line="276" w:lineRule="auto"/>
            </w:pPr>
            <w:r>
              <w:rPr>
                <w:rFonts w:ascii="Times New Roman" w:hAnsi="Times New Roman" w:eastAsia="宋体"/>
                <w:sz w:val="20"/>
              </w:rPr>
              <w:t>1.25+1.00+0.40+0.80+0.75</w:t>
            </w:r>
          </w:p>
        </w:tc>
        <w:tc>
          <w:p w14:paraId="1BE0FD84">
            <w:pPr>
              <w:pStyle w:val="26"/>
              <w:spacing w:before="20" w:after="20" w:line="276" w:lineRule="auto"/>
            </w:pPr>
            <w:r>
              <w:rPr>
                <w:rFonts w:ascii="Times New Roman" w:hAnsi="Times New Roman" w:eastAsia="宋体"/>
                <w:sz w:val="20"/>
              </w:rPr>
              <w:t>4.20</w:t>
            </w:r>
          </w:p>
        </w:tc>
      </w:tr>
      <w:tr w14:paraId="7C907473">
        <w:tblPrEx>
          <w:tblCellMar>
            <w:top w:w="0" w:type="dxa"/>
            <w:left w:w="108" w:type="dxa"/>
            <w:bottom w:w="0" w:type="dxa"/>
            <w:right w:w="108" w:type="dxa"/>
          </w:tblCellMar>
        </w:tblPrEx>
        <w:trPr>
          <w:cantSplit/>
        </w:trPr>
        <w:tc>
          <w:p w14:paraId="237CDD6C">
            <w:pPr>
              <w:pStyle w:val="26"/>
              <w:spacing w:before="20" w:after="20" w:line="276" w:lineRule="auto"/>
            </w:pPr>
            <w:r>
              <w:rPr>
                <w:rFonts w:ascii="Times New Roman" w:hAnsi="Times New Roman" w:eastAsia="宋体"/>
                <w:sz w:val="20"/>
              </w:rPr>
              <w:t>GOOGL 2024</w:t>
            </w:r>
          </w:p>
        </w:tc>
        <w:tc>
          <w:p w14:paraId="587C180F">
            <w:pPr>
              <w:pStyle w:val="26"/>
              <w:spacing w:before="20" w:after="20" w:line="276" w:lineRule="auto"/>
            </w:pPr>
            <w:r>
              <w:rPr>
                <w:rFonts w:ascii="Times New Roman" w:hAnsi="Times New Roman" w:eastAsia="宋体"/>
                <w:sz w:val="20"/>
              </w:rPr>
              <w:t>5/4/2/5/5</w:t>
            </w:r>
          </w:p>
        </w:tc>
        <w:tc>
          <w:p w14:paraId="0025B325">
            <w:pPr>
              <w:pStyle w:val="26"/>
              <w:spacing w:before="20" w:after="20" w:line="276" w:lineRule="auto"/>
            </w:pPr>
            <w:r>
              <w:rPr>
                <w:rFonts w:ascii="Times New Roman" w:hAnsi="Times New Roman" w:eastAsia="宋体"/>
                <w:sz w:val="20"/>
              </w:rPr>
              <w:t>1.25+0.80+0.40+1.00+0.75</w:t>
            </w:r>
          </w:p>
        </w:tc>
        <w:tc>
          <w:p w14:paraId="54FBFAD1">
            <w:pPr>
              <w:pStyle w:val="26"/>
              <w:spacing w:before="20" w:after="20" w:line="276" w:lineRule="auto"/>
            </w:pPr>
            <w:r>
              <w:rPr>
                <w:rFonts w:ascii="Times New Roman" w:hAnsi="Times New Roman" w:eastAsia="宋体"/>
                <w:sz w:val="20"/>
              </w:rPr>
              <w:t>4.20</w:t>
            </w:r>
          </w:p>
        </w:tc>
      </w:tr>
      <w:tr w14:paraId="18D2CE95">
        <w:tblPrEx>
          <w:tblCellMar>
            <w:top w:w="0" w:type="dxa"/>
            <w:left w:w="108" w:type="dxa"/>
            <w:bottom w:w="0" w:type="dxa"/>
            <w:right w:w="108" w:type="dxa"/>
          </w:tblCellMar>
        </w:tblPrEx>
        <w:trPr>
          <w:cantSplit/>
        </w:trPr>
        <w:tc>
          <w:p w14:paraId="31048DC2">
            <w:pPr>
              <w:pStyle w:val="26"/>
              <w:spacing w:before="20" w:after="20" w:line="276" w:lineRule="auto"/>
            </w:pPr>
            <w:r>
              <w:rPr>
                <w:rFonts w:ascii="Times New Roman" w:hAnsi="Times New Roman" w:eastAsia="宋体"/>
                <w:sz w:val="20"/>
              </w:rPr>
              <w:t>INTC FY2022</w:t>
            </w:r>
          </w:p>
        </w:tc>
        <w:tc>
          <w:p w14:paraId="28080853">
            <w:pPr>
              <w:pStyle w:val="26"/>
              <w:spacing w:before="20" w:after="20" w:line="276" w:lineRule="auto"/>
            </w:pPr>
            <w:r>
              <w:rPr>
                <w:rFonts w:ascii="Times New Roman" w:hAnsi="Times New Roman" w:eastAsia="宋体"/>
                <w:sz w:val="20"/>
              </w:rPr>
              <w:t>3/3/4/5/5</w:t>
            </w:r>
          </w:p>
        </w:tc>
        <w:tc>
          <w:p w14:paraId="4EAA8267">
            <w:pPr>
              <w:pStyle w:val="26"/>
              <w:spacing w:before="20" w:after="20" w:line="276" w:lineRule="auto"/>
            </w:pPr>
            <w:r>
              <w:rPr>
                <w:rFonts w:ascii="Times New Roman" w:hAnsi="Times New Roman" w:eastAsia="宋体"/>
                <w:sz w:val="20"/>
              </w:rPr>
              <w:t>0.75+0.60+0.80+1.00+0.75</w:t>
            </w:r>
          </w:p>
        </w:tc>
        <w:tc>
          <w:p w14:paraId="276348F9">
            <w:pPr>
              <w:pStyle w:val="26"/>
              <w:spacing w:before="20" w:after="20" w:line="276" w:lineRule="auto"/>
            </w:pPr>
            <w:r>
              <w:rPr>
                <w:rFonts w:ascii="Times New Roman" w:hAnsi="Times New Roman" w:eastAsia="宋体"/>
                <w:sz w:val="20"/>
              </w:rPr>
              <w:t>3.90</w:t>
            </w:r>
          </w:p>
        </w:tc>
      </w:tr>
      <w:tr w14:paraId="77838BED">
        <w:tblPrEx>
          <w:tblCellMar>
            <w:top w:w="0" w:type="dxa"/>
            <w:left w:w="108" w:type="dxa"/>
            <w:bottom w:w="0" w:type="dxa"/>
            <w:right w:w="108" w:type="dxa"/>
          </w:tblCellMar>
        </w:tblPrEx>
        <w:trPr>
          <w:cantSplit/>
        </w:trPr>
        <w:tc>
          <w:p w14:paraId="62EDB6C1">
            <w:pPr>
              <w:pStyle w:val="26"/>
              <w:spacing w:before="20" w:after="20" w:line="276" w:lineRule="auto"/>
            </w:pPr>
            <w:r>
              <w:rPr>
                <w:rFonts w:ascii="Times New Roman" w:hAnsi="Times New Roman" w:eastAsia="宋体"/>
                <w:sz w:val="20"/>
              </w:rPr>
              <w:t>INTC FY2024</w:t>
            </w:r>
          </w:p>
        </w:tc>
        <w:tc>
          <w:p w14:paraId="02483287">
            <w:pPr>
              <w:pStyle w:val="26"/>
              <w:spacing w:before="20" w:after="20" w:line="276" w:lineRule="auto"/>
            </w:pPr>
            <w:r>
              <w:rPr>
                <w:rFonts w:ascii="Times New Roman" w:hAnsi="Times New Roman" w:eastAsia="宋体"/>
                <w:sz w:val="20"/>
              </w:rPr>
              <w:t>4/4/5/5/5</w:t>
            </w:r>
          </w:p>
        </w:tc>
        <w:tc>
          <w:p w14:paraId="7EF0E821">
            <w:pPr>
              <w:pStyle w:val="26"/>
              <w:spacing w:before="20" w:after="20" w:line="276" w:lineRule="auto"/>
            </w:pPr>
            <w:r>
              <w:rPr>
                <w:rFonts w:ascii="Times New Roman" w:hAnsi="Times New Roman" w:eastAsia="宋体"/>
                <w:sz w:val="20"/>
              </w:rPr>
              <w:t>1.00+0.80+1.00+1.00+0.75</w:t>
            </w:r>
          </w:p>
        </w:tc>
        <w:tc>
          <w:p w14:paraId="1A8BC592">
            <w:pPr>
              <w:pStyle w:val="26"/>
              <w:spacing w:before="20" w:after="20" w:line="276" w:lineRule="auto"/>
            </w:pPr>
            <w:r>
              <w:rPr>
                <w:rFonts w:ascii="Times New Roman" w:hAnsi="Times New Roman" w:eastAsia="宋体"/>
                <w:sz w:val="20"/>
              </w:rPr>
              <w:t>4.55</w:t>
            </w:r>
          </w:p>
        </w:tc>
      </w:tr>
      <w:tr w14:paraId="112F1DD5">
        <w:tblPrEx>
          <w:tblCellMar>
            <w:top w:w="0" w:type="dxa"/>
            <w:left w:w="108" w:type="dxa"/>
            <w:bottom w:w="0" w:type="dxa"/>
            <w:right w:w="108" w:type="dxa"/>
          </w:tblCellMar>
        </w:tblPrEx>
        <w:trPr>
          <w:cantSplit/>
        </w:trPr>
        <w:tc>
          <w:p w14:paraId="12975805">
            <w:pPr>
              <w:pStyle w:val="26"/>
              <w:spacing w:before="20" w:after="20" w:line="276" w:lineRule="auto"/>
            </w:pPr>
            <w:r>
              <w:rPr>
                <w:rFonts w:ascii="Times New Roman" w:hAnsi="Times New Roman" w:eastAsia="宋体"/>
                <w:sz w:val="20"/>
              </w:rPr>
              <w:t>MU FY2022</w:t>
            </w:r>
          </w:p>
        </w:tc>
        <w:tc>
          <w:p w14:paraId="7604F39E">
            <w:pPr>
              <w:pStyle w:val="26"/>
              <w:spacing w:before="20" w:after="20" w:line="276" w:lineRule="auto"/>
            </w:pPr>
            <w:r>
              <w:rPr>
                <w:rFonts w:ascii="Times New Roman" w:hAnsi="Times New Roman" w:eastAsia="宋体"/>
                <w:sz w:val="20"/>
              </w:rPr>
              <w:t>4/3/4/5/4</w:t>
            </w:r>
          </w:p>
        </w:tc>
        <w:tc>
          <w:p w14:paraId="18CF7463">
            <w:pPr>
              <w:pStyle w:val="26"/>
              <w:spacing w:before="20" w:after="20" w:line="276" w:lineRule="auto"/>
            </w:pPr>
            <w:r>
              <w:rPr>
                <w:rFonts w:ascii="Times New Roman" w:hAnsi="Times New Roman" w:eastAsia="宋体"/>
                <w:sz w:val="20"/>
              </w:rPr>
              <w:t>1.00+0.60+0.80+1.00+0.60</w:t>
            </w:r>
          </w:p>
        </w:tc>
        <w:tc>
          <w:p w14:paraId="199F6671">
            <w:pPr>
              <w:pStyle w:val="26"/>
              <w:spacing w:before="20" w:after="20" w:line="276" w:lineRule="auto"/>
            </w:pPr>
            <w:r>
              <w:rPr>
                <w:rFonts w:ascii="Times New Roman" w:hAnsi="Times New Roman" w:eastAsia="宋体"/>
                <w:sz w:val="20"/>
              </w:rPr>
              <w:t>4.00</w:t>
            </w:r>
          </w:p>
        </w:tc>
      </w:tr>
      <w:tr w14:paraId="1DB90965">
        <w:tblPrEx>
          <w:tblCellMar>
            <w:top w:w="0" w:type="dxa"/>
            <w:left w:w="108" w:type="dxa"/>
            <w:bottom w:w="0" w:type="dxa"/>
            <w:right w:w="108" w:type="dxa"/>
          </w:tblCellMar>
        </w:tblPrEx>
        <w:trPr>
          <w:cantSplit/>
        </w:trPr>
        <w:tc>
          <w:p w14:paraId="2294791C">
            <w:pPr>
              <w:pStyle w:val="26"/>
              <w:spacing w:before="20" w:after="20" w:line="276" w:lineRule="auto"/>
            </w:pPr>
            <w:r>
              <w:rPr>
                <w:rFonts w:ascii="Times New Roman" w:hAnsi="Times New Roman" w:eastAsia="宋体"/>
                <w:sz w:val="20"/>
              </w:rPr>
              <w:t>MU FY2024</w:t>
            </w:r>
          </w:p>
        </w:tc>
        <w:tc>
          <w:p w14:paraId="325F7920">
            <w:pPr>
              <w:pStyle w:val="26"/>
              <w:spacing w:before="20" w:after="20" w:line="276" w:lineRule="auto"/>
            </w:pPr>
            <w:r>
              <w:rPr>
                <w:rFonts w:ascii="Times New Roman" w:hAnsi="Times New Roman" w:eastAsia="宋体"/>
                <w:sz w:val="20"/>
              </w:rPr>
              <w:t>4/3/4/5/4</w:t>
            </w:r>
          </w:p>
        </w:tc>
        <w:tc>
          <w:p w14:paraId="79C387B7">
            <w:pPr>
              <w:pStyle w:val="26"/>
              <w:spacing w:before="20" w:after="20" w:line="276" w:lineRule="auto"/>
            </w:pPr>
            <w:r>
              <w:rPr>
                <w:rFonts w:ascii="Times New Roman" w:hAnsi="Times New Roman" w:eastAsia="宋体"/>
                <w:sz w:val="20"/>
              </w:rPr>
              <w:t>1.00+0.60+0.80+1.00+0.60</w:t>
            </w:r>
          </w:p>
        </w:tc>
        <w:tc>
          <w:p w14:paraId="02FFA260">
            <w:pPr>
              <w:pStyle w:val="26"/>
              <w:spacing w:before="20" w:after="20" w:line="276" w:lineRule="auto"/>
            </w:pPr>
            <w:r>
              <w:rPr>
                <w:rFonts w:ascii="Times New Roman" w:hAnsi="Times New Roman" w:eastAsia="宋体"/>
                <w:sz w:val="20"/>
              </w:rPr>
              <w:t>4.00</w:t>
            </w:r>
          </w:p>
        </w:tc>
      </w:tr>
      <w:tr w14:paraId="7242BD21">
        <w:tblPrEx>
          <w:tblCellMar>
            <w:top w:w="0" w:type="dxa"/>
            <w:left w:w="108" w:type="dxa"/>
            <w:bottom w:w="0" w:type="dxa"/>
            <w:right w:w="108" w:type="dxa"/>
          </w:tblCellMar>
        </w:tblPrEx>
        <w:trPr>
          <w:cantSplit/>
        </w:trPr>
        <w:tc>
          <w:p w14:paraId="01BFE4F9">
            <w:pPr>
              <w:pStyle w:val="26"/>
              <w:spacing w:before="20" w:after="20" w:line="276" w:lineRule="auto"/>
            </w:pPr>
            <w:r>
              <w:rPr>
                <w:rFonts w:ascii="Times New Roman" w:hAnsi="Times New Roman" w:eastAsia="宋体"/>
                <w:sz w:val="20"/>
              </w:rPr>
              <w:t>ORCL FY2023</w:t>
            </w:r>
          </w:p>
        </w:tc>
        <w:tc>
          <w:p w14:paraId="07005836">
            <w:pPr>
              <w:pStyle w:val="26"/>
              <w:spacing w:before="20" w:after="20" w:line="276" w:lineRule="auto"/>
            </w:pPr>
            <w:r>
              <w:rPr>
                <w:rFonts w:ascii="Times New Roman" w:hAnsi="Times New Roman" w:eastAsia="宋体"/>
                <w:sz w:val="20"/>
              </w:rPr>
              <w:t>4/5/3/4/4</w:t>
            </w:r>
          </w:p>
        </w:tc>
        <w:tc>
          <w:p w14:paraId="2DF1E9FC">
            <w:pPr>
              <w:pStyle w:val="26"/>
              <w:spacing w:before="20" w:after="20" w:line="276" w:lineRule="auto"/>
            </w:pPr>
            <w:r>
              <w:rPr>
                <w:rFonts w:ascii="Times New Roman" w:hAnsi="Times New Roman" w:eastAsia="宋体"/>
                <w:sz w:val="20"/>
              </w:rPr>
              <w:t>1.00+1.00+0.60+0.80+0.60</w:t>
            </w:r>
          </w:p>
        </w:tc>
        <w:tc>
          <w:p w14:paraId="2E68704A">
            <w:pPr>
              <w:pStyle w:val="26"/>
              <w:spacing w:before="20" w:after="20" w:line="276" w:lineRule="auto"/>
            </w:pPr>
            <w:r>
              <w:rPr>
                <w:rFonts w:ascii="Times New Roman" w:hAnsi="Times New Roman" w:eastAsia="宋体"/>
                <w:sz w:val="20"/>
              </w:rPr>
              <w:t>4.00</w:t>
            </w:r>
          </w:p>
        </w:tc>
      </w:tr>
      <w:tr w14:paraId="6E7FD31C">
        <w:tblPrEx>
          <w:tblCellMar>
            <w:top w:w="0" w:type="dxa"/>
            <w:left w:w="108" w:type="dxa"/>
            <w:bottom w:w="0" w:type="dxa"/>
            <w:right w:w="108" w:type="dxa"/>
          </w:tblCellMar>
        </w:tblPrEx>
        <w:trPr>
          <w:cantSplit/>
        </w:trPr>
        <w:tc>
          <w:p w14:paraId="2D1DABB2">
            <w:pPr>
              <w:pStyle w:val="26"/>
              <w:spacing w:before="20" w:after="20" w:line="276" w:lineRule="auto"/>
            </w:pPr>
            <w:r>
              <w:rPr>
                <w:rFonts w:ascii="Times New Roman" w:hAnsi="Times New Roman" w:eastAsia="宋体"/>
                <w:sz w:val="20"/>
              </w:rPr>
              <w:t>ORCL FY2025</w:t>
            </w:r>
          </w:p>
        </w:tc>
        <w:tc>
          <w:p w14:paraId="24486FAB">
            <w:pPr>
              <w:pStyle w:val="26"/>
              <w:spacing w:before="20" w:after="20" w:line="276" w:lineRule="auto"/>
            </w:pPr>
            <w:r>
              <w:rPr>
                <w:rFonts w:ascii="Times New Roman" w:hAnsi="Times New Roman" w:eastAsia="宋体"/>
                <w:sz w:val="20"/>
              </w:rPr>
              <w:t>5/5/3/5/4</w:t>
            </w:r>
          </w:p>
        </w:tc>
        <w:tc>
          <w:p w14:paraId="0919287C">
            <w:pPr>
              <w:pStyle w:val="26"/>
              <w:spacing w:before="20" w:after="20" w:line="276" w:lineRule="auto"/>
            </w:pPr>
            <w:r>
              <w:rPr>
                <w:rFonts w:ascii="Times New Roman" w:hAnsi="Times New Roman" w:eastAsia="宋体"/>
                <w:sz w:val="20"/>
              </w:rPr>
              <w:t>1.25+1.00+0.60+1.00+0.60</w:t>
            </w:r>
          </w:p>
        </w:tc>
        <w:tc>
          <w:p w14:paraId="01E7E3D6">
            <w:pPr>
              <w:pStyle w:val="26"/>
              <w:spacing w:before="20" w:after="20" w:line="276" w:lineRule="auto"/>
            </w:pPr>
            <w:r>
              <w:rPr>
                <w:rFonts w:ascii="Times New Roman" w:hAnsi="Times New Roman" w:eastAsia="宋体"/>
                <w:sz w:val="20"/>
              </w:rPr>
              <w:t>4.45</w:t>
            </w:r>
          </w:p>
        </w:tc>
      </w:tr>
      <w:tr w14:paraId="5BE9C24F">
        <w:tblPrEx>
          <w:tblCellMar>
            <w:top w:w="0" w:type="dxa"/>
            <w:left w:w="108" w:type="dxa"/>
            <w:bottom w:w="0" w:type="dxa"/>
            <w:right w:w="108" w:type="dxa"/>
          </w:tblCellMar>
        </w:tblPrEx>
        <w:trPr>
          <w:cantSplit/>
        </w:trPr>
        <w:tc>
          <w:p w14:paraId="554686D5">
            <w:pPr>
              <w:pStyle w:val="26"/>
              <w:spacing w:before="20" w:after="20" w:line="276" w:lineRule="auto"/>
            </w:pPr>
            <w:r>
              <w:rPr>
                <w:rFonts w:ascii="Times New Roman" w:hAnsi="Times New Roman" w:eastAsia="宋体"/>
                <w:sz w:val="20"/>
              </w:rPr>
              <w:t>TSLA 2022</w:t>
            </w:r>
          </w:p>
        </w:tc>
        <w:tc>
          <w:p w14:paraId="079FA929">
            <w:pPr>
              <w:pStyle w:val="26"/>
              <w:spacing w:before="20" w:after="20" w:line="276" w:lineRule="auto"/>
            </w:pPr>
            <w:r>
              <w:rPr>
                <w:rFonts w:ascii="Times New Roman" w:hAnsi="Times New Roman" w:eastAsia="宋体"/>
                <w:sz w:val="20"/>
              </w:rPr>
              <w:t>4/3/2/3/4</w:t>
            </w:r>
          </w:p>
        </w:tc>
        <w:tc>
          <w:p w14:paraId="6D2D3F63">
            <w:pPr>
              <w:pStyle w:val="26"/>
              <w:spacing w:before="20" w:after="20" w:line="276" w:lineRule="auto"/>
            </w:pPr>
            <w:r>
              <w:rPr>
                <w:rFonts w:ascii="Times New Roman" w:hAnsi="Times New Roman" w:eastAsia="宋体"/>
                <w:sz w:val="20"/>
              </w:rPr>
              <w:t>1.00+0.60+0.40+0.60+0.60</w:t>
            </w:r>
          </w:p>
        </w:tc>
        <w:tc>
          <w:p w14:paraId="3455EA34">
            <w:pPr>
              <w:pStyle w:val="26"/>
              <w:spacing w:before="20" w:after="20" w:line="276" w:lineRule="auto"/>
            </w:pPr>
            <w:r>
              <w:rPr>
                <w:rFonts w:ascii="Times New Roman" w:hAnsi="Times New Roman" w:eastAsia="宋体"/>
                <w:sz w:val="20"/>
              </w:rPr>
              <w:t>3.20</w:t>
            </w:r>
          </w:p>
        </w:tc>
      </w:tr>
      <w:tr w14:paraId="3FFA2197">
        <w:tblPrEx>
          <w:tblCellMar>
            <w:top w:w="0" w:type="dxa"/>
            <w:left w:w="108" w:type="dxa"/>
            <w:bottom w:w="0" w:type="dxa"/>
            <w:right w:w="108" w:type="dxa"/>
          </w:tblCellMar>
        </w:tblPrEx>
        <w:trPr>
          <w:cantSplit/>
        </w:trPr>
        <w:tc>
          <w:p w14:paraId="7FE9AFE7">
            <w:pPr>
              <w:pStyle w:val="26"/>
              <w:spacing w:before="20" w:after="20" w:line="276" w:lineRule="auto"/>
            </w:pPr>
            <w:r>
              <w:rPr>
                <w:rFonts w:ascii="Times New Roman" w:hAnsi="Times New Roman" w:eastAsia="宋体"/>
                <w:sz w:val="20"/>
              </w:rPr>
              <w:t>TSLA 2024</w:t>
            </w:r>
          </w:p>
        </w:tc>
        <w:tc>
          <w:p w14:paraId="21E6C3E1">
            <w:pPr>
              <w:pStyle w:val="26"/>
              <w:spacing w:before="20" w:after="20" w:line="276" w:lineRule="auto"/>
            </w:pPr>
            <w:r>
              <w:rPr>
                <w:rFonts w:ascii="Times New Roman" w:hAnsi="Times New Roman" w:eastAsia="宋体"/>
                <w:sz w:val="20"/>
              </w:rPr>
              <w:t>4/3/3/4/5</w:t>
            </w:r>
          </w:p>
        </w:tc>
        <w:tc>
          <w:p w14:paraId="2274CEE0">
            <w:pPr>
              <w:pStyle w:val="26"/>
              <w:spacing w:before="20" w:after="20" w:line="276" w:lineRule="auto"/>
            </w:pPr>
            <w:r>
              <w:rPr>
                <w:rFonts w:ascii="Times New Roman" w:hAnsi="Times New Roman" w:eastAsia="宋体"/>
                <w:sz w:val="20"/>
              </w:rPr>
              <w:t>1.00+0.60+0.60+0.80+0.75</w:t>
            </w:r>
          </w:p>
        </w:tc>
        <w:tc>
          <w:p w14:paraId="2C986033">
            <w:pPr>
              <w:pStyle w:val="26"/>
              <w:spacing w:before="20" w:after="20" w:line="276" w:lineRule="auto"/>
            </w:pPr>
            <w:r>
              <w:rPr>
                <w:rFonts w:ascii="Times New Roman" w:hAnsi="Times New Roman" w:eastAsia="宋体"/>
                <w:sz w:val="20"/>
              </w:rPr>
              <w:t>3.75</w:t>
            </w:r>
          </w:p>
        </w:tc>
      </w:tr>
      <w:tr w14:paraId="3BA17323">
        <w:tblPrEx>
          <w:tblCellMar>
            <w:top w:w="0" w:type="dxa"/>
            <w:left w:w="108" w:type="dxa"/>
            <w:bottom w:w="0" w:type="dxa"/>
            <w:right w:w="108" w:type="dxa"/>
          </w:tblCellMar>
        </w:tblPrEx>
        <w:trPr>
          <w:cantSplit/>
        </w:trPr>
        <w:tc>
          <w:p w14:paraId="39B45769">
            <w:pPr>
              <w:pStyle w:val="26"/>
              <w:spacing w:before="20" w:after="20" w:line="276" w:lineRule="auto"/>
            </w:pPr>
            <w:r>
              <w:rPr>
                <w:rFonts w:ascii="Times New Roman" w:hAnsi="Times New Roman" w:eastAsia="宋体"/>
                <w:sz w:val="20"/>
              </w:rPr>
              <w:t>NVDA FY2023</w:t>
            </w:r>
          </w:p>
        </w:tc>
        <w:tc>
          <w:p w14:paraId="34589DFA">
            <w:pPr>
              <w:pStyle w:val="26"/>
              <w:spacing w:before="20" w:after="20" w:line="276" w:lineRule="auto"/>
            </w:pPr>
            <w:r>
              <w:rPr>
                <w:rFonts w:ascii="Times New Roman" w:hAnsi="Times New Roman" w:eastAsia="宋体"/>
                <w:sz w:val="20"/>
              </w:rPr>
              <w:t>3/4/3/2/2</w:t>
            </w:r>
          </w:p>
        </w:tc>
        <w:tc>
          <w:p w14:paraId="2C5FE434">
            <w:pPr>
              <w:pStyle w:val="26"/>
              <w:spacing w:before="20" w:after="20" w:line="276" w:lineRule="auto"/>
            </w:pPr>
            <w:r>
              <w:rPr>
                <w:rFonts w:ascii="Times New Roman" w:hAnsi="Times New Roman" w:eastAsia="宋体"/>
                <w:sz w:val="20"/>
              </w:rPr>
              <w:t>0.75+0.80+0.60+0.40+0.30</w:t>
            </w:r>
          </w:p>
        </w:tc>
        <w:tc>
          <w:p w14:paraId="1872668C">
            <w:pPr>
              <w:pStyle w:val="26"/>
              <w:spacing w:before="20" w:after="20" w:line="276" w:lineRule="auto"/>
            </w:pPr>
            <w:r>
              <w:rPr>
                <w:rFonts w:ascii="Times New Roman" w:hAnsi="Times New Roman" w:eastAsia="宋体"/>
                <w:sz w:val="20"/>
              </w:rPr>
              <w:t>2.85</w:t>
            </w:r>
          </w:p>
        </w:tc>
      </w:tr>
      <w:tr w14:paraId="0F29A1C8">
        <w:tblPrEx>
          <w:tblCellMar>
            <w:top w:w="0" w:type="dxa"/>
            <w:left w:w="108" w:type="dxa"/>
            <w:bottom w:w="0" w:type="dxa"/>
            <w:right w:w="108" w:type="dxa"/>
          </w:tblCellMar>
        </w:tblPrEx>
        <w:trPr>
          <w:cantSplit/>
        </w:trPr>
        <w:tc>
          <w:p w14:paraId="6985782D">
            <w:pPr>
              <w:pStyle w:val="26"/>
              <w:spacing w:before="20" w:after="20" w:line="276" w:lineRule="auto"/>
            </w:pPr>
            <w:r>
              <w:rPr>
                <w:rFonts w:ascii="Times New Roman" w:hAnsi="Times New Roman" w:eastAsia="宋体"/>
                <w:sz w:val="20"/>
              </w:rPr>
              <w:t>NVDA FY2025</w:t>
            </w:r>
          </w:p>
        </w:tc>
        <w:tc>
          <w:p w14:paraId="7624E963">
            <w:pPr>
              <w:pStyle w:val="26"/>
              <w:spacing w:before="20" w:after="20" w:line="276" w:lineRule="auto"/>
            </w:pPr>
            <w:r>
              <w:rPr>
                <w:rFonts w:ascii="Times New Roman" w:hAnsi="Times New Roman" w:eastAsia="宋体"/>
                <w:sz w:val="20"/>
              </w:rPr>
              <w:t>4/4/4/2/3</w:t>
            </w:r>
          </w:p>
        </w:tc>
        <w:tc>
          <w:p w14:paraId="7766B426">
            <w:pPr>
              <w:pStyle w:val="26"/>
              <w:spacing w:before="20" w:after="20" w:line="276" w:lineRule="auto"/>
            </w:pPr>
            <w:r>
              <w:rPr>
                <w:rFonts w:ascii="Times New Roman" w:hAnsi="Times New Roman" w:eastAsia="宋体"/>
                <w:sz w:val="20"/>
              </w:rPr>
              <w:t>1.00+0.80+0.80+0.40+0.45</w:t>
            </w:r>
          </w:p>
        </w:tc>
        <w:tc>
          <w:p w14:paraId="26919B30">
            <w:pPr>
              <w:pStyle w:val="26"/>
              <w:spacing w:before="20" w:after="20" w:line="276" w:lineRule="auto"/>
            </w:pPr>
            <w:r>
              <w:rPr>
                <w:rFonts w:ascii="Times New Roman" w:hAnsi="Times New Roman" w:eastAsia="宋体"/>
                <w:sz w:val="20"/>
              </w:rPr>
              <w:t>3.45</w:t>
            </w:r>
          </w:p>
        </w:tc>
      </w:tr>
      <w:tr w14:paraId="0163F71F">
        <w:tblPrEx>
          <w:tblCellMar>
            <w:top w:w="0" w:type="dxa"/>
            <w:left w:w="108" w:type="dxa"/>
            <w:bottom w:w="0" w:type="dxa"/>
            <w:right w:w="108" w:type="dxa"/>
          </w:tblCellMar>
        </w:tblPrEx>
        <w:trPr>
          <w:cantSplit/>
        </w:trPr>
        <w:tc>
          <w:p w14:paraId="386F90A0">
            <w:pPr>
              <w:pStyle w:val="26"/>
              <w:spacing w:before="20" w:after="20" w:line="276" w:lineRule="auto"/>
            </w:pPr>
            <w:r>
              <w:rPr>
                <w:rFonts w:ascii="Times New Roman" w:hAnsi="Times New Roman" w:eastAsia="宋体"/>
                <w:sz w:val="20"/>
              </w:rPr>
              <w:t>AMD FY2022</w:t>
            </w:r>
          </w:p>
        </w:tc>
        <w:tc>
          <w:p w14:paraId="33758825">
            <w:pPr>
              <w:pStyle w:val="26"/>
              <w:spacing w:before="20" w:after="20" w:line="276" w:lineRule="auto"/>
            </w:pPr>
            <w:r>
              <w:rPr>
                <w:rFonts w:ascii="Times New Roman" w:hAnsi="Times New Roman" w:eastAsia="宋体"/>
                <w:sz w:val="20"/>
              </w:rPr>
              <w:t>3/2/3/1/3</w:t>
            </w:r>
          </w:p>
        </w:tc>
        <w:tc>
          <w:p w14:paraId="1E6D029D">
            <w:pPr>
              <w:pStyle w:val="26"/>
              <w:spacing w:before="20" w:after="20" w:line="276" w:lineRule="auto"/>
            </w:pPr>
            <w:r>
              <w:rPr>
                <w:rFonts w:ascii="Times New Roman" w:hAnsi="Times New Roman" w:eastAsia="宋体"/>
                <w:sz w:val="20"/>
              </w:rPr>
              <w:t>0.75+0.40+0.60+0.20+0.45</w:t>
            </w:r>
          </w:p>
        </w:tc>
        <w:tc>
          <w:p w14:paraId="36E87631">
            <w:pPr>
              <w:pStyle w:val="26"/>
              <w:spacing w:before="20" w:after="20" w:line="276" w:lineRule="auto"/>
            </w:pPr>
            <w:r>
              <w:rPr>
                <w:rFonts w:ascii="Times New Roman" w:hAnsi="Times New Roman" w:eastAsia="宋体"/>
                <w:sz w:val="20"/>
              </w:rPr>
              <w:t>2.40</w:t>
            </w:r>
          </w:p>
        </w:tc>
      </w:tr>
      <w:tr w14:paraId="42D79148">
        <w:tblPrEx>
          <w:tblCellMar>
            <w:top w:w="0" w:type="dxa"/>
            <w:left w:w="108" w:type="dxa"/>
            <w:bottom w:w="0" w:type="dxa"/>
            <w:right w:w="108" w:type="dxa"/>
          </w:tblCellMar>
        </w:tblPrEx>
        <w:trPr>
          <w:cantSplit/>
        </w:trPr>
        <w:tc>
          <w:p w14:paraId="1FAF4241">
            <w:pPr>
              <w:pStyle w:val="26"/>
              <w:spacing w:before="20" w:after="20" w:line="276" w:lineRule="auto"/>
            </w:pPr>
            <w:r>
              <w:rPr>
                <w:rFonts w:ascii="Times New Roman" w:hAnsi="Times New Roman" w:eastAsia="宋体"/>
                <w:sz w:val="20"/>
              </w:rPr>
              <w:t>AMD FY2024</w:t>
            </w:r>
          </w:p>
        </w:tc>
        <w:tc>
          <w:p w14:paraId="20DA9AA9">
            <w:pPr>
              <w:pStyle w:val="26"/>
              <w:spacing w:before="20" w:after="20" w:line="276" w:lineRule="auto"/>
            </w:pPr>
            <w:r>
              <w:rPr>
                <w:rFonts w:ascii="Times New Roman" w:hAnsi="Times New Roman" w:eastAsia="宋体"/>
                <w:sz w:val="20"/>
              </w:rPr>
              <w:t>3/2/4/1/3</w:t>
            </w:r>
          </w:p>
        </w:tc>
        <w:tc>
          <w:p w14:paraId="07F57FC5">
            <w:pPr>
              <w:pStyle w:val="26"/>
              <w:spacing w:before="20" w:after="20" w:line="276" w:lineRule="auto"/>
            </w:pPr>
            <w:r>
              <w:rPr>
                <w:rFonts w:ascii="Times New Roman" w:hAnsi="Times New Roman" w:eastAsia="宋体"/>
                <w:sz w:val="20"/>
              </w:rPr>
              <w:t>0.75+0.40+0.80+0.20+0.45</w:t>
            </w:r>
          </w:p>
        </w:tc>
        <w:tc>
          <w:p w14:paraId="6C9CDD3E">
            <w:pPr>
              <w:pStyle w:val="26"/>
              <w:spacing w:before="20" w:after="20" w:line="276" w:lineRule="auto"/>
            </w:pPr>
            <w:r>
              <w:rPr>
                <w:rFonts w:ascii="Times New Roman" w:hAnsi="Times New Roman" w:eastAsia="宋体"/>
                <w:sz w:val="20"/>
              </w:rPr>
              <w:t>2.60</w:t>
            </w:r>
          </w:p>
        </w:tc>
      </w:tr>
      <w:tr w14:paraId="56DFE4C3">
        <w:tblPrEx>
          <w:tblCellMar>
            <w:top w:w="0" w:type="dxa"/>
            <w:left w:w="108" w:type="dxa"/>
            <w:bottom w:w="0" w:type="dxa"/>
            <w:right w:w="108" w:type="dxa"/>
          </w:tblCellMar>
        </w:tblPrEx>
        <w:trPr>
          <w:cantSplit/>
        </w:trPr>
        <w:tc>
          <w:p w14:paraId="1FEC1D09">
            <w:pPr>
              <w:pStyle w:val="26"/>
              <w:spacing w:before="20" w:after="20" w:line="276" w:lineRule="auto"/>
            </w:pPr>
            <w:r>
              <w:rPr>
                <w:rFonts w:ascii="Times New Roman" w:hAnsi="Times New Roman" w:eastAsia="宋体"/>
                <w:sz w:val="20"/>
              </w:rPr>
              <w:t>CRM FY2023</w:t>
            </w:r>
          </w:p>
        </w:tc>
        <w:tc>
          <w:p w14:paraId="0A782AB4">
            <w:pPr>
              <w:pStyle w:val="26"/>
              <w:spacing w:before="20" w:after="20" w:line="276" w:lineRule="auto"/>
            </w:pPr>
            <w:r>
              <w:rPr>
                <w:rFonts w:ascii="Times New Roman" w:hAnsi="Times New Roman" w:eastAsia="宋体"/>
                <w:sz w:val="20"/>
              </w:rPr>
              <w:t>3/3/2/1/1</w:t>
            </w:r>
          </w:p>
        </w:tc>
        <w:tc>
          <w:p w14:paraId="3DF2D234">
            <w:pPr>
              <w:pStyle w:val="26"/>
              <w:spacing w:before="20" w:after="20" w:line="276" w:lineRule="auto"/>
            </w:pPr>
            <w:r>
              <w:rPr>
                <w:rFonts w:ascii="Times New Roman" w:hAnsi="Times New Roman" w:eastAsia="宋体"/>
                <w:sz w:val="20"/>
              </w:rPr>
              <w:t>0.75+0.60+0.40+0.20+0.15</w:t>
            </w:r>
          </w:p>
        </w:tc>
        <w:tc>
          <w:p w14:paraId="1F25D559">
            <w:pPr>
              <w:pStyle w:val="26"/>
              <w:spacing w:before="20" w:after="20" w:line="276" w:lineRule="auto"/>
            </w:pPr>
            <w:r>
              <w:rPr>
                <w:rFonts w:ascii="Times New Roman" w:hAnsi="Times New Roman" w:eastAsia="宋体"/>
                <w:sz w:val="20"/>
              </w:rPr>
              <w:t>2.10</w:t>
            </w:r>
          </w:p>
        </w:tc>
      </w:tr>
      <w:tr w14:paraId="7522E901">
        <w:tblPrEx>
          <w:tblCellMar>
            <w:top w:w="0" w:type="dxa"/>
            <w:left w:w="108" w:type="dxa"/>
            <w:bottom w:w="0" w:type="dxa"/>
            <w:right w:w="108" w:type="dxa"/>
          </w:tblCellMar>
        </w:tblPrEx>
        <w:trPr>
          <w:cantSplit/>
        </w:trPr>
        <w:tc>
          <w:p w14:paraId="52375620">
            <w:pPr>
              <w:pStyle w:val="26"/>
              <w:spacing w:before="20" w:after="20" w:line="276" w:lineRule="auto"/>
            </w:pPr>
            <w:r>
              <w:rPr>
                <w:rFonts w:ascii="Times New Roman" w:hAnsi="Times New Roman" w:eastAsia="宋体"/>
                <w:sz w:val="20"/>
              </w:rPr>
              <w:t>CRM FY2025</w:t>
            </w:r>
          </w:p>
        </w:tc>
        <w:tc>
          <w:p w14:paraId="038BBB91">
            <w:pPr>
              <w:pStyle w:val="26"/>
              <w:spacing w:before="20" w:after="20" w:line="276" w:lineRule="auto"/>
            </w:pPr>
            <w:r>
              <w:rPr>
                <w:rFonts w:ascii="Times New Roman" w:hAnsi="Times New Roman" w:eastAsia="宋体"/>
                <w:sz w:val="20"/>
              </w:rPr>
              <w:t>3/3/2/1/1</w:t>
            </w:r>
          </w:p>
        </w:tc>
        <w:tc>
          <w:p w14:paraId="275FED78">
            <w:pPr>
              <w:pStyle w:val="26"/>
              <w:spacing w:before="20" w:after="20" w:line="276" w:lineRule="auto"/>
            </w:pPr>
            <w:r>
              <w:rPr>
                <w:rFonts w:ascii="Times New Roman" w:hAnsi="Times New Roman" w:eastAsia="宋体"/>
                <w:sz w:val="20"/>
              </w:rPr>
              <w:t>0.75+0.60+0.40+0.20+0.15</w:t>
            </w:r>
          </w:p>
        </w:tc>
        <w:tc>
          <w:p w14:paraId="6C9DF408">
            <w:pPr>
              <w:pStyle w:val="26"/>
              <w:spacing w:before="20" w:after="20" w:line="276" w:lineRule="auto"/>
            </w:pPr>
            <w:r>
              <w:rPr>
                <w:rFonts w:ascii="Times New Roman" w:hAnsi="Times New Roman" w:eastAsia="宋体"/>
                <w:sz w:val="20"/>
              </w:rPr>
              <w:t>2.10</w:t>
            </w:r>
          </w:p>
        </w:tc>
      </w:tr>
    </w:tbl>
    <w:p w14:paraId="7A13445D">
      <w:pPr>
        <w:pStyle w:val="3"/>
        <w:spacing w:before="40" w:after="120" w:line="312" w:lineRule="auto"/>
        <w:ind w:firstLine="0"/>
        <w:jc w:val="left"/>
      </w:pPr>
      <w:r>
        <w:rPr>
          <w:rFonts w:hint="eastAsia" w:ascii="Times New Roman" w:hAnsi="Times New Roman" w:eastAsia="宋体"/>
          <w:i w:val="0"/>
          <w:sz w:val="21"/>
        </w:rPr>
        <w:t>注：META</w:t>
      </w:r>
      <w:r>
        <w:rPr>
          <w:rFonts w:ascii="Times New Roman" w:hAnsi="Times New Roman" w:eastAsia="宋体"/>
          <w:i w:val="0"/>
          <w:sz w:val="21"/>
        </w:rPr>
        <w:t xml:space="preserve"> 2024 </w:t>
      </w:r>
      <w:r>
        <w:rPr>
          <w:rFonts w:hint="eastAsia" w:ascii="Times New Roman" w:hAnsi="Times New Roman" w:eastAsia="宋体"/>
          <w:i w:val="0"/>
          <w:sz w:val="21"/>
        </w:rPr>
        <w:t>五个维度分（5/5/3/5/5）按权重的算术加权和为</w:t>
      </w:r>
      <w:r>
        <w:rPr>
          <w:rFonts w:ascii="Times New Roman" w:hAnsi="Times New Roman" w:eastAsia="宋体"/>
          <w:i w:val="0"/>
          <w:sz w:val="21"/>
        </w:rPr>
        <w:t xml:space="preserve"> </w:t>
      </w:r>
      <w:r>
        <w:rPr>
          <w:rFonts w:hint="eastAsia" w:ascii="Times New Roman" w:hAnsi="Times New Roman" w:eastAsia="宋体"/>
          <w:i w:val="0"/>
          <w:sz w:val="21"/>
        </w:rPr>
        <w:t>4.60，与标注库、训练集</w:t>
      </w:r>
      <w:r>
        <w:rPr>
          <w:rFonts w:ascii="Times New Roman" w:hAnsi="Times New Roman" w:eastAsia="宋体"/>
          <w:i w:val="0"/>
          <w:sz w:val="21"/>
        </w:rPr>
        <w:t xml:space="preserve"> v06 </w:t>
      </w:r>
      <w:r>
        <w:rPr>
          <w:rFonts w:hint="eastAsia" w:ascii="Times New Roman" w:hAnsi="Times New Roman" w:eastAsia="宋体"/>
          <w:i w:val="0"/>
          <w:sz w:val="21"/>
        </w:rPr>
        <w:t>及本报告正文现已统一为综合分</w:t>
      </w:r>
      <w:r>
        <w:rPr>
          <w:rFonts w:ascii="Times New Roman" w:hAnsi="Times New Roman" w:eastAsia="宋体"/>
          <w:i w:val="0"/>
          <w:sz w:val="21"/>
        </w:rPr>
        <w:t xml:space="preserve"> </w:t>
      </w:r>
      <w:r>
        <w:rPr>
          <w:rFonts w:hint="eastAsia" w:ascii="Times New Roman" w:hAnsi="Times New Roman" w:eastAsia="宋体"/>
          <w:i w:val="0"/>
          <w:sz w:val="21"/>
        </w:rPr>
        <w:t>4.60（原记录的</w:t>
      </w:r>
      <w:r>
        <w:rPr>
          <w:rFonts w:ascii="Times New Roman" w:hAnsi="Times New Roman" w:eastAsia="宋体"/>
          <w:i w:val="0"/>
          <w:sz w:val="21"/>
        </w:rPr>
        <w:t xml:space="preserve"> 4.65 </w:t>
      </w:r>
      <w:r>
        <w:rPr>
          <w:rFonts w:hint="eastAsia" w:ascii="Times New Roman" w:hAnsi="Times New Roman" w:eastAsia="宋体"/>
          <w:i w:val="0"/>
          <w:sz w:val="21"/>
        </w:rPr>
        <w:t>为综合分笔误，已修正；维度分与综合分现为</w:t>
      </w:r>
      <w:r>
        <w:rPr>
          <w:rFonts w:ascii="Times New Roman" w:hAnsi="Times New Roman" w:eastAsia="宋体"/>
          <w:i w:val="0"/>
          <w:sz w:val="21"/>
        </w:rPr>
        <w:t xml:space="preserve"> confirmed </w:t>
      </w:r>
      <w:r>
        <w:rPr>
          <w:rFonts w:hint="eastAsia" w:ascii="Times New Roman" w:hAnsi="Times New Roman" w:eastAsia="宋体"/>
          <w:i w:val="0"/>
          <w:sz w:val="21"/>
        </w:rPr>
        <w:t>一致状态）。</w:t>
      </w:r>
    </w:p>
    <w:bookmarkEnd w:id="174"/>
    <w:p w14:paraId="17AE7BE6">
      <w:pPr>
        <w:pStyle w:val="4"/>
        <w:spacing w:before="320" w:after="160" w:line="360" w:lineRule="auto"/>
      </w:pPr>
      <w:bookmarkStart w:id="175" w:name="_Toc21255"/>
      <w:bookmarkStart w:id="176" w:name="a.4-逐维评分依据"/>
      <w:r>
        <w:rPr>
          <w:rFonts w:ascii="Times New Roman" w:hAnsi="Times New Roman" w:eastAsia="黑体"/>
          <w:b/>
          <w:color w:val="003366"/>
          <w:sz w:val="28"/>
        </w:rPr>
        <w:t xml:space="preserve">A.4 </w:t>
      </w:r>
      <w:r>
        <w:rPr>
          <w:rFonts w:hint="eastAsia" w:ascii="Times New Roman" w:hAnsi="Times New Roman" w:eastAsia="黑体"/>
          <w:b/>
          <w:color w:val="003366"/>
          <w:sz w:val="28"/>
        </w:rPr>
        <w:t>逐维评分依据</w:t>
      </w:r>
      <w:bookmarkEnd w:id="175"/>
    </w:p>
    <w:p w14:paraId="7A1A3B61">
      <w:pPr>
        <w:pStyle w:val="25"/>
        <w:spacing w:before="40" w:after="40" w:line="360" w:lineRule="auto"/>
        <w:ind w:firstLine="480"/>
      </w:pPr>
      <w:r>
        <w:rPr>
          <w:rFonts w:hint="eastAsia" w:ascii="Times New Roman" w:hAnsi="Times New Roman" w:eastAsia="宋体"/>
          <w:sz w:val="24"/>
        </w:rPr>
        <w:t>各维度得分与支撑信号、证据摘录的完整核对记录见项目文档《评分依据与推断核对》《第二批评分依据与推断核对》与各公司-年份标注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dimension_scores.reasoning </w:t>
      </w:r>
      <w:r>
        <w:rPr>
          <w:rFonts w:hint="eastAsia" w:ascii="Times New Roman" w:hAnsi="Times New Roman" w:eastAsia="宋体"/>
          <w:sz w:val="24"/>
        </w:rPr>
        <w:t>字段（含支撑信号编号与关键指标）。</w:t>
      </w:r>
    </w:p>
    <w:bookmarkEnd w:id="168"/>
    <w:bookmarkEnd w:id="176"/>
    <w:p w14:paraId="7BD1FBAC">
      <w:pPr>
        <w:pStyle w:val="4"/>
        <w:spacing w:before="320" w:after="160" w:line="360" w:lineRule="auto"/>
      </w:pPr>
      <w:bookmarkStart w:id="177" w:name="_Toc15898"/>
      <w:r>
        <w:rPr>
          <w:rFonts w:ascii="Times New Roman" w:hAnsi="Times New Roman" w:eastAsia="黑体"/>
          <w:b/>
          <w:color w:val="003366"/>
          <w:sz w:val="28"/>
        </w:rPr>
        <w:t>A.5 AI 评分与人工评分的差距分析</w:t>
      </w:r>
      <w:bookmarkEnd w:id="177"/>
    </w:p>
    <w:p w14:paraId="126733DB">
      <w:pPr>
        <w:pStyle w:val="25"/>
        <w:spacing w:before="40" w:after="40" w:line="360" w:lineRule="auto"/>
        <w:ind w:firstLine="480"/>
      </w:pPr>
      <w:r>
        <w:rPr>
          <w:rFonts w:hint="eastAsia" w:ascii="Times New Roman" w:hAnsi="Times New Roman" w:eastAsia="宋体"/>
          <w:sz w:val="24"/>
        </w:rPr>
        <w:t>本附录基于智能识别系统优化过程中的系统测试，分析 AI 自动评分与人工复核评分之间的差距来源，为检索体系优化与规则引擎调校提供实证依据。</w:t>
      </w:r>
    </w:p>
    <w:p w14:paraId="75952CA2">
      <w:pPr>
        <w:pStyle w:val="5"/>
        <w:spacing w:before="240" w:after="120" w:line="360" w:lineRule="auto"/>
      </w:pPr>
      <w:r>
        <w:rPr>
          <w:rFonts w:ascii="Times New Roman" w:hAnsi="Times New Roman" w:eastAsia="黑体"/>
          <w:b/>
          <w:color w:val="003366"/>
          <w:sz w:val="24"/>
        </w:rPr>
        <w:t>A.5.1 测试样本与评分基准</w:t>
      </w:r>
    </w:p>
    <w:tbl>
      <w:tblPr>
        <w:tblStyle w:val="43"/>
        <w:tblW w:w="5000" w:type="pct"/>
        <w:tblInd w:w="0" w:type="dxa"/>
        <w:tblLayout w:type="fixed"/>
        <w:tblCellMar>
          <w:top w:w="0" w:type="dxa"/>
          <w:left w:w="108" w:type="dxa"/>
          <w:bottom w:w="0" w:type="dxa"/>
          <w:right w:w="108" w:type="dxa"/>
        </w:tblCellMar>
      </w:tblPr>
      <w:tblGrid>
        <w:gridCol w:w="1327"/>
        <w:gridCol w:w="1327"/>
        <w:gridCol w:w="1327"/>
        <w:gridCol w:w="1327"/>
        <w:gridCol w:w="1327"/>
        <w:gridCol w:w="1327"/>
        <w:gridCol w:w="1327"/>
      </w:tblGrid>
      <w:tr w14:paraId="23B766EF">
        <w:tblPrEx>
          <w:tblCellMar>
            <w:top w:w="0" w:type="dxa"/>
            <w:left w:w="108" w:type="dxa"/>
            <w:bottom w:w="0" w:type="dxa"/>
            <w:right w:w="108" w:type="dxa"/>
          </w:tblCellMar>
        </w:tblPrEx>
        <w:tc>
          <w:tcPr>
            <w:tcW w:w="714" w:type="pct"/>
          </w:tcPr>
          <w:p w14:paraId="7F4A2BCC">
            <w:pPr>
              <w:pStyle w:val="26"/>
              <w:spacing w:before="20" w:after="20" w:line="276" w:lineRule="auto"/>
            </w:pPr>
            <w:r>
              <w:rPr>
                <w:rFonts w:hint="eastAsia" w:ascii="Times New Roman" w:hAnsi="Times New Roman" w:eastAsia="宋体"/>
                <w:b/>
                <w:bCs/>
                <w:sz w:val="20"/>
              </w:rPr>
              <w:t>公司</w:t>
            </w:r>
          </w:p>
        </w:tc>
        <w:tc>
          <w:tcPr>
            <w:tcW w:w="714" w:type="pct"/>
          </w:tcPr>
          <w:p w14:paraId="4E74FA34">
            <w:pPr>
              <w:pStyle w:val="26"/>
              <w:spacing w:before="20" w:after="20" w:line="276" w:lineRule="auto"/>
            </w:pPr>
            <w:r>
              <w:rPr>
                <w:rFonts w:hint="eastAsia" w:ascii="Times New Roman" w:hAnsi="Times New Roman" w:eastAsia="宋体"/>
                <w:b/>
                <w:bCs/>
                <w:sz w:val="20"/>
              </w:rPr>
              <w:t>财年</w:t>
            </w:r>
          </w:p>
        </w:tc>
        <w:tc>
          <w:tcPr>
            <w:tcW w:w="714" w:type="pct"/>
          </w:tcPr>
          <w:p w14:paraId="36FED0DB">
            <w:pPr>
              <w:pStyle w:val="26"/>
              <w:spacing w:before="20" w:after="20" w:line="276" w:lineRule="auto"/>
            </w:pPr>
            <w:r>
              <w:rPr>
                <w:rFonts w:hint="eastAsia" w:ascii="Times New Roman" w:hAnsi="Times New Roman" w:eastAsia="宋体"/>
                <w:b/>
                <w:bCs/>
                <w:sz w:val="20"/>
              </w:rPr>
              <w:t>D1</w:t>
            </w:r>
          </w:p>
        </w:tc>
        <w:tc>
          <w:tcPr>
            <w:tcW w:w="714" w:type="pct"/>
          </w:tcPr>
          <w:p w14:paraId="29DF733D">
            <w:pPr>
              <w:pStyle w:val="26"/>
              <w:spacing w:before="20" w:after="20" w:line="276" w:lineRule="auto"/>
            </w:pPr>
            <w:r>
              <w:rPr>
                <w:rFonts w:hint="eastAsia" w:ascii="Times New Roman" w:hAnsi="Times New Roman" w:eastAsia="宋体"/>
                <w:b/>
                <w:bCs/>
                <w:sz w:val="20"/>
              </w:rPr>
              <w:t>D2</w:t>
            </w:r>
          </w:p>
        </w:tc>
        <w:tc>
          <w:tcPr>
            <w:tcW w:w="714" w:type="pct"/>
          </w:tcPr>
          <w:p w14:paraId="4734451C">
            <w:pPr>
              <w:pStyle w:val="26"/>
              <w:spacing w:before="20" w:after="20" w:line="276" w:lineRule="auto"/>
            </w:pPr>
            <w:r>
              <w:rPr>
                <w:rFonts w:hint="eastAsia" w:ascii="Times New Roman" w:hAnsi="Times New Roman" w:eastAsia="宋体"/>
                <w:b/>
                <w:bCs/>
                <w:sz w:val="20"/>
              </w:rPr>
              <w:t>D3</w:t>
            </w:r>
          </w:p>
        </w:tc>
        <w:tc>
          <w:tcPr>
            <w:tcW w:w="714" w:type="pct"/>
          </w:tcPr>
          <w:p w14:paraId="7C476259">
            <w:pPr>
              <w:pStyle w:val="26"/>
              <w:spacing w:before="20" w:after="20" w:line="276" w:lineRule="auto"/>
            </w:pPr>
            <w:r>
              <w:rPr>
                <w:rFonts w:hint="eastAsia" w:ascii="Times New Roman" w:hAnsi="Times New Roman" w:eastAsia="宋体"/>
                <w:b/>
                <w:bCs/>
                <w:sz w:val="20"/>
              </w:rPr>
              <w:t>D4</w:t>
            </w:r>
          </w:p>
        </w:tc>
        <w:tc>
          <w:tcPr>
            <w:tcW w:w="714" w:type="pct"/>
          </w:tcPr>
          <w:p w14:paraId="4D6F9259">
            <w:pPr>
              <w:pStyle w:val="26"/>
              <w:spacing w:before="20" w:after="20" w:line="276" w:lineRule="auto"/>
            </w:pPr>
            <w:r>
              <w:rPr>
                <w:rFonts w:hint="eastAsia" w:ascii="Times New Roman" w:hAnsi="Times New Roman" w:eastAsia="宋体"/>
                <w:b/>
                <w:bCs/>
                <w:sz w:val="20"/>
              </w:rPr>
              <w:t>综合分</w:t>
            </w:r>
          </w:p>
        </w:tc>
      </w:tr>
      <w:tr w14:paraId="75712579">
        <w:tblPrEx>
          <w:tblCellMar>
            <w:top w:w="0" w:type="dxa"/>
            <w:left w:w="108" w:type="dxa"/>
            <w:bottom w:w="0" w:type="dxa"/>
            <w:right w:w="108" w:type="dxa"/>
          </w:tblCellMar>
        </w:tblPrEx>
        <w:tc>
          <w:tcPr>
            <w:tcW w:w="714" w:type="pct"/>
          </w:tcPr>
          <w:p w14:paraId="63C11ED8">
            <w:pPr>
              <w:pStyle w:val="26"/>
              <w:spacing w:before="20" w:after="20" w:line="276" w:lineRule="auto"/>
            </w:pPr>
            <w:r>
              <w:rPr>
                <w:rFonts w:ascii="Times New Roman" w:hAnsi="Times New Roman" w:eastAsia="宋体"/>
                <w:sz w:val="20"/>
              </w:rPr>
              <w:t>META</w:t>
            </w:r>
          </w:p>
        </w:tc>
        <w:tc>
          <w:tcPr>
            <w:tcW w:w="714" w:type="pct"/>
          </w:tcPr>
          <w:p w14:paraId="647132AD">
            <w:pPr>
              <w:pStyle w:val="26"/>
              <w:spacing w:before="20" w:after="20" w:line="276" w:lineRule="auto"/>
            </w:pPr>
            <w:r>
              <w:rPr>
                <w:rFonts w:ascii="Times New Roman" w:hAnsi="Times New Roman" w:eastAsia="宋体"/>
                <w:sz w:val="20"/>
              </w:rPr>
              <w:t>2024</w:t>
            </w:r>
          </w:p>
        </w:tc>
        <w:tc>
          <w:tcPr>
            <w:tcW w:w="714" w:type="pct"/>
          </w:tcPr>
          <w:p w14:paraId="12C99402">
            <w:pPr>
              <w:pStyle w:val="26"/>
              <w:spacing w:before="20" w:after="20" w:line="276" w:lineRule="auto"/>
            </w:pPr>
            <w:r>
              <w:rPr>
                <w:rFonts w:ascii="Times New Roman" w:hAnsi="Times New Roman" w:eastAsia="宋体"/>
                <w:sz w:val="20"/>
              </w:rPr>
              <w:t>5</w:t>
            </w:r>
          </w:p>
        </w:tc>
        <w:tc>
          <w:tcPr>
            <w:tcW w:w="714" w:type="pct"/>
          </w:tcPr>
          <w:p w14:paraId="7DEA0544">
            <w:pPr>
              <w:pStyle w:val="26"/>
              <w:spacing w:before="20" w:after="20" w:line="276" w:lineRule="auto"/>
            </w:pPr>
            <w:r>
              <w:rPr>
                <w:rFonts w:ascii="Times New Roman" w:hAnsi="Times New Roman" w:eastAsia="宋体"/>
                <w:sz w:val="20"/>
              </w:rPr>
              <w:t>5</w:t>
            </w:r>
          </w:p>
        </w:tc>
        <w:tc>
          <w:tcPr>
            <w:tcW w:w="714" w:type="pct"/>
          </w:tcPr>
          <w:p w14:paraId="397781CD">
            <w:pPr>
              <w:pStyle w:val="26"/>
              <w:spacing w:before="20" w:after="20" w:line="276" w:lineRule="auto"/>
            </w:pPr>
            <w:r>
              <w:rPr>
                <w:rFonts w:ascii="Times New Roman" w:hAnsi="Times New Roman" w:eastAsia="宋体"/>
                <w:sz w:val="20"/>
              </w:rPr>
              <w:t>3</w:t>
            </w:r>
          </w:p>
        </w:tc>
        <w:tc>
          <w:tcPr>
            <w:tcW w:w="714" w:type="pct"/>
          </w:tcPr>
          <w:p w14:paraId="5EAC2A3B">
            <w:pPr>
              <w:pStyle w:val="26"/>
              <w:spacing w:before="20" w:after="20" w:line="276" w:lineRule="auto"/>
            </w:pPr>
            <w:r>
              <w:rPr>
                <w:rFonts w:ascii="Times New Roman" w:hAnsi="Times New Roman" w:eastAsia="宋体"/>
                <w:sz w:val="20"/>
              </w:rPr>
              <w:t>5</w:t>
            </w:r>
          </w:p>
        </w:tc>
        <w:tc>
          <w:tcPr>
            <w:tcW w:w="714" w:type="pct"/>
          </w:tcPr>
          <w:p w14:paraId="2A060C80">
            <w:pPr>
              <w:pStyle w:val="26"/>
              <w:spacing w:before="20" w:after="20" w:line="276" w:lineRule="auto"/>
            </w:pPr>
            <w:r>
              <w:rPr>
                <w:rFonts w:ascii="Times New Roman" w:hAnsi="Times New Roman" w:eastAsia="宋体"/>
                <w:sz w:val="20"/>
              </w:rPr>
              <w:t>4.60</w:t>
            </w:r>
          </w:p>
        </w:tc>
      </w:tr>
      <w:tr w14:paraId="59409B34">
        <w:tblPrEx>
          <w:tblCellMar>
            <w:top w:w="0" w:type="dxa"/>
            <w:left w:w="108" w:type="dxa"/>
            <w:bottom w:w="0" w:type="dxa"/>
            <w:right w:w="108" w:type="dxa"/>
          </w:tblCellMar>
        </w:tblPrEx>
        <w:tc>
          <w:tcPr>
            <w:tcW w:w="714" w:type="pct"/>
          </w:tcPr>
          <w:p w14:paraId="563FADDA">
            <w:pPr>
              <w:pStyle w:val="26"/>
              <w:spacing w:before="20" w:after="20" w:line="276" w:lineRule="auto"/>
            </w:pPr>
            <w:r>
              <w:rPr>
                <w:rFonts w:ascii="Times New Roman" w:hAnsi="Times New Roman" w:eastAsia="宋体"/>
                <w:sz w:val="20"/>
              </w:rPr>
              <w:t>MSFT</w:t>
            </w:r>
          </w:p>
        </w:tc>
        <w:tc>
          <w:tcPr>
            <w:tcW w:w="714" w:type="pct"/>
          </w:tcPr>
          <w:p w14:paraId="4342CE07">
            <w:pPr>
              <w:pStyle w:val="26"/>
              <w:spacing w:before="20" w:after="20" w:line="276" w:lineRule="auto"/>
            </w:pPr>
            <w:r>
              <w:rPr>
                <w:rFonts w:ascii="Times New Roman" w:hAnsi="Times New Roman" w:eastAsia="宋体"/>
                <w:sz w:val="20"/>
              </w:rPr>
              <w:t>FY2025</w:t>
            </w:r>
          </w:p>
        </w:tc>
        <w:tc>
          <w:tcPr>
            <w:tcW w:w="714" w:type="pct"/>
          </w:tcPr>
          <w:p w14:paraId="43BD0B6D">
            <w:pPr>
              <w:pStyle w:val="26"/>
              <w:spacing w:before="20" w:after="20" w:line="276" w:lineRule="auto"/>
            </w:pPr>
            <w:r>
              <w:rPr>
                <w:rFonts w:ascii="Times New Roman" w:hAnsi="Times New Roman" w:eastAsia="宋体"/>
                <w:sz w:val="20"/>
              </w:rPr>
              <w:t>5</w:t>
            </w:r>
          </w:p>
        </w:tc>
        <w:tc>
          <w:tcPr>
            <w:tcW w:w="714" w:type="pct"/>
          </w:tcPr>
          <w:p w14:paraId="620418F1">
            <w:pPr>
              <w:pStyle w:val="26"/>
              <w:spacing w:before="20" w:after="20" w:line="276" w:lineRule="auto"/>
            </w:pPr>
            <w:r>
              <w:rPr>
                <w:rFonts w:ascii="Times New Roman" w:hAnsi="Times New Roman" w:eastAsia="宋体"/>
                <w:sz w:val="20"/>
              </w:rPr>
              <w:t>4</w:t>
            </w:r>
          </w:p>
        </w:tc>
        <w:tc>
          <w:tcPr>
            <w:tcW w:w="714" w:type="pct"/>
          </w:tcPr>
          <w:p w14:paraId="2E602F17">
            <w:pPr>
              <w:pStyle w:val="26"/>
              <w:spacing w:before="20" w:after="20" w:line="276" w:lineRule="auto"/>
            </w:pPr>
            <w:r>
              <w:rPr>
                <w:rFonts w:ascii="Times New Roman" w:hAnsi="Times New Roman" w:eastAsia="宋体"/>
                <w:sz w:val="20"/>
              </w:rPr>
              <w:t>3</w:t>
            </w:r>
          </w:p>
        </w:tc>
        <w:tc>
          <w:tcPr>
            <w:tcW w:w="714" w:type="pct"/>
          </w:tcPr>
          <w:p w14:paraId="028C0E2B">
            <w:pPr>
              <w:pStyle w:val="26"/>
              <w:spacing w:before="20" w:after="20" w:line="276" w:lineRule="auto"/>
            </w:pPr>
            <w:r>
              <w:rPr>
                <w:rFonts w:ascii="Times New Roman" w:hAnsi="Times New Roman" w:eastAsia="宋体"/>
                <w:sz w:val="20"/>
              </w:rPr>
              <w:t>5</w:t>
            </w:r>
          </w:p>
        </w:tc>
        <w:tc>
          <w:tcPr>
            <w:tcW w:w="714" w:type="pct"/>
          </w:tcPr>
          <w:p w14:paraId="3A4B3A84">
            <w:pPr>
              <w:pStyle w:val="26"/>
              <w:spacing w:before="20" w:after="20" w:line="276" w:lineRule="auto"/>
            </w:pPr>
            <w:r>
              <w:rPr>
                <w:rFonts w:ascii="Times New Roman" w:hAnsi="Times New Roman" w:eastAsia="宋体"/>
                <w:sz w:val="20"/>
              </w:rPr>
              <w:t>4.40</w:t>
            </w:r>
          </w:p>
        </w:tc>
      </w:tr>
      <w:tr w14:paraId="4C99A8A2">
        <w:tblPrEx>
          <w:tblCellMar>
            <w:top w:w="0" w:type="dxa"/>
            <w:left w:w="108" w:type="dxa"/>
            <w:bottom w:w="0" w:type="dxa"/>
            <w:right w:w="108" w:type="dxa"/>
          </w:tblCellMar>
        </w:tblPrEx>
        <w:tc>
          <w:tcPr>
            <w:tcW w:w="714" w:type="pct"/>
          </w:tcPr>
          <w:p w14:paraId="1F487316">
            <w:pPr>
              <w:pStyle w:val="26"/>
              <w:spacing w:before="20" w:after="20" w:line="276" w:lineRule="auto"/>
            </w:pPr>
            <w:r>
              <w:rPr>
                <w:rFonts w:ascii="Times New Roman" w:hAnsi="Times New Roman" w:eastAsia="宋体"/>
                <w:sz w:val="20"/>
              </w:rPr>
              <w:t>MU</w:t>
            </w:r>
          </w:p>
        </w:tc>
        <w:tc>
          <w:tcPr>
            <w:tcW w:w="714" w:type="pct"/>
          </w:tcPr>
          <w:p w14:paraId="52767D8A">
            <w:pPr>
              <w:pStyle w:val="26"/>
              <w:spacing w:before="20" w:after="20" w:line="276" w:lineRule="auto"/>
            </w:pPr>
            <w:r>
              <w:rPr>
                <w:rFonts w:ascii="Times New Roman" w:hAnsi="Times New Roman" w:eastAsia="宋体"/>
                <w:sz w:val="20"/>
              </w:rPr>
              <w:t>FY2024</w:t>
            </w:r>
          </w:p>
        </w:tc>
        <w:tc>
          <w:tcPr>
            <w:tcW w:w="714" w:type="pct"/>
          </w:tcPr>
          <w:p w14:paraId="2B2633C7">
            <w:pPr>
              <w:pStyle w:val="26"/>
              <w:spacing w:before="20" w:after="20" w:line="276" w:lineRule="auto"/>
            </w:pPr>
            <w:r>
              <w:rPr>
                <w:rFonts w:ascii="Times New Roman" w:hAnsi="Times New Roman" w:eastAsia="宋体"/>
                <w:sz w:val="20"/>
              </w:rPr>
              <w:t>4</w:t>
            </w:r>
          </w:p>
        </w:tc>
        <w:tc>
          <w:tcPr>
            <w:tcW w:w="714" w:type="pct"/>
          </w:tcPr>
          <w:p w14:paraId="7FA27537">
            <w:pPr>
              <w:pStyle w:val="26"/>
              <w:spacing w:before="20" w:after="20" w:line="276" w:lineRule="auto"/>
            </w:pPr>
            <w:r>
              <w:rPr>
                <w:rFonts w:ascii="Times New Roman" w:hAnsi="Times New Roman" w:eastAsia="宋体"/>
                <w:sz w:val="20"/>
              </w:rPr>
              <w:t>3</w:t>
            </w:r>
          </w:p>
        </w:tc>
        <w:tc>
          <w:tcPr>
            <w:tcW w:w="714" w:type="pct"/>
          </w:tcPr>
          <w:p w14:paraId="26EFED5F">
            <w:pPr>
              <w:pStyle w:val="26"/>
              <w:spacing w:before="20" w:after="20" w:line="276" w:lineRule="auto"/>
            </w:pPr>
            <w:r>
              <w:rPr>
                <w:rFonts w:ascii="Times New Roman" w:hAnsi="Times New Roman" w:eastAsia="宋体"/>
                <w:sz w:val="20"/>
              </w:rPr>
              <w:t>4</w:t>
            </w:r>
          </w:p>
        </w:tc>
        <w:tc>
          <w:tcPr>
            <w:tcW w:w="714" w:type="pct"/>
          </w:tcPr>
          <w:p w14:paraId="0BE0E79A">
            <w:pPr>
              <w:pStyle w:val="26"/>
              <w:spacing w:before="20" w:after="20" w:line="276" w:lineRule="auto"/>
            </w:pPr>
            <w:r>
              <w:rPr>
                <w:rFonts w:ascii="Times New Roman" w:hAnsi="Times New Roman" w:eastAsia="宋体"/>
                <w:sz w:val="20"/>
              </w:rPr>
              <w:t>5</w:t>
            </w:r>
          </w:p>
        </w:tc>
        <w:tc>
          <w:tcPr>
            <w:tcW w:w="714" w:type="pct"/>
          </w:tcPr>
          <w:p w14:paraId="65754A73">
            <w:pPr>
              <w:pStyle w:val="26"/>
              <w:spacing w:before="20" w:after="20" w:line="276" w:lineRule="auto"/>
            </w:pPr>
            <w:r>
              <w:rPr>
                <w:rFonts w:ascii="Times New Roman" w:hAnsi="Times New Roman" w:eastAsia="宋体"/>
                <w:sz w:val="20"/>
              </w:rPr>
              <w:t>4.00</w:t>
            </w:r>
          </w:p>
        </w:tc>
      </w:tr>
      <w:tr w14:paraId="61DFD56C">
        <w:tblPrEx>
          <w:tblCellMar>
            <w:top w:w="0" w:type="dxa"/>
            <w:left w:w="108" w:type="dxa"/>
            <w:bottom w:w="0" w:type="dxa"/>
            <w:right w:w="108" w:type="dxa"/>
          </w:tblCellMar>
        </w:tblPrEx>
        <w:tc>
          <w:tcPr>
            <w:tcW w:w="714" w:type="pct"/>
          </w:tcPr>
          <w:p w14:paraId="661766D0">
            <w:pPr>
              <w:pStyle w:val="26"/>
              <w:spacing w:before="20" w:after="20" w:line="276" w:lineRule="auto"/>
            </w:pPr>
            <w:r>
              <w:rPr>
                <w:rFonts w:ascii="Times New Roman" w:hAnsi="Times New Roman" w:eastAsia="宋体"/>
                <w:sz w:val="20"/>
              </w:rPr>
              <w:t>NVDA</w:t>
            </w:r>
          </w:p>
        </w:tc>
        <w:tc>
          <w:tcPr>
            <w:tcW w:w="714" w:type="pct"/>
          </w:tcPr>
          <w:p w14:paraId="277EE210">
            <w:pPr>
              <w:pStyle w:val="26"/>
              <w:spacing w:before="20" w:after="20" w:line="276" w:lineRule="auto"/>
            </w:pPr>
            <w:r>
              <w:rPr>
                <w:rFonts w:ascii="Times New Roman" w:hAnsi="Times New Roman" w:eastAsia="宋体"/>
                <w:sz w:val="20"/>
              </w:rPr>
              <w:t>FY2025</w:t>
            </w:r>
          </w:p>
        </w:tc>
        <w:tc>
          <w:tcPr>
            <w:tcW w:w="714" w:type="pct"/>
          </w:tcPr>
          <w:p w14:paraId="01921A86">
            <w:pPr>
              <w:pStyle w:val="26"/>
              <w:spacing w:before="20" w:after="20" w:line="276" w:lineRule="auto"/>
            </w:pPr>
            <w:r>
              <w:rPr>
                <w:rFonts w:ascii="Times New Roman" w:hAnsi="Times New Roman" w:eastAsia="宋体"/>
                <w:sz w:val="20"/>
              </w:rPr>
              <w:t>4</w:t>
            </w:r>
          </w:p>
        </w:tc>
        <w:tc>
          <w:tcPr>
            <w:tcW w:w="714" w:type="pct"/>
          </w:tcPr>
          <w:p w14:paraId="21A00014">
            <w:pPr>
              <w:pStyle w:val="26"/>
              <w:spacing w:before="20" w:after="20" w:line="276" w:lineRule="auto"/>
            </w:pPr>
            <w:r>
              <w:rPr>
                <w:rFonts w:ascii="Times New Roman" w:hAnsi="Times New Roman" w:eastAsia="宋体"/>
                <w:sz w:val="20"/>
              </w:rPr>
              <w:t>4</w:t>
            </w:r>
          </w:p>
        </w:tc>
        <w:tc>
          <w:tcPr>
            <w:tcW w:w="714" w:type="pct"/>
          </w:tcPr>
          <w:p w14:paraId="5B4777D1">
            <w:pPr>
              <w:pStyle w:val="26"/>
              <w:spacing w:before="20" w:after="20" w:line="276" w:lineRule="auto"/>
            </w:pPr>
            <w:r>
              <w:rPr>
                <w:rFonts w:ascii="Times New Roman" w:hAnsi="Times New Roman" w:eastAsia="宋体"/>
                <w:sz w:val="20"/>
              </w:rPr>
              <w:t>4</w:t>
            </w:r>
          </w:p>
        </w:tc>
        <w:tc>
          <w:tcPr>
            <w:tcW w:w="714" w:type="pct"/>
          </w:tcPr>
          <w:p w14:paraId="5410C29F">
            <w:pPr>
              <w:pStyle w:val="26"/>
              <w:spacing w:before="20" w:after="20" w:line="276" w:lineRule="auto"/>
            </w:pPr>
            <w:r>
              <w:rPr>
                <w:rFonts w:ascii="Times New Roman" w:hAnsi="Times New Roman" w:eastAsia="宋体"/>
                <w:sz w:val="20"/>
              </w:rPr>
              <w:t>2</w:t>
            </w:r>
          </w:p>
        </w:tc>
        <w:tc>
          <w:tcPr>
            <w:tcW w:w="714" w:type="pct"/>
          </w:tcPr>
          <w:p w14:paraId="5375AEAB">
            <w:pPr>
              <w:pStyle w:val="26"/>
              <w:spacing w:before="20" w:after="20" w:line="276" w:lineRule="auto"/>
            </w:pPr>
            <w:r>
              <w:rPr>
                <w:rFonts w:ascii="Times New Roman" w:hAnsi="Times New Roman" w:eastAsia="宋体"/>
                <w:sz w:val="20"/>
              </w:rPr>
              <w:t>3.45</w:t>
            </w:r>
          </w:p>
        </w:tc>
      </w:tr>
      <w:tr w14:paraId="67A8D2DC">
        <w:tblPrEx>
          <w:tblCellMar>
            <w:top w:w="0" w:type="dxa"/>
            <w:left w:w="108" w:type="dxa"/>
            <w:bottom w:w="0" w:type="dxa"/>
            <w:right w:w="108" w:type="dxa"/>
          </w:tblCellMar>
        </w:tblPrEx>
        <w:tc>
          <w:tcPr>
            <w:tcW w:w="714" w:type="pct"/>
          </w:tcPr>
          <w:p w14:paraId="38E18F0E">
            <w:pPr>
              <w:pStyle w:val="26"/>
              <w:spacing w:before="20" w:after="20" w:line="276" w:lineRule="auto"/>
            </w:pPr>
            <w:r>
              <w:rPr>
                <w:rFonts w:ascii="Times New Roman" w:hAnsi="Times New Roman" w:eastAsia="宋体"/>
                <w:sz w:val="20"/>
              </w:rPr>
              <w:t>ORCL</w:t>
            </w:r>
          </w:p>
        </w:tc>
        <w:tc>
          <w:tcPr>
            <w:tcW w:w="714" w:type="pct"/>
          </w:tcPr>
          <w:p w14:paraId="08678AE5">
            <w:pPr>
              <w:pStyle w:val="26"/>
              <w:spacing w:before="20" w:after="20" w:line="276" w:lineRule="auto"/>
            </w:pPr>
            <w:r>
              <w:rPr>
                <w:rFonts w:ascii="Times New Roman" w:hAnsi="Times New Roman" w:eastAsia="宋体"/>
                <w:sz w:val="20"/>
              </w:rPr>
              <w:t>FY2025</w:t>
            </w:r>
          </w:p>
        </w:tc>
        <w:tc>
          <w:tcPr>
            <w:tcW w:w="714" w:type="pct"/>
          </w:tcPr>
          <w:p w14:paraId="0A1D39B2">
            <w:pPr>
              <w:pStyle w:val="26"/>
              <w:spacing w:before="20" w:after="20" w:line="276" w:lineRule="auto"/>
            </w:pPr>
            <w:r>
              <w:rPr>
                <w:rFonts w:ascii="Times New Roman" w:hAnsi="Times New Roman" w:eastAsia="宋体"/>
                <w:sz w:val="20"/>
              </w:rPr>
              <w:t>5</w:t>
            </w:r>
          </w:p>
        </w:tc>
        <w:tc>
          <w:tcPr>
            <w:tcW w:w="714" w:type="pct"/>
          </w:tcPr>
          <w:p w14:paraId="5CC73BA1">
            <w:pPr>
              <w:pStyle w:val="26"/>
              <w:spacing w:before="20" w:after="20" w:line="276" w:lineRule="auto"/>
            </w:pPr>
            <w:r>
              <w:rPr>
                <w:rFonts w:ascii="Times New Roman" w:hAnsi="Times New Roman" w:eastAsia="宋体"/>
                <w:sz w:val="20"/>
              </w:rPr>
              <w:t>5</w:t>
            </w:r>
          </w:p>
        </w:tc>
        <w:tc>
          <w:tcPr>
            <w:tcW w:w="714" w:type="pct"/>
          </w:tcPr>
          <w:p w14:paraId="0B6E1004">
            <w:pPr>
              <w:pStyle w:val="26"/>
              <w:spacing w:before="20" w:after="20" w:line="276" w:lineRule="auto"/>
            </w:pPr>
            <w:r>
              <w:rPr>
                <w:rFonts w:ascii="Times New Roman" w:hAnsi="Times New Roman" w:eastAsia="宋体"/>
                <w:sz w:val="20"/>
              </w:rPr>
              <w:t>3</w:t>
            </w:r>
          </w:p>
        </w:tc>
        <w:tc>
          <w:tcPr>
            <w:tcW w:w="714" w:type="pct"/>
          </w:tcPr>
          <w:p w14:paraId="6CC5404B">
            <w:pPr>
              <w:pStyle w:val="26"/>
              <w:spacing w:before="20" w:after="20" w:line="276" w:lineRule="auto"/>
            </w:pPr>
            <w:r>
              <w:rPr>
                <w:rFonts w:ascii="Times New Roman" w:hAnsi="Times New Roman" w:eastAsia="宋体"/>
                <w:sz w:val="20"/>
              </w:rPr>
              <w:t>5</w:t>
            </w:r>
          </w:p>
        </w:tc>
        <w:tc>
          <w:tcPr>
            <w:tcW w:w="714" w:type="pct"/>
          </w:tcPr>
          <w:p w14:paraId="655C8871">
            <w:pPr>
              <w:pStyle w:val="26"/>
              <w:spacing w:before="20" w:after="20" w:line="276" w:lineRule="auto"/>
            </w:pPr>
            <w:r>
              <w:rPr>
                <w:rFonts w:ascii="Times New Roman" w:hAnsi="Times New Roman" w:eastAsia="宋体"/>
                <w:sz w:val="20"/>
              </w:rPr>
              <w:t>4.45</w:t>
            </w:r>
          </w:p>
        </w:tc>
      </w:tr>
    </w:tbl>
    <w:p w14:paraId="61384ABA">
      <w:pPr>
        <w:pStyle w:val="3"/>
        <w:spacing w:before="40" w:after="40" w:line="360" w:lineRule="auto"/>
        <w:ind w:firstLine="480"/>
      </w:pPr>
      <w:r>
        <w:rPr>
          <w:rFonts w:hint="eastAsia" w:ascii="Times New Roman" w:hAnsi="Times New Roman" w:eastAsia="宋体"/>
          <w:sz w:val="24"/>
        </w:rPr>
        <w:t>注：上表为人工复核 confirmed 评分，作为 AI 评分优化的基准锚。</w:t>
      </w:r>
    </w:p>
    <w:p w14:paraId="423A4A10">
      <w:pPr>
        <w:pStyle w:val="5"/>
        <w:spacing w:before="240" w:after="120" w:line="360" w:lineRule="auto"/>
      </w:pPr>
      <w:r>
        <w:rPr>
          <w:rFonts w:ascii="Times New Roman" w:hAnsi="Times New Roman" w:eastAsia="黑体"/>
          <w:b/>
          <w:color w:val="003366"/>
          <w:sz w:val="24"/>
        </w:rPr>
        <w:t>A.5.2 差距来源分析</w:t>
      </w:r>
    </w:p>
    <w:p w14:paraId="1FED6257">
      <w:pPr>
        <w:pStyle w:val="6"/>
        <w:spacing w:before="240" w:after="120" w:line="360" w:lineRule="auto"/>
        <w:rPr>
          <w:b w:val="0"/>
          <w:bCs/>
          <w:i w:val="0"/>
          <w:iCs w:val="0"/>
        </w:rPr>
      </w:pPr>
      <w:r>
        <w:rPr>
          <w:rFonts w:ascii="Times New Roman" w:hAnsi="Times New Roman" w:eastAsia="黑体"/>
          <w:b w:val="0"/>
          <w:bCs/>
          <w:i w:val="0"/>
          <w:iCs w:val="0"/>
          <w:color w:val="003366"/>
          <w:sz w:val="24"/>
        </w:rPr>
        <w:t>差距一：候选段落数量不足（决定性）</w:t>
      </w:r>
    </w:p>
    <w:p w14:paraId="5E866BE9">
      <w:pPr>
        <w:pStyle w:val="3"/>
        <w:spacing w:before="40" w:after="40" w:line="360" w:lineRule="auto"/>
        <w:ind w:firstLine="480"/>
      </w:pPr>
      <w:r>
        <w:rPr>
          <w:rFonts w:hint="eastAsia" w:ascii="Times New Roman" w:hAnsi="Times New Roman" w:eastAsia="宋体"/>
          <w:sz w:val="24"/>
        </w:rPr>
        <w:t>初版关键词矩阵仅提取 9-17 个候选段落，而 10-K 原文达 200-800 万字，AI 实际可见内容不足 0.1%，大量关键信息（财务表格、技术迭代表述、租赁承诺）被遗漏。五级检索体系将候选段落提升至 35-72 个（3-7 倍增长）。</w:t>
      </w:r>
    </w:p>
    <w:p w14:paraId="53733837">
      <w:pPr>
        <w:pStyle w:val="6"/>
        <w:spacing w:before="240" w:after="120" w:line="360" w:lineRule="auto"/>
        <w:rPr>
          <w:b w:val="0"/>
          <w:bCs/>
          <w:i w:val="0"/>
          <w:iCs w:val="0"/>
        </w:rPr>
      </w:pPr>
      <w:r>
        <w:rPr>
          <w:rFonts w:ascii="Times New Roman" w:hAnsi="Times New Roman" w:eastAsia="黑体"/>
          <w:b w:val="0"/>
          <w:bCs/>
          <w:i w:val="0"/>
          <w:iCs w:val="0"/>
          <w:color w:val="003366"/>
          <w:sz w:val="24"/>
        </w:rPr>
        <w:t>差距二：关键词覆盖不足</w:t>
      </w:r>
    </w:p>
    <w:p w14:paraId="58C11B4A">
      <w:pPr>
        <w:pStyle w:val="3"/>
        <w:spacing w:before="40" w:after="40" w:line="360" w:lineRule="auto"/>
        <w:ind w:firstLine="480"/>
      </w:pPr>
      <w:r>
        <w:rPr>
          <w:rFonts w:hint="eastAsia" w:ascii="Times New Roman" w:hAnsi="Times New Roman" w:eastAsia="宋体"/>
          <w:sz w:val="24"/>
        </w:rPr>
        <w:t>六词矩阵遗漏具体年限数字、CAPEX/Revenue 比率、技术迭代节奏（“each year”）、租赁承诺金额、减值测试政策等关键语义场。优化后新增 24 个扩展词、9 条正则模式与 12 条 MUST_INCLUDE 指纹予以覆盖。</w:t>
      </w:r>
    </w:p>
    <w:p w14:paraId="1E50E9DA">
      <w:pPr>
        <w:pStyle w:val="6"/>
        <w:spacing w:before="240" w:after="120" w:line="360" w:lineRule="auto"/>
        <w:rPr>
          <w:b w:val="0"/>
          <w:bCs/>
          <w:i w:val="0"/>
          <w:iCs w:val="0"/>
        </w:rPr>
      </w:pPr>
      <w:r>
        <w:rPr>
          <w:rFonts w:ascii="Times New Roman" w:hAnsi="Times New Roman" w:eastAsia="黑体"/>
          <w:b w:val="0"/>
          <w:bCs/>
          <w:i w:val="0"/>
          <w:iCs w:val="0"/>
          <w:color w:val="003366"/>
          <w:sz w:val="24"/>
        </w:rPr>
        <w:t>差距三：AI 缺乏评分锚点指导</w:t>
      </w:r>
    </w:p>
    <w:p w14:paraId="70E41569">
      <w:pPr>
        <w:pStyle w:val="3"/>
        <w:spacing w:before="40" w:after="40" w:line="360" w:lineRule="auto"/>
        <w:ind w:firstLine="480"/>
      </w:pPr>
      <w:r>
        <w:rPr>
          <w:rFonts w:hint="eastAsia" w:ascii="Times New Roman" w:hAnsi="Times New Roman" w:eastAsia="宋体"/>
          <w:sz w:val="24"/>
        </w:rPr>
        <w:t>初版提示词仅提供简略锚点，AI 只能凭“感觉”给分。细化后的锚点表明确了“≥6 年→5 分”“三年内两次延长→5 分”等可操作规则，使 AI 评分具备与人工一致的标准（见 3.4.2）。</w:t>
      </w:r>
    </w:p>
    <w:p w14:paraId="63EFFECA">
      <w:pPr>
        <w:pStyle w:val="6"/>
        <w:spacing w:before="240" w:after="120" w:line="360" w:lineRule="auto"/>
        <w:rPr>
          <w:b w:val="0"/>
          <w:bCs/>
          <w:i w:val="0"/>
          <w:iCs w:val="0"/>
        </w:rPr>
      </w:pPr>
      <w:r>
        <w:rPr>
          <w:rFonts w:ascii="Times New Roman" w:hAnsi="Times New Roman" w:eastAsia="黑体"/>
          <w:b w:val="0"/>
          <w:bCs/>
          <w:i w:val="0"/>
          <w:iCs w:val="0"/>
          <w:color w:val="003366"/>
          <w:sz w:val="24"/>
        </w:rPr>
        <w:t>差距四：规则引擎提取逻辑不够精准</w:t>
      </w:r>
    </w:p>
    <w:p w14:paraId="477DF764">
      <w:pPr>
        <w:pStyle w:val="3"/>
        <w:spacing w:before="40" w:after="40" w:line="360" w:lineRule="auto"/>
        <w:ind w:firstLine="480"/>
      </w:pPr>
      <w:r>
        <w:rPr>
          <w:rFonts w:hint="eastAsia" w:ascii="Times New Roman" w:hAnsi="Times New Roman" w:eastAsia="宋体"/>
          <w:sz w:val="24"/>
        </w:rPr>
        <w:t>初版规则引擎对年限范围取“中点”（2-7 年取 4.5 年），但公司实际按最长年限计提折旧；优化后改为取上限（2-7 年按 7 年评估）。初版亦无法识别“三年内多次延长”模式，优化后增加变更幅度感知与多次延长规则。</w:t>
      </w:r>
    </w:p>
    <w:p w14:paraId="6BF2E923">
      <w:pPr>
        <w:pStyle w:val="6"/>
        <w:spacing w:before="240" w:after="120" w:line="360" w:lineRule="auto"/>
        <w:rPr>
          <w:b w:val="0"/>
          <w:bCs/>
          <w:i w:val="0"/>
          <w:iCs w:val="0"/>
        </w:rPr>
      </w:pPr>
      <w:r>
        <w:rPr>
          <w:rFonts w:ascii="Times New Roman" w:hAnsi="Times New Roman" w:eastAsia="黑体"/>
          <w:b w:val="0"/>
          <w:bCs/>
          <w:i w:val="0"/>
          <w:iCs w:val="0"/>
          <w:color w:val="003366"/>
          <w:sz w:val="24"/>
        </w:rPr>
        <w:t>差距五：缺乏跨年对比与结构化提取</w:t>
      </w:r>
    </w:p>
    <w:p w14:paraId="3960C40A">
      <w:pPr>
        <w:pStyle w:val="3"/>
        <w:spacing w:before="40" w:after="40" w:line="360" w:lineRule="auto"/>
        <w:ind w:firstLine="480"/>
      </w:pPr>
      <w:r>
        <w:rPr>
          <w:rFonts w:hint="eastAsia" w:ascii="Times New Roman" w:hAnsi="Times New Roman" w:eastAsia="宋体"/>
          <w:sz w:val="24"/>
        </w:rPr>
        <w:t>单年分析无法完成跨年对比（如 META 2022 年 4 年→2023 年 5 年→2024 年 5.5 年的连续延长轨迹）。结构化章节提取强制获取 Note 1/6、Item 1A/7 等关键章节全文，使 AI 能够看到完整政策描述与跨年趋势。</w:t>
      </w:r>
    </w:p>
    <w:p w14:paraId="0CD2ECD1">
      <w:pPr>
        <w:pStyle w:val="5"/>
        <w:spacing w:before="240" w:after="120" w:line="360" w:lineRule="auto"/>
      </w:pPr>
      <w:r>
        <w:rPr>
          <w:rFonts w:ascii="Times New Roman" w:hAnsi="Times New Roman" w:eastAsia="黑体"/>
          <w:b/>
          <w:color w:val="003366"/>
          <w:sz w:val="24"/>
        </w:rPr>
        <w:t>A.5.3 优化效果验证</w:t>
      </w:r>
    </w:p>
    <w:p w14:paraId="765A229F">
      <w:pPr>
        <w:pStyle w:val="3"/>
        <w:spacing w:before="40" w:after="40" w:line="360" w:lineRule="auto"/>
        <w:ind w:firstLine="480"/>
      </w:pPr>
      <w:r>
        <w:rPr>
          <w:rFonts w:hint="eastAsia" w:ascii="Times New Roman" w:hAnsi="Times New Roman" w:eastAsia="宋体"/>
          <w:sz w:val="24"/>
        </w:rPr>
        <w:t>五级检索体系的候选段落数量验证（5 家测试样本）：META 2024 由 9 个提升至 60 个（6.7 倍）；MSFT FY2025 由 12 个至 35 个（2.9 倍）；MU FY2024 由 17 个至 72 个（4.2 倍）；NVDA FY2025 由 10 个至 67 个（6.7 倍）；ORCL FY2025 由 10 个至 51 个（5.1 倍）。覆盖率提升为 AI 评分逼近人工评分提供了必要条件；端到端 AI 评分复测正在推进，最新结果将在答辩演示中现场展示。</w:t>
      </w:r>
    </w:p>
    <w:p w14:paraId="3AFEFB7A">
      <w:pPr>
        <w:pStyle w:val="2"/>
        <w:pageBreakBefore/>
        <w:spacing w:before="360" w:after="240" w:line="360" w:lineRule="auto"/>
        <w:jc w:val="center"/>
      </w:pPr>
      <w:bookmarkStart w:id="178" w:name="_Toc3676"/>
      <w:bookmarkStart w:id="179" w:name="附录-b-证据链标注样例"/>
      <w:r>
        <w:rPr>
          <w:rFonts w:hint="eastAsia" w:ascii="Times New Roman" w:hAnsi="Times New Roman" w:eastAsia="黑体"/>
          <w:b/>
          <w:color w:val="000000"/>
          <w:sz w:val="32"/>
        </w:rPr>
        <w:t>附录</w:t>
      </w:r>
      <w:r>
        <w:rPr>
          <w:rFonts w:ascii="Times New Roman" w:hAnsi="Times New Roman" w:eastAsia="黑体"/>
          <w:b/>
          <w:color w:val="000000"/>
          <w:sz w:val="32"/>
        </w:rPr>
        <w:t xml:space="preserve"> B </w:t>
      </w:r>
      <w:r>
        <w:rPr>
          <w:rFonts w:hint="eastAsia" w:ascii="Times New Roman" w:hAnsi="Times New Roman" w:eastAsia="黑体"/>
          <w:b/>
          <w:color w:val="000000"/>
          <w:sz w:val="32"/>
        </w:rPr>
        <w:t>证据链标注样例</w:t>
      </w:r>
      <w:bookmarkEnd w:id="178"/>
    </w:p>
    <w:p w14:paraId="37BCEA82">
      <w:pPr>
        <w:pStyle w:val="25"/>
        <w:spacing w:before="40" w:after="40" w:line="360" w:lineRule="auto"/>
        <w:ind w:firstLine="480"/>
      </w:pPr>
      <w:r>
        <w:rPr>
          <w:rFonts w:hint="eastAsia" w:ascii="Times New Roman" w:hAnsi="Times New Roman" w:eastAsia="宋体"/>
          <w:sz w:val="24"/>
        </w:rPr>
        <w:t>样例一：ORCL-FY2024-SIG-001（severity:</w:t>
      </w:r>
      <w:r>
        <w:rPr>
          <w:rFonts w:ascii="Times New Roman" w:hAnsi="Times New Roman" w:eastAsia="宋体"/>
          <w:sz w:val="24"/>
        </w:rPr>
        <w:t xml:space="preserve"> </w:t>
      </w:r>
      <w:r>
        <w:rPr>
          <w:rFonts w:hint="eastAsia" w:ascii="Times New Roman" w:hAnsi="Times New Roman" w:eastAsia="宋体"/>
          <w:sz w:val="24"/>
        </w:rPr>
        <w:t>critical）</w:t>
      </w:r>
    </w:p>
    <w:tbl>
      <w:tblPr>
        <w:tblStyle w:val="43"/>
        <w:tblW w:w="5000" w:type="pct"/>
        <w:tblInd w:w="0" w:type="dxa"/>
        <w:tblLayout w:type="fixed"/>
        <w:tblCellMar>
          <w:top w:w="0" w:type="dxa"/>
          <w:left w:w="108" w:type="dxa"/>
          <w:bottom w:w="0" w:type="dxa"/>
          <w:right w:w="108" w:type="dxa"/>
        </w:tblCellMar>
      </w:tblPr>
      <w:tblGrid>
        <w:gridCol w:w="4644"/>
        <w:gridCol w:w="4644"/>
      </w:tblGrid>
      <w:tr w14:paraId="2FE6D4B6">
        <w:tblPrEx>
          <w:tblCellMar>
            <w:top w:w="0" w:type="dxa"/>
            <w:left w:w="108" w:type="dxa"/>
            <w:bottom w:w="0" w:type="dxa"/>
            <w:right w:w="108" w:type="dxa"/>
          </w:tblCellMar>
        </w:tblPrEx>
        <w:trPr>
          <w:cantSplit/>
          <w:tblHeader/>
        </w:trPr>
        <w:tc>
          <w:p w14:paraId="2B194862">
            <w:pPr>
              <w:pStyle w:val="26"/>
              <w:spacing w:before="20" w:after="20" w:line="276" w:lineRule="auto"/>
            </w:pPr>
            <w:r>
              <w:rPr>
                <w:rFonts w:hint="eastAsia" w:ascii="Times New Roman" w:hAnsi="Times New Roman" w:eastAsia="宋体"/>
                <w:b/>
                <w:bCs/>
                <w:sz w:val="20"/>
              </w:rPr>
              <w:t>项目</w:t>
            </w:r>
          </w:p>
        </w:tc>
        <w:tc>
          <w:p w14:paraId="6719ECE4">
            <w:pPr>
              <w:pStyle w:val="26"/>
              <w:spacing w:before="20" w:after="20" w:line="276" w:lineRule="auto"/>
            </w:pPr>
            <w:r>
              <w:rPr>
                <w:rFonts w:hint="eastAsia" w:ascii="Times New Roman" w:hAnsi="Times New Roman" w:eastAsia="宋体"/>
                <w:b/>
                <w:bCs/>
                <w:sz w:val="20"/>
              </w:rPr>
              <w:t>内容</w:t>
            </w:r>
          </w:p>
        </w:tc>
      </w:tr>
      <w:tr w14:paraId="25572F8D">
        <w:tblPrEx>
          <w:tblCellMar>
            <w:top w:w="0" w:type="dxa"/>
            <w:left w:w="108" w:type="dxa"/>
            <w:bottom w:w="0" w:type="dxa"/>
            <w:right w:w="108" w:type="dxa"/>
          </w:tblCellMar>
        </w:tblPrEx>
        <w:trPr>
          <w:cantSplit/>
        </w:trPr>
        <w:tc>
          <w:p w14:paraId="7A1F5892">
            <w:pPr>
              <w:pStyle w:val="26"/>
              <w:spacing w:before="20" w:after="20" w:line="276" w:lineRule="auto"/>
            </w:pPr>
            <w:r>
              <w:rPr>
                <w:rFonts w:hint="eastAsia" w:ascii="Times New Roman" w:hAnsi="Times New Roman" w:eastAsia="宋体"/>
                <w:sz w:val="20"/>
              </w:rPr>
              <w:t>来源</w:t>
            </w:r>
          </w:p>
        </w:tc>
        <w:tc>
          <w:p w14:paraId="09F65F0F">
            <w:pPr>
              <w:pStyle w:val="26"/>
              <w:spacing w:before="20" w:after="20" w:line="276" w:lineRule="auto"/>
            </w:pPr>
            <w:r>
              <w:rPr>
                <w:rFonts w:ascii="Times New Roman" w:hAnsi="Times New Roman" w:eastAsia="宋体"/>
                <w:sz w:val="20"/>
              </w:rPr>
              <w:t>Notes to Consolidated Financial Statements - Note 1. Organization and Significant Accounting Policies</w:t>
            </w:r>
          </w:p>
        </w:tc>
      </w:tr>
      <w:tr w14:paraId="34BEBF17">
        <w:tblPrEx>
          <w:tblCellMar>
            <w:top w:w="0" w:type="dxa"/>
            <w:left w:w="108" w:type="dxa"/>
            <w:bottom w:w="0" w:type="dxa"/>
            <w:right w:w="108" w:type="dxa"/>
          </w:tblCellMar>
        </w:tblPrEx>
        <w:trPr>
          <w:cantSplit/>
        </w:trPr>
        <w:tc>
          <w:p w14:paraId="4D844117">
            <w:pPr>
              <w:pStyle w:val="26"/>
              <w:spacing w:before="20" w:after="20" w:line="276" w:lineRule="auto"/>
            </w:pPr>
            <w:r>
              <w:rPr>
                <w:rFonts w:hint="eastAsia" w:ascii="Times New Roman" w:hAnsi="Times New Roman" w:eastAsia="宋体"/>
                <w:sz w:val="20"/>
              </w:rPr>
              <w:t>原文摘录</w:t>
            </w:r>
          </w:p>
        </w:tc>
        <w:tc>
          <w:p w14:paraId="3B1F40C8">
            <w:pPr>
              <w:pStyle w:val="26"/>
              <w:spacing w:before="20" w:after="20" w:line="276" w:lineRule="auto"/>
            </w:pPr>
            <w:r>
              <w:rPr>
                <w:rFonts w:ascii="Times New Roman" w:hAnsi="Times New Roman" w:eastAsia="宋体"/>
                <w:sz w:val="20"/>
              </w:rPr>
              <w:t>“During the first quarter of fiscal 2023, we completed an assessment of the useful lives of our servers and increased the estimate of the useful lives from four years to five years effective at the beginning of fiscal 2023. Based on the carrying value of our servers as of May 31, 2022, this change in accounting estimate decreased our total operating expenses by $434 million during fiscal 2023.”</w:t>
            </w:r>
          </w:p>
        </w:tc>
      </w:tr>
      <w:tr w14:paraId="5B694B9F">
        <w:tblPrEx>
          <w:tblCellMar>
            <w:top w:w="0" w:type="dxa"/>
            <w:left w:w="108" w:type="dxa"/>
            <w:bottom w:w="0" w:type="dxa"/>
            <w:right w:w="108" w:type="dxa"/>
          </w:tblCellMar>
        </w:tblPrEx>
        <w:trPr>
          <w:cantSplit/>
        </w:trPr>
        <w:tc>
          <w:p w14:paraId="5D3F0B3B">
            <w:pPr>
              <w:pStyle w:val="26"/>
              <w:spacing w:before="20" w:after="20" w:line="276" w:lineRule="auto"/>
            </w:pPr>
            <w:r>
              <w:rPr>
                <w:rFonts w:hint="eastAsia" w:ascii="Times New Roman" w:hAnsi="Times New Roman" w:eastAsia="宋体"/>
                <w:sz w:val="20"/>
              </w:rPr>
              <w:t>所在位置</w:t>
            </w:r>
          </w:p>
        </w:tc>
        <w:tc>
          <w:p w14:paraId="19B77A23">
            <w:pPr>
              <w:pStyle w:val="26"/>
              <w:spacing w:before="20" w:after="20" w:line="276" w:lineRule="auto"/>
            </w:pPr>
            <w:r>
              <w:rPr>
                <w:rFonts w:ascii="Times New Roman" w:hAnsi="Times New Roman" w:eastAsia="宋体"/>
                <w:sz w:val="20"/>
              </w:rPr>
              <w:t xml:space="preserve">Note 1 </w:t>
            </w:r>
            <w:r>
              <w:rPr>
                <w:rFonts w:hint="eastAsia" w:ascii="Times New Roman" w:hAnsi="Times New Roman" w:eastAsia="宋体"/>
                <w:sz w:val="20"/>
              </w:rPr>
              <w:t>关键会计政策（HTML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7317 </w:t>
            </w:r>
            <w:r>
              <w:rPr>
                <w:rFonts w:hint="eastAsia" w:ascii="Times New Roman" w:hAnsi="Times New Roman" w:eastAsia="宋体"/>
                <w:sz w:val="20"/>
              </w:rPr>
              <w:t>行）</w:t>
            </w:r>
          </w:p>
        </w:tc>
      </w:tr>
      <w:tr w14:paraId="321106F0">
        <w:tblPrEx>
          <w:tblCellMar>
            <w:top w:w="0" w:type="dxa"/>
            <w:left w:w="108" w:type="dxa"/>
            <w:bottom w:w="0" w:type="dxa"/>
            <w:right w:w="108" w:type="dxa"/>
          </w:tblCellMar>
        </w:tblPrEx>
        <w:trPr>
          <w:cantSplit/>
        </w:trPr>
        <w:tc>
          <w:p w14:paraId="1C7761B0">
            <w:pPr>
              <w:pStyle w:val="26"/>
              <w:spacing w:before="20" w:after="20" w:line="276" w:lineRule="auto"/>
            </w:pPr>
            <w:r>
              <w:rPr>
                <w:rFonts w:hint="eastAsia" w:ascii="Times New Roman" w:hAnsi="Times New Roman" w:eastAsia="宋体"/>
                <w:sz w:val="20"/>
              </w:rPr>
              <w:t>会计含义</w:t>
            </w:r>
          </w:p>
        </w:tc>
        <w:tc>
          <w:p w14:paraId="4028763A">
            <w:pPr>
              <w:pStyle w:val="26"/>
              <w:spacing w:before="20" w:after="20" w:line="276" w:lineRule="auto"/>
            </w:pPr>
            <w:r>
              <w:rPr>
                <w:rFonts w:hint="eastAsia" w:ascii="Times New Roman" w:hAnsi="Times New Roman" w:eastAsia="宋体"/>
                <w:sz w:val="20"/>
              </w:rPr>
              <w:t>会计估计变更（change</w:t>
            </w:r>
            <w:r>
              <w:rPr>
                <w:rFonts w:ascii="Times New Roman" w:hAnsi="Times New Roman" w:eastAsia="宋体"/>
                <w:sz w:val="20"/>
              </w:rPr>
              <w:t xml:space="preserve"> in accounting </w:t>
            </w:r>
            <w:r>
              <w:rPr>
                <w:rFonts w:hint="eastAsia" w:ascii="Times New Roman" w:hAnsi="Times New Roman" w:eastAsia="宋体"/>
                <w:sz w:val="20"/>
              </w:rPr>
              <w:t>estimate），未来适用法（prospectively），不追溯调整</w:t>
            </w:r>
          </w:p>
        </w:tc>
      </w:tr>
      <w:tr w14:paraId="480E056B">
        <w:tblPrEx>
          <w:tblCellMar>
            <w:top w:w="0" w:type="dxa"/>
            <w:left w:w="108" w:type="dxa"/>
            <w:bottom w:w="0" w:type="dxa"/>
            <w:right w:w="108" w:type="dxa"/>
          </w:tblCellMar>
        </w:tblPrEx>
        <w:trPr>
          <w:cantSplit/>
        </w:trPr>
        <w:tc>
          <w:p w14:paraId="0E0B75BB">
            <w:pPr>
              <w:pStyle w:val="26"/>
              <w:spacing w:before="20" w:after="20" w:line="276" w:lineRule="auto"/>
            </w:pPr>
            <w:r>
              <w:rPr>
                <w:rFonts w:hint="eastAsia" w:ascii="Times New Roman" w:hAnsi="Times New Roman" w:eastAsia="宋体"/>
                <w:sz w:val="20"/>
              </w:rPr>
              <w:t>风险推断链</w:t>
            </w:r>
          </w:p>
        </w:tc>
        <w:tc>
          <w:p w14:paraId="2268F707">
            <w:pPr>
              <w:pStyle w:val="26"/>
              <w:spacing w:before="20" w:after="20" w:line="276" w:lineRule="auto"/>
            </w:pPr>
            <w:r>
              <w:rPr>
                <w:rFonts w:hint="eastAsia" w:ascii="Times New Roman" w:hAnsi="Times New Roman" w:eastAsia="宋体"/>
                <w:sz w:val="20"/>
              </w:rPr>
              <w:t>①官方披露：服务器</w:t>
            </w:r>
            <w:r>
              <w:rPr>
                <w:rFonts w:ascii="Times New Roman" w:hAnsi="Times New Roman" w:eastAsia="宋体"/>
                <w:sz w:val="20"/>
              </w:rPr>
              <w:t xml:space="preserve"> 4→5 </w:t>
            </w:r>
            <w:r>
              <w:rPr>
                <w:rFonts w:hint="eastAsia" w:ascii="Times New Roman" w:hAnsi="Times New Roman" w:eastAsia="宋体"/>
                <w:sz w:val="20"/>
              </w:rPr>
              <w:t>年，FY2023</w:t>
            </w:r>
            <w:r>
              <w:rPr>
                <w:rFonts w:ascii="Times New Roman" w:hAnsi="Times New Roman" w:eastAsia="宋体"/>
                <w:sz w:val="20"/>
              </w:rPr>
              <w:t xml:space="preserve"> </w:t>
            </w:r>
            <w:r>
              <w:rPr>
                <w:rFonts w:hint="eastAsia" w:ascii="Times New Roman" w:hAnsi="Times New Roman" w:eastAsia="宋体"/>
                <w:sz w:val="20"/>
              </w:rPr>
              <w:t>生效</w:t>
            </w:r>
            <w:r>
              <w:rPr>
                <w:rFonts w:ascii="Times New Roman" w:hAnsi="Times New Roman" w:eastAsia="宋体"/>
                <w:sz w:val="20"/>
              </w:rPr>
              <w:t xml:space="preserve"> → </w:t>
            </w:r>
            <w:r>
              <w:rPr>
                <w:rFonts w:hint="eastAsia" w:ascii="Times New Roman" w:hAnsi="Times New Roman" w:eastAsia="宋体"/>
                <w:sz w:val="20"/>
              </w:rPr>
              <w:t>②量化影响：FY2023</w:t>
            </w:r>
            <w:r>
              <w:rPr>
                <w:rFonts w:ascii="Times New Roman" w:hAnsi="Times New Roman" w:eastAsia="宋体"/>
                <w:sz w:val="20"/>
              </w:rPr>
              <w:t xml:space="preserve"> </w:t>
            </w:r>
            <w:r>
              <w:rPr>
                <w:rFonts w:hint="eastAsia" w:ascii="Times New Roman" w:hAnsi="Times New Roman" w:eastAsia="宋体"/>
                <w:sz w:val="20"/>
              </w:rPr>
              <w:t>经营费用</w:t>
            </w:r>
            <w:r>
              <w:rPr>
                <w:rFonts w:ascii="Times New Roman" w:hAnsi="Times New Roman" w:eastAsia="宋体"/>
                <w:sz w:val="20"/>
              </w:rPr>
              <w:t xml:space="preserve"> </w:t>
            </w:r>
            <w:r>
              <w:rPr>
                <w:rFonts w:hint="eastAsia" w:ascii="Times New Roman" w:hAnsi="Times New Roman" w:eastAsia="宋体"/>
                <w:sz w:val="20"/>
              </w:rPr>
              <w:t>-$434M（占</w:t>
            </w:r>
            <w:r>
              <w:rPr>
                <w:rFonts w:ascii="Times New Roman" w:hAnsi="Times New Roman" w:eastAsia="宋体"/>
                <w:sz w:val="20"/>
              </w:rPr>
              <w:t xml:space="preserve"> FY2023 </w:t>
            </w:r>
            <w:r>
              <w:rPr>
                <w:rFonts w:hint="eastAsia" w:ascii="Times New Roman" w:hAnsi="Times New Roman" w:eastAsia="宋体"/>
                <w:sz w:val="20"/>
              </w:rPr>
              <w:t>净利润</w:t>
            </w:r>
            <w:r>
              <w:rPr>
                <w:rFonts w:ascii="Times New Roman" w:hAnsi="Times New Roman" w:eastAsia="宋体"/>
                <w:sz w:val="20"/>
              </w:rPr>
              <w:t xml:space="preserve"> </w:t>
            </w:r>
            <w:r>
              <w:rPr>
                <w:rFonts w:hint="eastAsia" w:ascii="Times New Roman" w:hAnsi="Times New Roman" w:eastAsia="宋体"/>
                <w:sz w:val="20"/>
              </w:rPr>
              <w:t>5.1%）→</w:t>
            </w:r>
            <w:r>
              <w:rPr>
                <w:rFonts w:ascii="Times New Roman" w:hAnsi="Times New Roman" w:eastAsia="宋体"/>
                <w:sz w:val="20"/>
              </w:rPr>
              <w:t xml:space="preserve"> </w:t>
            </w:r>
            <w:r>
              <w:rPr>
                <w:rFonts w:hint="eastAsia" w:ascii="Times New Roman" w:hAnsi="Times New Roman" w:eastAsia="宋体"/>
                <w:sz w:val="20"/>
              </w:rPr>
              <w:t>③变更方向为延长（费用减少），恰发生在</w:t>
            </w:r>
            <w:r>
              <w:rPr>
                <w:rFonts w:ascii="Times New Roman" w:hAnsi="Times New Roman" w:eastAsia="宋体"/>
                <w:sz w:val="20"/>
              </w:rPr>
              <w:t xml:space="preserve"> AI/OCI </w:t>
            </w:r>
            <w:r>
              <w:rPr>
                <w:rFonts w:hint="eastAsia" w:ascii="Times New Roman" w:hAnsi="Times New Roman" w:eastAsia="宋体"/>
                <w:sz w:val="20"/>
              </w:rPr>
              <w:t>基础设施扩张期</w:t>
            </w:r>
            <w:r>
              <w:rPr>
                <w:rFonts w:ascii="Times New Roman" w:hAnsi="Times New Roman" w:eastAsia="宋体"/>
                <w:sz w:val="20"/>
              </w:rPr>
              <w:t xml:space="preserve"> → ④AI </w:t>
            </w:r>
            <w:r>
              <w:rPr>
                <w:rFonts w:hint="eastAsia" w:ascii="Times New Roman" w:hAnsi="Times New Roman" w:eastAsia="宋体"/>
                <w:sz w:val="20"/>
              </w:rPr>
              <w:t>硬件迭代</w:t>
            </w:r>
            <w:r>
              <w:rPr>
                <w:rFonts w:ascii="Times New Roman" w:hAnsi="Times New Roman" w:eastAsia="宋体"/>
                <w:sz w:val="20"/>
              </w:rPr>
              <w:t xml:space="preserve"> 1-2 </w:t>
            </w:r>
            <w:r>
              <w:rPr>
                <w:rFonts w:hint="eastAsia" w:ascii="Times New Roman" w:hAnsi="Times New Roman" w:eastAsia="宋体"/>
                <w:sz w:val="20"/>
              </w:rPr>
              <w:t>年</w:t>
            </w:r>
            <w:r>
              <w:rPr>
                <w:rFonts w:ascii="Times New Roman" w:hAnsi="Times New Roman" w:eastAsia="宋体"/>
                <w:sz w:val="20"/>
              </w:rPr>
              <w:t xml:space="preserve"> vs 5 </w:t>
            </w:r>
            <w:r>
              <w:rPr>
                <w:rFonts w:hint="eastAsia" w:ascii="Times New Roman" w:hAnsi="Times New Roman" w:eastAsia="宋体"/>
                <w:sz w:val="20"/>
              </w:rPr>
              <w:t>年会计寿命，错配</w:t>
            </w:r>
            <w:r>
              <w:rPr>
                <w:rFonts w:ascii="Times New Roman" w:hAnsi="Times New Roman" w:eastAsia="宋体"/>
                <w:sz w:val="20"/>
              </w:rPr>
              <w:t xml:space="preserve"> 2.5-5 </w:t>
            </w:r>
            <w:r>
              <w:rPr>
                <w:rFonts w:hint="eastAsia" w:ascii="Times New Roman" w:hAnsi="Times New Roman" w:eastAsia="宋体"/>
                <w:sz w:val="20"/>
              </w:rPr>
              <w:t>倍</w:t>
            </w:r>
            <w:r>
              <w:rPr>
                <w:rFonts w:ascii="Times New Roman" w:hAnsi="Times New Roman" w:eastAsia="宋体"/>
                <w:sz w:val="20"/>
              </w:rPr>
              <w:t xml:space="preserve"> → ⑤FY2024 </w:t>
            </w:r>
            <w:r>
              <w:rPr>
                <w:rFonts w:hint="eastAsia" w:ascii="Times New Roman" w:hAnsi="Times New Roman" w:eastAsia="宋体"/>
                <w:sz w:val="20"/>
              </w:rPr>
              <w:t>全部在账服务器按延长后年限折旧</w:t>
            </w:r>
            <w:r>
              <w:rPr>
                <w:rFonts w:ascii="Times New Roman" w:hAnsi="Times New Roman" w:eastAsia="宋体"/>
                <w:sz w:val="20"/>
              </w:rPr>
              <w:t xml:space="preserve"> → ⑥FY2022 </w:t>
            </w:r>
            <w:r>
              <w:rPr>
                <w:rFonts w:hint="eastAsia" w:ascii="Times New Roman" w:hAnsi="Times New Roman" w:eastAsia="宋体"/>
                <w:sz w:val="20"/>
              </w:rPr>
              <w:t>及以前少提折旧永不修正</w:t>
            </w:r>
          </w:p>
        </w:tc>
      </w:tr>
    </w:tbl>
    <w:p w14:paraId="1DF86B96">
      <w:pPr>
        <w:pStyle w:val="3"/>
        <w:spacing w:before="40" w:after="40" w:line="360" w:lineRule="auto"/>
        <w:ind w:firstLine="480"/>
      </w:pPr>
      <w:r>
        <w:rPr>
          <w:rFonts w:hint="eastAsia" w:ascii="Times New Roman" w:hAnsi="Times New Roman" w:eastAsia="宋体"/>
          <w:sz w:val="24"/>
        </w:rPr>
        <w:t>样例二：ORCL-FY2025-SIG-001（severity:</w:t>
      </w:r>
      <w:r>
        <w:rPr>
          <w:rFonts w:ascii="Times New Roman" w:hAnsi="Times New Roman" w:eastAsia="宋体"/>
          <w:sz w:val="24"/>
        </w:rPr>
        <w:t xml:space="preserve"> </w:t>
      </w:r>
      <w:r>
        <w:rPr>
          <w:rFonts w:hint="eastAsia" w:ascii="Times New Roman" w:hAnsi="Times New Roman" w:eastAsia="宋体"/>
          <w:sz w:val="24"/>
        </w:rPr>
        <w:t>critical，扩样新增——“证实”方向的标注）</w:t>
      </w:r>
    </w:p>
    <w:tbl>
      <w:tblPr>
        <w:tblStyle w:val="43"/>
        <w:tblW w:w="5000" w:type="pct"/>
        <w:tblInd w:w="0" w:type="dxa"/>
        <w:tblLayout w:type="fixed"/>
        <w:tblCellMar>
          <w:top w:w="0" w:type="dxa"/>
          <w:left w:w="108" w:type="dxa"/>
          <w:bottom w:w="0" w:type="dxa"/>
          <w:right w:w="108" w:type="dxa"/>
        </w:tblCellMar>
      </w:tblPr>
      <w:tblGrid>
        <w:gridCol w:w="4644"/>
        <w:gridCol w:w="4644"/>
      </w:tblGrid>
      <w:tr w14:paraId="12E511A0">
        <w:tblPrEx>
          <w:tblCellMar>
            <w:top w:w="0" w:type="dxa"/>
            <w:left w:w="108" w:type="dxa"/>
            <w:bottom w:w="0" w:type="dxa"/>
            <w:right w:w="108" w:type="dxa"/>
          </w:tblCellMar>
        </w:tblPrEx>
        <w:trPr>
          <w:cantSplit/>
          <w:tblHeader/>
        </w:trPr>
        <w:tc>
          <w:p w14:paraId="63AF7DC1">
            <w:pPr>
              <w:pStyle w:val="26"/>
              <w:spacing w:before="20" w:after="20" w:line="276" w:lineRule="auto"/>
            </w:pPr>
            <w:r>
              <w:rPr>
                <w:rFonts w:hint="eastAsia" w:ascii="Times New Roman" w:hAnsi="Times New Roman" w:eastAsia="宋体"/>
                <w:b/>
                <w:bCs/>
                <w:sz w:val="20"/>
              </w:rPr>
              <w:t>项目</w:t>
            </w:r>
          </w:p>
        </w:tc>
        <w:tc>
          <w:p w14:paraId="6E189B28">
            <w:pPr>
              <w:pStyle w:val="26"/>
              <w:spacing w:before="20" w:after="20" w:line="276" w:lineRule="auto"/>
            </w:pPr>
            <w:r>
              <w:rPr>
                <w:rFonts w:hint="eastAsia" w:ascii="Times New Roman" w:hAnsi="Times New Roman" w:eastAsia="宋体"/>
                <w:b/>
                <w:bCs/>
                <w:sz w:val="20"/>
              </w:rPr>
              <w:t>内容</w:t>
            </w:r>
          </w:p>
        </w:tc>
      </w:tr>
      <w:tr w14:paraId="52AD7C1F">
        <w:tblPrEx>
          <w:tblCellMar>
            <w:top w:w="0" w:type="dxa"/>
            <w:left w:w="108" w:type="dxa"/>
            <w:bottom w:w="0" w:type="dxa"/>
            <w:right w:w="108" w:type="dxa"/>
          </w:tblCellMar>
        </w:tblPrEx>
        <w:trPr>
          <w:cantSplit/>
        </w:trPr>
        <w:tc>
          <w:p w14:paraId="6F43CCD9">
            <w:pPr>
              <w:pStyle w:val="26"/>
              <w:spacing w:before="20" w:after="20" w:line="276" w:lineRule="auto"/>
            </w:pPr>
            <w:r>
              <w:rPr>
                <w:rFonts w:hint="eastAsia" w:ascii="Times New Roman" w:hAnsi="Times New Roman" w:eastAsia="宋体"/>
                <w:sz w:val="20"/>
              </w:rPr>
              <w:t>来源</w:t>
            </w:r>
          </w:p>
        </w:tc>
        <w:tc>
          <w:p w14:paraId="2C930EDD">
            <w:pPr>
              <w:pStyle w:val="26"/>
              <w:spacing w:before="20" w:after="20" w:line="276" w:lineRule="auto"/>
            </w:pPr>
            <w:r>
              <w:rPr>
                <w:rFonts w:ascii="Times New Roman" w:hAnsi="Times New Roman" w:eastAsia="宋体"/>
                <w:sz w:val="20"/>
              </w:rPr>
              <w:t>FY2025 10-K - Note 1. Organization and Significant Accounting Policies - Critical Accounting Policies</w:t>
            </w:r>
          </w:p>
        </w:tc>
      </w:tr>
      <w:tr w14:paraId="6768C63D">
        <w:tblPrEx>
          <w:tblCellMar>
            <w:top w:w="0" w:type="dxa"/>
            <w:left w:w="108" w:type="dxa"/>
            <w:bottom w:w="0" w:type="dxa"/>
            <w:right w:w="108" w:type="dxa"/>
          </w:tblCellMar>
        </w:tblPrEx>
        <w:trPr>
          <w:cantSplit/>
        </w:trPr>
        <w:tc>
          <w:p w14:paraId="706F56ED">
            <w:pPr>
              <w:pStyle w:val="26"/>
              <w:spacing w:before="20" w:after="20" w:line="276" w:lineRule="auto"/>
            </w:pPr>
            <w:r>
              <w:rPr>
                <w:rFonts w:hint="eastAsia" w:ascii="Times New Roman" w:hAnsi="Times New Roman" w:eastAsia="宋体"/>
                <w:sz w:val="20"/>
              </w:rPr>
              <w:t>原文摘录</w:t>
            </w:r>
          </w:p>
        </w:tc>
        <w:tc>
          <w:p w14:paraId="37A58295">
            <w:pPr>
              <w:pStyle w:val="26"/>
              <w:spacing w:before="20" w:after="20" w:line="276" w:lineRule="auto"/>
            </w:pPr>
            <w:r>
              <w:rPr>
                <w:rFonts w:ascii="Times New Roman" w:hAnsi="Times New Roman" w:eastAsia="宋体"/>
                <w:sz w:val="20"/>
              </w:rPr>
              <w:t>“During the first quarter of fiscal 2025, we completed an assessment of the useful lives of our servers and networking equipment and increased the estimate of the useful lives from five years to six years, effective at the beginning of fiscal 2025. Based on the carrying value of our servers and networking equipment as of May 31, 2024, this change in accounting estimate decreased our total operating expenses by $733 million and increased our net income by $573 million, or $0.21 per basic and $0.20 per diluted share, during fiscal 2025.”</w:t>
            </w:r>
          </w:p>
        </w:tc>
      </w:tr>
      <w:tr w14:paraId="5EA2FB56">
        <w:tblPrEx>
          <w:tblCellMar>
            <w:top w:w="0" w:type="dxa"/>
            <w:left w:w="108" w:type="dxa"/>
            <w:bottom w:w="0" w:type="dxa"/>
            <w:right w:w="108" w:type="dxa"/>
          </w:tblCellMar>
        </w:tblPrEx>
        <w:trPr>
          <w:cantSplit/>
        </w:trPr>
        <w:tc>
          <w:p w14:paraId="5B51CA8F">
            <w:pPr>
              <w:pStyle w:val="26"/>
              <w:spacing w:before="20" w:after="20" w:line="276" w:lineRule="auto"/>
            </w:pPr>
            <w:r>
              <w:rPr>
                <w:rFonts w:hint="eastAsia" w:ascii="Times New Roman" w:hAnsi="Times New Roman" w:eastAsia="宋体"/>
                <w:sz w:val="20"/>
              </w:rPr>
              <w:t>所在位置</w:t>
            </w:r>
          </w:p>
        </w:tc>
        <w:tc>
          <w:p w14:paraId="379C40FD">
            <w:pPr>
              <w:pStyle w:val="26"/>
              <w:spacing w:before="20" w:after="20" w:line="276" w:lineRule="auto"/>
            </w:pPr>
            <w:r>
              <w:rPr>
                <w:rFonts w:ascii="Times New Roman" w:hAnsi="Times New Roman" w:eastAsia="宋体"/>
                <w:sz w:val="20"/>
              </w:rPr>
              <w:t xml:space="preserve">Note </w:t>
            </w:r>
            <w:r>
              <w:rPr>
                <w:rFonts w:hint="eastAsia" w:ascii="Times New Roman" w:hAnsi="Times New Roman" w:eastAsia="宋体"/>
                <w:sz w:val="20"/>
              </w:rPr>
              <w:t>1（HTML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6755 </w:t>
            </w:r>
            <w:r>
              <w:rPr>
                <w:rFonts w:hint="eastAsia" w:ascii="Times New Roman" w:hAnsi="Times New Roman" w:eastAsia="宋体"/>
                <w:sz w:val="20"/>
              </w:rPr>
              <w:t>行）；同一变更以脚注（2）再次披露于</w:t>
            </w:r>
            <w:r>
              <w:rPr>
                <w:rFonts w:ascii="Times New Roman" w:hAnsi="Times New Roman" w:eastAsia="宋体"/>
                <w:sz w:val="20"/>
              </w:rPr>
              <w:t xml:space="preserve"> Note 4 PP&amp;E </w:t>
            </w:r>
            <w:r>
              <w:rPr>
                <w:rFonts w:hint="eastAsia" w:ascii="Times New Roman" w:hAnsi="Times New Roman" w:eastAsia="宋体"/>
                <w:sz w:val="20"/>
              </w:rPr>
              <w:t>表（第</w:t>
            </w:r>
            <w:r>
              <w:rPr>
                <w:rFonts w:ascii="Times New Roman" w:hAnsi="Times New Roman" w:eastAsia="宋体"/>
                <w:sz w:val="20"/>
              </w:rPr>
              <w:t xml:space="preserve"> 7507 </w:t>
            </w:r>
            <w:r>
              <w:rPr>
                <w:rFonts w:hint="eastAsia" w:ascii="Times New Roman" w:hAnsi="Times New Roman" w:eastAsia="宋体"/>
                <w:sz w:val="20"/>
              </w:rPr>
              <w:t>行）</w:t>
            </w:r>
          </w:p>
        </w:tc>
      </w:tr>
      <w:tr w14:paraId="5FBA84F8">
        <w:tblPrEx>
          <w:tblCellMar>
            <w:top w:w="0" w:type="dxa"/>
            <w:left w:w="108" w:type="dxa"/>
            <w:bottom w:w="0" w:type="dxa"/>
            <w:right w:w="108" w:type="dxa"/>
          </w:tblCellMar>
        </w:tblPrEx>
        <w:trPr>
          <w:cantSplit/>
        </w:trPr>
        <w:tc>
          <w:p w14:paraId="4016719F">
            <w:pPr>
              <w:pStyle w:val="26"/>
              <w:spacing w:before="20" w:after="20" w:line="276" w:lineRule="auto"/>
            </w:pPr>
            <w:r>
              <w:rPr>
                <w:rFonts w:hint="eastAsia" w:ascii="Times New Roman" w:hAnsi="Times New Roman" w:eastAsia="宋体"/>
                <w:sz w:val="20"/>
              </w:rPr>
              <w:t>会计含义</w:t>
            </w:r>
          </w:p>
        </w:tc>
        <w:tc>
          <w:p w14:paraId="1009082B">
            <w:pPr>
              <w:pStyle w:val="26"/>
              <w:spacing w:before="20" w:after="20" w:line="276" w:lineRule="auto"/>
            </w:pPr>
            <w:r>
              <w:rPr>
                <w:rFonts w:hint="eastAsia" w:ascii="Times New Roman" w:hAnsi="Times New Roman" w:eastAsia="宋体"/>
                <w:sz w:val="20"/>
              </w:rPr>
              <w:t>三年内第二次会计估计变更（延长），未来适用法</w:t>
            </w:r>
          </w:p>
        </w:tc>
      </w:tr>
      <w:tr w14:paraId="7DD1D7DC">
        <w:tblPrEx>
          <w:tblCellMar>
            <w:top w:w="0" w:type="dxa"/>
            <w:left w:w="108" w:type="dxa"/>
            <w:bottom w:w="0" w:type="dxa"/>
            <w:right w:w="108" w:type="dxa"/>
          </w:tblCellMar>
        </w:tblPrEx>
        <w:trPr>
          <w:cantSplit/>
        </w:trPr>
        <w:tc>
          <w:p w14:paraId="61A72929">
            <w:pPr>
              <w:pStyle w:val="26"/>
              <w:spacing w:before="20" w:after="20" w:line="276" w:lineRule="auto"/>
            </w:pPr>
            <w:r>
              <w:rPr>
                <w:rFonts w:hint="eastAsia" w:ascii="Times New Roman" w:hAnsi="Times New Roman" w:eastAsia="宋体"/>
                <w:sz w:val="20"/>
              </w:rPr>
              <w:t>风险推断链</w:t>
            </w:r>
          </w:p>
        </w:tc>
        <w:tc>
          <w:p w14:paraId="54AF2064">
            <w:pPr>
              <w:pStyle w:val="26"/>
              <w:spacing w:before="20" w:after="20" w:line="276" w:lineRule="auto"/>
            </w:pPr>
            <w:r>
              <w:rPr>
                <w:rFonts w:hint="eastAsia" w:ascii="Times New Roman" w:hAnsi="Times New Roman" w:eastAsia="宋体"/>
                <w:sz w:val="20"/>
              </w:rPr>
              <w:t>①官方披露：5→6</w:t>
            </w:r>
            <w:r>
              <w:rPr>
                <w:rFonts w:ascii="Times New Roman" w:hAnsi="Times New Roman" w:eastAsia="宋体"/>
                <w:sz w:val="20"/>
              </w:rPr>
              <w:t xml:space="preserve"> </w:t>
            </w:r>
            <w:r>
              <w:rPr>
                <w:rFonts w:hint="eastAsia" w:ascii="Times New Roman" w:hAnsi="Times New Roman" w:eastAsia="宋体"/>
                <w:sz w:val="20"/>
              </w:rPr>
              <w:t>年，2024</w:t>
            </w:r>
            <w:r>
              <w:rPr>
                <w:rFonts w:ascii="Times New Roman" w:hAnsi="Times New Roman" w:eastAsia="宋体"/>
                <w:sz w:val="20"/>
              </w:rPr>
              <w:t xml:space="preserve"> </w:t>
            </w:r>
            <w:r>
              <w:rPr>
                <w:rFonts w:hint="eastAsia" w:ascii="Times New Roman" w:hAnsi="Times New Roman" w:eastAsia="宋体"/>
                <w:sz w:val="20"/>
              </w:rPr>
              <w:t>年</w:t>
            </w:r>
            <w:r>
              <w:rPr>
                <w:rFonts w:ascii="Times New Roman" w:hAnsi="Times New Roman" w:eastAsia="宋体"/>
                <w:sz w:val="20"/>
              </w:rPr>
              <w:t xml:space="preserve"> 6 </w:t>
            </w:r>
            <w:r>
              <w:rPr>
                <w:rFonts w:hint="eastAsia" w:ascii="Times New Roman" w:hAnsi="Times New Roman" w:eastAsia="宋体"/>
                <w:sz w:val="20"/>
              </w:rPr>
              <w:t>月（FY2025</w:t>
            </w:r>
            <w:r>
              <w:rPr>
                <w:rFonts w:ascii="Times New Roman" w:hAnsi="Times New Roman" w:eastAsia="宋体"/>
                <w:sz w:val="20"/>
              </w:rPr>
              <w:t xml:space="preserve"> </w:t>
            </w:r>
            <w:r>
              <w:rPr>
                <w:rFonts w:hint="eastAsia" w:ascii="Times New Roman" w:hAnsi="Times New Roman" w:eastAsia="宋体"/>
                <w:sz w:val="20"/>
              </w:rPr>
              <w:t>Q1）生效</w:t>
            </w:r>
            <w:r>
              <w:rPr>
                <w:rFonts w:ascii="Times New Roman" w:hAnsi="Times New Roman" w:eastAsia="宋体"/>
                <w:sz w:val="20"/>
              </w:rPr>
              <w:t xml:space="preserve"> → </w:t>
            </w:r>
            <w:r>
              <w:rPr>
                <w:rFonts w:hint="eastAsia" w:ascii="Times New Roman" w:hAnsi="Times New Roman" w:eastAsia="宋体"/>
                <w:sz w:val="20"/>
              </w:rPr>
              <w:t>②量化影响：FY2025</w:t>
            </w:r>
            <w:r>
              <w:rPr>
                <w:rFonts w:ascii="Times New Roman" w:hAnsi="Times New Roman" w:eastAsia="宋体"/>
                <w:sz w:val="20"/>
              </w:rPr>
              <w:t xml:space="preserve"> </w:t>
            </w:r>
            <w:r>
              <w:rPr>
                <w:rFonts w:hint="eastAsia" w:ascii="Times New Roman" w:hAnsi="Times New Roman" w:eastAsia="宋体"/>
                <w:sz w:val="20"/>
              </w:rPr>
              <w:t>经营费用</w:t>
            </w:r>
            <w:r>
              <w:rPr>
                <w:rFonts w:ascii="Times New Roman" w:hAnsi="Times New Roman" w:eastAsia="宋体"/>
                <w:sz w:val="20"/>
              </w:rPr>
              <w:t xml:space="preserve"> </w:t>
            </w:r>
            <w:r>
              <w:rPr>
                <w:rFonts w:hint="eastAsia" w:ascii="Times New Roman" w:hAnsi="Times New Roman" w:eastAsia="宋体"/>
                <w:sz w:val="20"/>
              </w:rPr>
              <w:t>-$733M、净利</w:t>
            </w:r>
            <w:r>
              <w:rPr>
                <w:rFonts w:ascii="Times New Roman" w:hAnsi="Times New Roman" w:eastAsia="宋体"/>
                <w:sz w:val="20"/>
              </w:rPr>
              <w:t xml:space="preserve"> +$573M、EPS +$0.21 → </w:t>
            </w:r>
            <w:r>
              <w:rPr>
                <w:rFonts w:hint="eastAsia" w:ascii="Times New Roman" w:hAnsi="Times New Roman" w:eastAsia="宋体"/>
                <w:sz w:val="20"/>
              </w:rPr>
              <w:t>③三年内两次延长（4→5→6），“连续延长者”模式成立</w:t>
            </w:r>
            <w:r>
              <w:rPr>
                <w:rFonts w:ascii="Times New Roman" w:hAnsi="Times New Roman" w:eastAsia="宋体"/>
                <w:sz w:val="20"/>
              </w:rPr>
              <w:t xml:space="preserve"> → </w:t>
            </w:r>
            <w:r>
              <w:rPr>
                <w:rFonts w:hint="eastAsia" w:ascii="Times New Roman" w:hAnsi="Times New Roman" w:eastAsia="宋体"/>
                <w:sz w:val="20"/>
              </w:rPr>
              <w:t>④与市场真实流传说法（界面新闻</w:t>
            </w:r>
            <w:r>
              <w:rPr>
                <w:rFonts w:ascii="Times New Roman" w:hAnsi="Times New Roman" w:eastAsia="宋体"/>
                <w:sz w:val="20"/>
              </w:rPr>
              <w:t xml:space="preserve"> 2025 </w:t>
            </w:r>
            <w:r>
              <w:rPr>
                <w:rFonts w:hint="eastAsia" w:ascii="Times New Roman" w:hAnsi="Times New Roman" w:eastAsia="宋体"/>
                <w:sz w:val="20"/>
              </w:rPr>
              <w:t>年底“甲骨文</w:t>
            </w:r>
            <w:r>
              <w:rPr>
                <w:rFonts w:ascii="Times New Roman" w:hAnsi="Times New Roman" w:eastAsia="宋体"/>
                <w:sz w:val="20"/>
              </w:rPr>
              <w:t xml:space="preserve"> 2024 </w:t>
            </w:r>
            <w:r>
              <w:rPr>
                <w:rFonts w:hint="eastAsia" w:ascii="Times New Roman" w:hAnsi="Times New Roman" w:eastAsia="宋体"/>
                <w:sz w:val="20"/>
              </w:rPr>
              <w:t>年将服务器使用寿命从五年延长到六年”；Burry</w:t>
            </w:r>
            <w:r>
              <w:rPr>
                <w:rFonts w:ascii="Times New Roman" w:hAnsi="Times New Roman" w:eastAsia="宋体"/>
                <w:sz w:val="20"/>
              </w:rPr>
              <w:t xml:space="preserve"> 2025-11-11 </w:t>
            </w:r>
            <w:r>
              <w:rPr>
                <w:rFonts w:hint="eastAsia" w:ascii="Times New Roman" w:hAnsi="Times New Roman" w:eastAsia="宋体"/>
                <w:sz w:val="20"/>
              </w:rPr>
              <w:t>点名）逐字互证</w:t>
            </w:r>
            <w:r>
              <w:rPr>
                <w:rFonts w:ascii="Times New Roman" w:hAnsi="Times New Roman" w:eastAsia="宋体"/>
                <w:sz w:val="20"/>
              </w:rPr>
              <w:t xml:space="preserve"> → </w:t>
            </w:r>
            <w:r>
              <w:rPr>
                <w:rFonts w:hint="eastAsia" w:ascii="Times New Roman" w:hAnsi="Times New Roman" w:eastAsia="宋体"/>
                <w:sz w:val="20"/>
              </w:rPr>
              <w:t>⑤与</w:t>
            </w:r>
            <w:r>
              <w:rPr>
                <w:rFonts w:ascii="Times New Roman" w:hAnsi="Times New Roman" w:eastAsia="宋体"/>
                <w:sz w:val="20"/>
              </w:rPr>
              <w:t xml:space="preserve"> Burry“Oracle 2028 </w:t>
            </w:r>
            <w:r>
              <w:rPr>
                <w:rFonts w:hint="eastAsia" w:ascii="Times New Roman" w:hAnsi="Times New Roman" w:eastAsia="宋体"/>
                <w:sz w:val="20"/>
              </w:rPr>
              <w:t>年利润或夸大</w:t>
            </w:r>
            <w:r>
              <w:rPr>
                <w:rFonts w:ascii="Times New Roman" w:hAnsi="Times New Roman" w:eastAsia="宋体"/>
                <w:sz w:val="20"/>
              </w:rPr>
              <w:t xml:space="preserve"> </w:t>
            </w:r>
            <w:r>
              <w:rPr>
                <w:rFonts w:hint="eastAsia" w:ascii="Times New Roman" w:hAnsi="Times New Roman" w:eastAsia="宋体"/>
                <w:sz w:val="20"/>
              </w:rPr>
              <w:t>26.9%”测算方向一致</w:t>
            </w:r>
            <w:r>
              <w:rPr>
                <w:rFonts w:ascii="Times New Roman" w:hAnsi="Times New Roman" w:eastAsia="宋体"/>
                <w:sz w:val="20"/>
              </w:rPr>
              <w:t xml:space="preserve"> → ⑥FY2024 </w:t>
            </w:r>
            <w:r>
              <w:rPr>
                <w:rFonts w:hint="eastAsia" w:ascii="Times New Roman" w:hAnsi="Times New Roman" w:eastAsia="宋体"/>
                <w:sz w:val="20"/>
              </w:rPr>
              <w:t>及以前少提折旧永不修正</w:t>
            </w:r>
          </w:p>
        </w:tc>
      </w:tr>
    </w:tbl>
    <w:p w14:paraId="3F61827E">
      <w:pPr>
        <w:pStyle w:val="3"/>
        <w:spacing w:before="40" w:after="40" w:line="360" w:lineRule="auto"/>
        <w:ind w:firstLine="480"/>
      </w:pPr>
      <w:r>
        <w:rPr>
          <w:rFonts w:hint="eastAsia" w:ascii="Times New Roman" w:hAnsi="Times New Roman" w:eastAsia="宋体"/>
          <w:sz w:val="24"/>
        </w:rPr>
        <w:t>团队已于</w:t>
      </w:r>
      <w:r>
        <w:rPr>
          <w:rFonts w:ascii="Times New Roman" w:hAnsi="Times New Roman" w:eastAsia="宋体"/>
          <w:sz w:val="24"/>
        </w:rPr>
        <w:t xml:space="preserve"> 2026 </w:t>
      </w:r>
      <w:r>
        <w:rPr>
          <w:rFonts w:hint="eastAsia" w:ascii="Times New Roman" w:hAnsi="Times New Roman" w:eastAsia="宋体"/>
          <w:sz w:val="24"/>
        </w:rPr>
        <w:t>年</w:t>
      </w:r>
      <w:r>
        <w:rPr>
          <w:rFonts w:ascii="Times New Roman" w:hAnsi="Times New Roman" w:eastAsia="宋体"/>
          <w:sz w:val="24"/>
        </w:rPr>
        <w:t xml:space="preserve"> 8 </w:t>
      </w:r>
      <w:r>
        <w:rPr>
          <w:rFonts w:hint="eastAsia" w:ascii="Times New Roman" w:hAnsi="Times New Roman" w:eastAsia="宋体"/>
          <w:sz w:val="24"/>
        </w:rPr>
        <w:t>月</w:t>
      </w:r>
      <w:r>
        <w:rPr>
          <w:rFonts w:ascii="Times New Roman" w:hAnsi="Times New Roman" w:eastAsia="宋体"/>
          <w:sz w:val="24"/>
        </w:rPr>
        <w:t xml:space="preserve"> 3 </w:t>
      </w:r>
      <w:r>
        <w:rPr>
          <w:rFonts w:hint="eastAsia" w:ascii="Times New Roman" w:hAnsi="Times New Roman" w:eastAsia="宋体"/>
          <w:sz w:val="24"/>
        </w:rPr>
        <w:t>日亲验</w:t>
      </w:r>
      <w:r>
        <w:rPr>
          <w:rFonts w:ascii="Times New Roman" w:hAnsi="Times New Roman" w:eastAsia="宋体"/>
          <w:sz w:val="24"/>
        </w:rPr>
        <w:t xml:space="preserve"> Oracle FY2025 10-K </w:t>
      </w:r>
      <w:r>
        <w:rPr>
          <w:rFonts w:hint="eastAsia" w:ascii="Times New Roman" w:hAnsi="Times New Roman" w:eastAsia="宋体"/>
          <w:sz w:val="24"/>
        </w:rPr>
        <w:t>原文（accession</w:t>
      </w:r>
      <w:r>
        <w:rPr>
          <w:rFonts w:ascii="Times New Roman" w:hAnsi="Times New Roman" w:eastAsia="宋体"/>
          <w:sz w:val="24"/>
        </w:rPr>
        <w:t xml:space="preserve"> </w:t>
      </w:r>
      <w:r>
        <w:rPr>
          <w:rFonts w:hint="eastAsia" w:ascii="Times New Roman" w:hAnsi="Times New Roman" w:eastAsia="宋体"/>
          <w:sz w:val="24"/>
        </w:rPr>
        <w:t>000095017025087926，文件</w:t>
      </w:r>
      <w:r>
        <w:rPr>
          <w:rFonts w:ascii="Times New Roman" w:hAnsi="Times New Roman" w:eastAsia="宋体"/>
          <w:sz w:val="24"/>
        </w:rPr>
        <w:t xml:space="preserve"> </w:t>
      </w:r>
      <w:r>
        <w:rPr>
          <w:rFonts w:hint="eastAsia" w:ascii="Times New Roman" w:hAnsi="Times New Roman" w:eastAsia="宋体"/>
          <w:sz w:val="24"/>
        </w:rPr>
        <w:t>orcl-20250531.htm），Ctrl+F</w:t>
      </w:r>
      <w:r>
        <w:rPr>
          <w:rFonts w:ascii="Times New Roman" w:hAnsi="Times New Roman" w:eastAsia="宋体"/>
          <w:sz w:val="24"/>
        </w:rPr>
        <w:t xml:space="preserve"> </w:t>
      </w:r>
      <w:r>
        <w:rPr>
          <w:rFonts w:hint="eastAsia" w:ascii="Times New Roman" w:hAnsi="Times New Roman" w:eastAsia="宋体"/>
          <w:sz w:val="24"/>
        </w:rPr>
        <w:t>定位“five</w:t>
      </w:r>
      <w:r>
        <w:rPr>
          <w:rFonts w:ascii="Times New Roman" w:hAnsi="Times New Roman" w:eastAsia="宋体"/>
          <w:sz w:val="24"/>
        </w:rPr>
        <w:t xml:space="preserve"> years to six </w:t>
      </w:r>
      <w:r>
        <w:rPr>
          <w:rFonts w:hint="eastAsia" w:ascii="Times New Roman" w:hAnsi="Times New Roman" w:eastAsia="宋体"/>
          <w:sz w:val="24"/>
        </w:rPr>
        <w:t>years”并截图保存，HTML</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6755 </w:t>
      </w:r>
      <w:r>
        <w:rPr>
          <w:rFonts w:hint="eastAsia" w:ascii="Times New Roman" w:hAnsi="Times New Roman" w:eastAsia="宋体"/>
          <w:sz w:val="24"/>
        </w:rPr>
        <w:t>行</w:t>
      </w:r>
      <w:r>
        <w:rPr>
          <w:rFonts w:ascii="Times New Roman" w:hAnsi="Times New Roman" w:eastAsia="宋体"/>
          <w:sz w:val="24"/>
        </w:rPr>
        <w:t xml:space="preserve"> / </w:t>
      </w:r>
      <w:r>
        <w:rPr>
          <w:rFonts w:hint="eastAsia" w:ascii="Times New Roman" w:hAnsi="Times New Roman" w:eastAsia="宋体"/>
          <w:sz w:val="24"/>
        </w:rPr>
        <w:t>第</w:t>
      </w:r>
      <w:r>
        <w:rPr>
          <w:rFonts w:ascii="Times New Roman" w:hAnsi="Times New Roman" w:eastAsia="宋体"/>
          <w:sz w:val="24"/>
        </w:rPr>
        <w:t xml:space="preserve"> 7507 </w:t>
      </w:r>
      <w:r>
        <w:rPr>
          <w:rFonts w:hint="eastAsia" w:ascii="Times New Roman" w:hAnsi="Times New Roman" w:eastAsia="宋体"/>
          <w:sz w:val="24"/>
        </w:rPr>
        <w:t>行的行号标注与本地亲验结果一致。</w:t>
      </w:r>
    </w:p>
    <w:p w14:paraId="2265E447">
      <w:pPr>
        <w:pStyle w:val="3"/>
        <w:spacing w:before="40" w:after="40" w:line="360" w:lineRule="auto"/>
        <w:ind w:firstLine="480"/>
      </w:pPr>
      <w:r>
        <w:rPr>
          <w:rFonts w:hint="eastAsia" w:ascii="Times New Roman" w:hAnsi="Times New Roman" w:eastAsia="宋体"/>
          <w:sz w:val="24"/>
        </w:rPr>
        <w:t>十家公司</w:t>
      </w:r>
      <w:r>
        <w:rPr>
          <w:rFonts w:ascii="Times New Roman" w:hAnsi="Times New Roman" w:eastAsia="宋体"/>
          <w:sz w:val="24"/>
        </w:rPr>
        <w:t xml:space="preserve"> 30 </w:t>
      </w:r>
      <w:r>
        <w:rPr>
          <w:rFonts w:hint="eastAsia" w:ascii="Times New Roman" w:hAnsi="Times New Roman" w:eastAsia="宋体"/>
          <w:sz w:val="24"/>
        </w:rPr>
        <w:t>个公司-年份的全部风险信号（含证据链、严重度分级、支撑维度）见配套数据集</w:t>
      </w:r>
      <w:r>
        <w:rPr>
          <w:rFonts w:ascii="Times New Roman" w:hAnsi="Times New Roman" w:eastAsia="宋体"/>
          <w:sz w:val="24"/>
        </w:rPr>
        <w:t xml:space="preserve"> </w:t>
      </w:r>
      <w:r>
        <w:rPr>
          <w:rFonts w:hint="eastAsia" w:ascii="Times New Roman" w:hAnsi="Times New Roman" w:eastAsia="宋体"/>
          <w:sz w:val="24"/>
        </w:rPr>
        <w:t>data/annotated/*.json（30</w:t>
      </w:r>
      <w:r>
        <w:rPr>
          <w:rFonts w:ascii="Times New Roman" w:hAnsi="Times New Roman" w:eastAsia="宋体"/>
          <w:sz w:val="24"/>
        </w:rPr>
        <w:t xml:space="preserve"> </w:t>
      </w:r>
      <w:r>
        <w:rPr>
          <w:rFonts w:hint="eastAsia" w:ascii="Times New Roman" w:hAnsi="Times New Roman" w:eastAsia="宋体"/>
          <w:sz w:val="24"/>
        </w:rPr>
        <w:t>份，全部</w:t>
      </w:r>
      <w:r>
        <w:rPr>
          <w:rFonts w:ascii="Times New Roman" w:hAnsi="Times New Roman" w:eastAsia="宋体"/>
          <w:sz w:val="24"/>
        </w:rPr>
        <w:t xml:space="preserve"> </w:t>
      </w:r>
      <w:r>
        <w:rPr>
          <w:rFonts w:hint="eastAsia" w:ascii="Times New Roman" w:hAnsi="Times New Roman" w:eastAsia="宋体"/>
          <w:sz w:val="24"/>
        </w:rPr>
        <w:t>confirmed，GitHub</w:t>
      </w:r>
      <w:r>
        <w:rPr>
          <w:rFonts w:ascii="Times New Roman" w:hAnsi="Times New Roman" w:eastAsia="宋体"/>
          <w:sz w:val="24"/>
        </w:rPr>
        <w:t xml:space="preserve"> </w:t>
      </w:r>
      <w:r>
        <w:rPr>
          <w:rFonts w:hint="eastAsia" w:ascii="Times New Roman" w:hAnsi="Times New Roman" w:eastAsia="宋体"/>
          <w:sz w:val="24"/>
        </w:rPr>
        <w:t>随报告提交，见附录</w:t>
      </w:r>
      <w:r>
        <w:rPr>
          <w:rFonts w:ascii="Times New Roman" w:hAnsi="Times New Roman" w:eastAsia="宋体"/>
          <w:sz w:val="24"/>
        </w:rPr>
        <w:t xml:space="preserve"> </w:t>
      </w:r>
      <w:r>
        <w:rPr>
          <w:rFonts w:hint="eastAsia" w:ascii="Times New Roman" w:hAnsi="Times New Roman" w:eastAsia="宋体"/>
          <w:sz w:val="24"/>
        </w:rPr>
        <w:t>D）。</w:t>
      </w:r>
    </w:p>
    <w:bookmarkEnd w:id="179"/>
    <w:p w14:paraId="6BB5A2BA">
      <w:pPr>
        <w:pStyle w:val="2"/>
        <w:pageBreakBefore/>
        <w:spacing w:before="360" w:after="240" w:line="360" w:lineRule="auto"/>
        <w:jc w:val="center"/>
      </w:pPr>
      <w:bookmarkStart w:id="180" w:name="_Toc22161"/>
      <w:bookmarkStart w:id="181" w:name="附录-c-财务指标体系45-指标三层结构"/>
      <w:r>
        <w:rPr>
          <w:rFonts w:hint="eastAsia" w:ascii="Times New Roman" w:hAnsi="Times New Roman" w:eastAsia="黑体"/>
          <w:b/>
          <w:color w:val="000000"/>
          <w:sz w:val="32"/>
        </w:rPr>
        <w:t>附录</w:t>
      </w:r>
      <w:r>
        <w:rPr>
          <w:rFonts w:ascii="Times New Roman" w:hAnsi="Times New Roman" w:eastAsia="黑体"/>
          <w:b/>
          <w:color w:val="000000"/>
          <w:sz w:val="32"/>
        </w:rPr>
        <w:t xml:space="preserve"> C </w:t>
      </w:r>
      <w:r>
        <w:rPr>
          <w:rFonts w:hint="eastAsia" w:ascii="Times New Roman" w:hAnsi="Times New Roman" w:eastAsia="黑体"/>
          <w:b/>
          <w:color w:val="000000"/>
          <w:sz w:val="32"/>
        </w:rPr>
        <w:t>财务指标体系（45</w:t>
      </w:r>
      <w:r>
        <w:rPr>
          <w:rFonts w:ascii="Times New Roman" w:hAnsi="Times New Roman" w:eastAsia="黑体"/>
          <w:b/>
          <w:color w:val="000000"/>
          <w:sz w:val="32"/>
        </w:rPr>
        <w:t xml:space="preserve"> </w:t>
      </w:r>
      <w:r>
        <w:rPr>
          <w:rFonts w:hint="eastAsia" w:ascii="Times New Roman" w:hAnsi="Times New Roman" w:eastAsia="黑体"/>
          <w:b/>
          <w:color w:val="000000"/>
          <w:sz w:val="32"/>
        </w:rPr>
        <w:t>指标三层结构）</w:t>
      </w:r>
      <w:bookmarkEnd w:id="180"/>
    </w:p>
    <w:p w14:paraId="436408A6">
      <w:pPr>
        <w:pStyle w:val="25"/>
        <w:spacing w:before="40" w:after="40" w:line="360" w:lineRule="auto"/>
        <w:ind w:firstLine="480"/>
      </w:pPr>
      <w:r>
        <w:rPr>
          <w:rFonts w:hint="eastAsia" w:ascii="Times New Roman" w:hAnsi="Times New Roman" w:eastAsia="宋体"/>
          <w:sz w:val="24"/>
        </w:rPr>
        <w:t>核心层（必齐）：收入、净利润、经营利润、所得税、总资产、PP&amp;E</w:t>
      </w:r>
      <w:r>
        <w:rPr>
          <w:rFonts w:ascii="Times New Roman" w:hAnsi="Times New Roman" w:eastAsia="宋体"/>
          <w:sz w:val="24"/>
        </w:rPr>
        <w:t xml:space="preserve"> </w:t>
      </w:r>
      <w:r>
        <w:rPr>
          <w:rFonts w:hint="eastAsia" w:ascii="Times New Roman" w:hAnsi="Times New Roman" w:eastAsia="宋体"/>
          <w:sz w:val="24"/>
        </w:rPr>
        <w:t>原值/净值、累计折旧、折旧费、摊销费、CAPEX、经营现金流、研发费用、商誉、无形资产净值等；</w:t>
      </w:r>
    </w:p>
    <w:p w14:paraId="4E7FA269">
      <w:pPr>
        <w:pStyle w:val="3"/>
        <w:spacing w:before="40" w:after="40" w:line="360" w:lineRule="auto"/>
        <w:ind w:firstLine="480"/>
      </w:pPr>
      <w:r>
        <w:rPr>
          <w:rFonts w:hint="eastAsia" w:ascii="Times New Roman" w:hAnsi="Times New Roman" w:eastAsia="宋体"/>
          <w:sz w:val="24"/>
        </w:rPr>
        <w:t>扩展层（允许</w:t>
      </w:r>
      <w:r>
        <w:rPr>
          <w:rFonts w:ascii="Times New Roman" w:hAnsi="Times New Roman" w:eastAsia="宋体"/>
          <w:sz w:val="24"/>
        </w:rPr>
        <w:t xml:space="preserve"> </w:t>
      </w:r>
      <w:r>
        <w:rPr>
          <w:rFonts w:hint="eastAsia" w:ascii="Times New Roman" w:hAnsi="Times New Roman" w:eastAsia="宋体"/>
          <w:sz w:val="24"/>
        </w:rPr>
        <w:t>NA）：在建工程、租赁承诺、分部折旧、服务器折旧占比、融资租赁等——缺失标</w:t>
      </w:r>
      <w:r>
        <w:rPr>
          <w:rFonts w:ascii="Times New Roman" w:hAnsi="Times New Roman" w:eastAsia="宋体"/>
          <w:sz w:val="24"/>
        </w:rPr>
        <w:t xml:space="preserve"> NA </w:t>
      </w:r>
      <w:r>
        <w:rPr>
          <w:rFonts w:hint="eastAsia" w:ascii="Times New Roman" w:hAnsi="Times New Roman" w:eastAsia="宋体"/>
          <w:sz w:val="24"/>
        </w:rPr>
        <w:t>并注明原因，不估算填充；</w:t>
      </w:r>
    </w:p>
    <w:p w14:paraId="027BAB59">
      <w:pPr>
        <w:pStyle w:val="3"/>
        <w:spacing w:before="40" w:after="40" w:line="360" w:lineRule="auto"/>
        <w:ind w:firstLine="480"/>
      </w:pPr>
      <w:r>
        <w:rPr>
          <w:rFonts w:hint="eastAsia" w:ascii="Times New Roman" w:hAnsi="Times New Roman" w:eastAsia="宋体"/>
          <w:sz w:val="24"/>
        </w:rPr>
        <w:t>派生层（计算指标）：CAPEX/收入比、折旧/收入比、折旧/CAPEX</w:t>
      </w:r>
      <w:r>
        <w:rPr>
          <w:rFonts w:ascii="Times New Roman" w:hAnsi="Times New Roman" w:eastAsia="宋体"/>
          <w:sz w:val="24"/>
        </w:rPr>
        <w:t xml:space="preserve"> </w:t>
      </w:r>
      <w:r>
        <w:rPr>
          <w:rFonts w:hint="eastAsia" w:ascii="Times New Roman" w:hAnsi="Times New Roman" w:eastAsia="宋体"/>
          <w:sz w:val="24"/>
        </w:rPr>
        <w:t>比、累计折旧/原值比、摊销/净利杠杆、CAPEX</w:t>
      </w:r>
      <w:r>
        <w:rPr>
          <w:rFonts w:ascii="Times New Roman" w:hAnsi="Times New Roman" w:eastAsia="宋体"/>
          <w:sz w:val="24"/>
        </w:rPr>
        <w:t xml:space="preserve"> </w:t>
      </w:r>
      <w:r>
        <w:rPr>
          <w:rFonts w:hint="eastAsia" w:ascii="Times New Roman" w:hAnsi="Times New Roman" w:eastAsia="宋体"/>
          <w:sz w:val="24"/>
        </w:rPr>
        <w:t>同比增速、折旧增速、收入增速等</w:t>
      </w:r>
      <w:r>
        <w:rPr>
          <w:rFonts w:ascii="Times New Roman" w:hAnsi="Times New Roman" w:eastAsia="宋体"/>
          <w:sz w:val="24"/>
        </w:rPr>
        <w:t xml:space="preserve"> YoY </w:t>
      </w:r>
      <w:r>
        <w:rPr>
          <w:rFonts w:hint="eastAsia" w:ascii="Times New Roman" w:hAnsi="Times New Roman" w:eastAsia="宋体"/>
          <w:sz w:val="24"/>
        </w:rPr>
        <w:t>指标。</w:t>
      </w:r>
    </w:p>
    <w:p w14:paraId="1FC98ECD">
      <w:pPr>
        <w:pStyle w:val="3"/>
        <w:spacing w:before="40" w:after="40" w:line="360" w:lineRule="auto"/>
        <w:ind w:firstLine="480"/>
      </w:pPr>
      <w:r>
        <w:rPr>
          <w:rFonts w:hint="eastAsia" w:ascii="Times New Roman" w:hAnsi="Times New Roman" w:eastAsia="宋体"/>
          <w:sz w:val="24"/>
        </w:rPr>
        <w:t>完整指标定义与</w:t>
      </w:r>
      <w:r>
        <w:rPr>
          <w:rFonts w:ascii="Times New Roman" w:hAnsi="Times New Roman" w:eastAsia="宋体"/>
          <w:sz w:val="24"/>
        </w:rPr>
        <w:t xml:space="preserve"> 30 </w:t>
      </w:r>
      <w:r>
        <w:rPr>
          <w:rFonts w:hint="eastAsia" w:ascii="Times New Roman" w:hAnsi="Times New Roman" w:eastAsia="宋体"/>
          <w:sz w:val="24"/>
        </w:rPr>
        <w:t>个公司-年份观测的取数值见配套数据集与训练集</w:t>
      </w:r>
      <w:r>
        <w:rPr>
          <w:rFonts w:ascii="Times New Roman" w:hAnsi="Times New Roman" w:eastAsia="宋体"/>
          <w:sz w:val="24"/>
        </w:rPr>
        <w:t xml:space="preserve"> </w:t>
      </w:r>
      <w:r>
        <w:rPr>
          <w:rFonts w:hint="eastAsia" w:ascii="Times New Roman" w:hAnsi="Times New Roman" w:eastAsia="宋体"/>
          <w:sz w:val="24"/>
        </w:rPr>
        <w:t>v0.6（GitHub</w:t>
      </w:r>
      <w:r>
        <w:rPr>
          <w:rFonts w:ascii="Times New Roman" w:hAnsi="Times New Roman" w:eastAsia="宋体"/>
          <w:sz w:val="24"/>
        </w:rPr>
        <w:t xml:space="preserve"> </w:t>
      </w:r>
      <w:r>
        <w:rPr>
          <w:rFonts w:hint="eastAsia" w:ascii="Times New Roman" w:hAnsi="Times New Roman" w:eastAsia="宋体"/>
          <w:sz w:val="24"/>
        </w:rPr>
        <w:t>随报告提交）。</w:t>
      </w:r>
    </w:p>
    <w:bookmarkEnd w:id="181"/>
    <w:p w14:paraId="6619AF91">
      <w:pPr>
        <w:pStyle w:val="2"/>
        <w:pageBreakBefore/>
        <w:spacing w:before="360" w:after="240" w:line="360" w:lineRule="auto"/>
        <w:jc w:val="center"/>
      </w:pPr>
      <w:bookmarkStart w:id="182" w:name="_Toc19124"/>
      <w:bookmarkStart w:id="183" w:name="附录-d-系统与代码说明"/>
      <w:r>
        <w:rPr>
          <w:rFonts w:hint="eastAsia" w:ascii="Times New Roman" w:hAnsi="Times New Roman" w:eastAsia="黑体"/>
          <w:b/>
          <w:color w:val="000000"/>
          <w:sz w:val="32"/>
        </w:rPr>
        <w:t>附录</w:t>
      </w:r>
      <w:r>
        <w:rPr>
          <w:rFonts w:ascii="Times New Roman" w:hAnsi="Times New Roman" w:eastAsia="黑体"/>
          <w:b/>
          <w:color w:val="000000"/>
          <w:sz w:val="32"/>
        </w:rPr>
        <w:t xml:space="preserve"> D </w:t>
      </w:r>
      <w:r>
        <w:rPr>
          <w:rFonts w:hint="eastAsia" w:ascii="Times New Roman" w:hAnsi="Times New Roman" w:eastAsia="黑体"/>
          <w:b/>
          <w:color w:val="000000"/>
          <w:sz w:val="32"/>
        </w:rPr>
        <w:t>系统与代码说明</w:t>
      </w:r>
      <w:bookmarkEnd w:id="182"/>
    </w:p>
    <w:p w14:paraId="56D8D074">
      <w:pPr>
        <w:pStyle w:val="25"/>
        <w:spacing w:before="40" w:after="40" w:line="360" w:lineRule="auto"/>
        <w:ind w:firstLine="480"/>
      </w:pPr>
      <w:r>
        <w:rPr>
          <w:rFonts w:ascii="Times New Roman" w:hAnsi="Times New Roman" w:eastAsia="宋体"/>
          <w:sz w:val="24"/>
        </w:rPr>
        <w:t xml:space="preserve">GitHub </w:t>
      </w:r>
      <w:r>
        <w:rPr>
          <w:rFonts w:hint="eastAsia" w:ascii="Times New Roman" w:hAnsi="Times New Roman" w:eastAsia="宋体"/>
          <w:sz w:val="24"/>
        </w:rPr>
        <w:t>仓库：https://github.com/zhongyang-260714/depreciation-risk-detection（已设为</w:t>
      </w:r>
      <w:r>
        <w:rPr>
          <w:rFonts w:ascii="Times New Roman" w:hAnsi="Times New Roman" w:eastAsia="宋体"/>
          <w:sz w:val="24"/>
        </w:rPr>
        <w:t xml:space="preserve"> </w:t>
      </w:r>
      <w:r>
        <w:rPr>
          <w:rFonts w:hint="eastAsia" w:ascii="Times New Roman" w:hAnsi="Times New Roman" w:eastAsia="宋体"/>
          <w:sz w:val="24"/>
        </w:rPr>
        <w:t>Public，含完整代码、数据集与复现脚本）</w:t>
      </w:r>
    </w:p>
    <w:p w14:paraId="528C1746">
      <w:pPr>
        <w:pStyle w:val="3"/>
        <w:spacing w:before="40" w:after="40" w:line="360" w:lineRule="auto"/>
        <w:ind w:firstLine="480"/>
      </w:pPr>
      <w:r>
        <w:rPr>
          <w:rFonts w:hint="eastAsia" w:ascii="Times New Roman" w:hAnsi="Times New Roman" w:eastAsia="宋体"/>
          <w:sz w:val="24"/>
        </w:rPr>
        <w:t>智能识别系统：src/dashboard/app.py（Streamlit，P1-P5</w:t>
      </w:r>
      <w:r>
        <w:rPr>
          <w:rFonts w:ascii="Times New Roman" w:hAnsi="Times New Roman" w:eastAsia="宋体"/>
          <w:sz w:val="24"/>
        </w:rPr>
        <w:t xml:space="preserve"> </w:t>
      </w:r>
      <w:r>
        <w:rPr>
          <w:rFonts w:hint="eastAsia" w:ascii="Times New Roman" w:hAnsi="Times New Roman" w:eastAsia="宋体"/>
          <w:sz w:val="24"/>
        </w:rPr>
        <w:t>标注库交互展示</w:t>
      </w:r>
      <w:r>
        <w:rPr>
          <w:rFonts w:ascii="Times New Roman" w:hAnsi="Times New Roman" w:eastAsia="宋体"/>
          <w:sz w:val="24"/>
        </w:rPr>
        <w:t xml:space="preserve"> + P6 </w:t>
      </w:r>
      <w:r>
        <w:rPr>
          <w:rFonts w:hint="eastAsia" w:ascii="Times New Roman" w:hAnsi="Times New Roman" w:eastAsia="宋体"/>
          <w:sz w:val="24"/>
        </w:rPr>
        <w:t>实时评分演示</w:t>
      </w:r>
      <w:r>
        <w:rPr>
          <w:rFonts w:ascii="Times New Roman" w:hAnsi="Times New Roman" w:eastAsia="宋体"/>
          <w:sz w:val="24"/>
        </w:rPr>
        <w:t xml:space="preserve"> + P7 DeepSeek </w:t>
      </w:r>
      <w:r>
        <w:rPr>
          <w:rFonts w:hint="eastAsia" w:ascii="Times New Roman" w:hAnsi="Times New Roman" w:eastAsia="宋体"/>
          <w:sz w:val="24"/>
        </w:rPr>
        <w:t>智能标注流水线），本地运行</w:t>
      </w:r>
      <w:r>
        <w:rPr>
          <w:rFonts w:ascii="Times New Roman" w:hAnsi="Times New Roman" w:eastAsia="宋体"/>
          <w:sz w:val="24"/>
        </w:rPr>
        <w:t xml:space="preserve"> streamlit run src/dashboard/app.py</w:t>
      </w:r>
    </w:p>
    <w:p w14:paraId="54EDA540">
      <w:pPr>
        <w:pStyle w:val="3"/>
        <w:spacing w:before="40" w:after="40" w:line="360" w:lineRule="auto"/>
        <w:ind w:firstLine="480"/>
      </w:pPr>
      <w:r>
        <w:rPr>
          <w:rFonts w:hint="eastAsia" w:ascii="Times New Roman" w:hAnsi="Times New Roman" w:eastAsia="宋体"/>
          <w:sz w:val="24"/>
        </w:rPr>
        <w:t>评分引擎与模型：src/scoring/predictor.py（评分</w:t>
      </w:r>
      <w:r>
        <w:rPr>
          <w:rFonts w:ascii="Times New Roman" w:hAnsi="Times New Roman" w:eastAsia="宋体"/>
          <w:sz w:val="24"/>
        </w:rPr>
        <w:t xml:space="preserve"> + SHAP </w:t>
      </w:r>
      <w:r>
        <w:rPr>
          <w:rFonts w:hint="eastAsia" w:ascii="Times New Roman" w:hAnsi="Times New Roman" w:eastAsia="宋体"/>
          <w:sz w:val="24"/>
        </w:rPr>
        <w:t>单项贡献解释）；models/depreciation_scorer_v03.joblib</w:t>
      </w:r>
      <w:r>
        <w:rPr>
          <w:rFonts w:ascii="Times New Roman" w:hAnsi="Times New Roman" w:eastAsia="宋体"/>
          <w:sz w:val="24"/>
        </w:rPr>
        <w:t xml:space="preserve"> + </w:t>
      </w:r>
      <w:r>
        <w:rPr>
          <w:rFonts w:hint="eastAsia" w:ascii="Times New Roman" w:hAnsi="Times New Roman" w:eastAsia="宋体"/>
          <w:sz w:val="24"/>
        </w:rPr>
        <w:t>depreciation_scorer_v03_meta.json（附录</w:t>
      </w:r>
      <w:r>
        <w:rPr>
          <w:rFonts w:ascii="Times New Roman" w:hAnsi="Times New Roman" w:eastAsia="宋体"/>
          <w:sz w:val="24"/>
        </w:rPr>
        <w:t xml:space="preserve"> F </w:t>
      </w:r>
      <w:r>
        <w:rPr>
          <w:rFonts w:hint="eastAsia" w:ascii="Times New Roman" w:hAnsi="Times New Roman" w:eastAsia="宋体"/>
          <w:sz w:val="24"/>
        </w:rPr>
        <w:t>同款超参数，30</w:t>
      </w:r>
      <w:r>
        <w:rPr>
          <w:rFonts w:ascii="Times New Roman" w:hAnsi="Times New Roman" w:eastAsia="宋体"/>
          <w:sz w:val="24"/>
        </w:rPr>
        <w:t xml:space="preserve"> </w:t>
      </w:r>
      <w:r>
        <w:rPr>
          <w:rFonts w:hint="eastAsia" w:ascii="Times New Roman" w:hAnsi="Times New Roman" w:eastAsia="宋体"/>
          <w:sz w:val="24"/>
        </w:rPr>
        <w:t>样本全量拟合，PoC</w:t>
      </w:r>
      <w:r>
        <w:rPr>
          <w:rFonts w:ascii="Times New Roman" w:hAnsi="Times New Roman" w:eastAsia="宋体"/>
          <w:sz w:val="24"/>
        </w:rPr>
        <w:t xml:space="preserve"> </w:t>
      </w:r>
      <w:r>
        <w:rPr>
          <w:rFonts w:hint="eastAsia" w:ascii="Times New Roman" w:hAnsi="Times New Roman" w:eastAsia="宋体"/>
          <w:sz w:val="24"/>
        </w:rPr>
        <w:t>演示模型）</w:t>
      </w:r>
    </w:p>
    <w:p w14:paraId="166A8EF8">
      <w:pPr>
        <w:pStyle w:val="3"/>
        <w:spacing w:before="40" w:after="40" w:line="360" w:lineRule="auto"/>
        <w:ind w:firstLine="480"/>
      </w:pPr>
      <w:r>
        <w:rPr>
          <w:rFonts w:ascii="Times New Roman" w:hAnsi="Times New Roman" w:eastAsia="宋体"/>
          <w:sz w:val="24"/>
        </w:rPr>
        <w:t xml:space="preserve">API </w:t>
      </w:r>
      <w:r>
        <w:rPr>
          <w:rFonts w:hint="eastAsia" w:ascii="Times New Roman" w:hAnsi="Times New Roman" w:eastAsia="宋体"/>
          <w:sz w:val="24"/>
        </w:rPr>
        <w:t>服务：src/api/main.py（FastAPI</w:t>
      </w:r>
      <w:r>
        <w:rPr>
          <w:rFonts w:ascii="Times New Roman" w:hAnsi="Times New Roman" w:eastAsia="宋体"/>
          <w:sz w:val="24"/>
        </w:rPr>
        <w:t xml:space="preserve"> </w:t>
      </w:r>
      <w:r>
        <w:rPr>
          <w:rFonts w:hint="eastAsia" w:ascii="Times New Roman" w:hAnsi="Times New Roman" w:eastAsia="宋体"/>
          <w:sz w:val="24"/>
        </w:rPr>
        <w:t>实时评分接口</w:t>
      </w:r>
      <w:r>
        <w:rPr>
          <w:rFonts w:ascii="Times New Roman" w:hAnsi="Times New Roman" w:eastAsia="宋体"/>
          <w:sz w:val="24"/>
        </w:rPr>
        <w:t xml:space="preserve"> POST /predict/POST </w:t>
      </w:r>
      <w:r>
        <w:rPr>
          <w:rFonts w:hint="eastAsia" w:ascii="Times New Roman" w:hAnsi="Times New Roman" w:eastAsia="宋体"/>
          <w:sz w:val="24"/>
        </w:rPr>
        <w:t>/batch_predict，已接入评分引擎，与看板</w:t>
      </w:r>
      <w:r>
        <w:rPr>
          <w:rFonts w:ascii="Times New Roman" w:hAnsi="Times New Roman" w:eastAsia="宋体"/>
          <w:sz w:val="24"/>
        </w:rPr>
        <w:t xml:space="preserve"> P6 </w:t>
      </w:r>
      <w:r>
        <w:rPr>
          <w:rFonts w:hint="eastAsia" w:ascii="Times New Roman" w:hAnsi="Times New Roman" w:eastAsia="宋体"/>
          <w:sz w:val="24"/>
        </w:rPr>
        <w:t>调用同一评分器）</w:t>
      </w:r>
    </w:p>
    <w:p w14:paraId="75C971F6">
      <w:pPr>
        <w:pStyle w:val="3"/>
        <w:spacing w:before="40" w:after="40" w:line="360" w:lineRule="auto"/>
        <w:ind w:firstLine="480"/>
      </w:pPr>
      <w:r>
        <w:rPr>
          <w:rFonts w:hint="eastAsia" w:ascii="Times New Roman" w:hAnsi="Times New Roman" w:eastAsia="宋体"/>
          <w:sz w:val="24"/>
        </w:rPr>
        <w:t>标注数据集：data/annotated/（30</w:t>
      </w:r>
      <w:r>
        <w:rPr>
          <w:rFonts w:ascii="Times New Roman" w:hAnsi="Times New Roman" w:eastAsia="宋体"/>
          <w:sz w:val="24"/>
        </w:rPr>
        <w:t xml:space="preserve"> </w:t>
      </w:r>
      <w:r>
        <w:rPr>
          <w:rFonts w:hint="eastAsia" w:ascii="Times New Roman" w:hAnsi="Times New Roman" w:eastAsia="宋体"/>
          <w:sz w:val="24"/>
        </w:rPr>
        <w:t>份</w:t>
      </w:r>
      <w:r>
        <w:rPr>
          <w:rFonts w:ascii="Times New Roman" w:hAnsi="Times New Roman" w:eastAsia="宋体"/>
          <w:sz w:val="24"/>
        </w:rPr>
        <w:t xml:space="preserve"> </w:t>
      </w:r>
      <w:r>
        <w:rPr>
          <w:rFonts w:hint="eastAsia" w:ascii="Times New Roman" w:hAnsi="Times New Roman" w:eastAsia="宋体"/>
          <w:sz w:val="24"/>
        </w:rPr>
        <w:t>JSON，10</w:t>
      </w:r>
      <w:r>
        <w:rPr>
          <w:rFonts w:ascii="Times New Roman" w:hAnsi="Times New Roman" w:eastAsia="宋体"/>
          <w:sz w:val="24"/>
        </w:rPr>
        <w:t xml:space="preserve">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财年，全部</w:t>
      </w:r>
      <w:r>
        <w:rPr>
          <w:rFonts w:ascii="Times New Roman" w:hAnsi="Times New Roman" w:eastAsia="宋体"/>
          <w:sz w:val="24"/>
        </w:rPr>
        <w:t xml:space="preserve"> </w:t>
      </w:r>
      <w:r>
        <w:rPr>
          <w:rFonts w:hint="eastAsia" w:ascii="Times New Roman" w:hAnsi="Times New Roman" w:eastAsia="宋体"/>
          <w:sz w:val="24"/>
        </w:rPr>
        <w:t>confirmed，含证据链与五维评分）</w:t>
      </w:r>
    </w:p>
    <w:p w14:paraId="4FB9E810">
      <w:pPr>
        <w:pStyle w:val="3"/>
        <w:spacing w:before="40" w:after="40" w:line="360" w:lineRule="auto"/>
        <w:ind w:firstLine="480"/>
      </w:pPr>
      <w:r>
        <w:rPr>
          <w:rFonts w:hint="eastAsia" w:ascii="Times New Roman" w:hAnsi="Times New Roman" w:eastAsia="宋体"/>
          <w:sz w:val="24"/>
        </w:rPr>
        <w:t>训练数据集：data/processed/training_v06_panel_30_full.csv（v0.6</w:t>
      </w:r>
      <w:r>
        <w:rPr>
          <w:rFonts w:ascii="Times New Roman" w:hAnsi="Times New Roman" w:eastAsia="宋体"/>
          <w:sz w:val="24"/>
        </w:rPr>
        <w:t xml:space="preserve"> </w:t>
      </w:r>
      <w:r>
        <w:rPr>
          <w:rFonts w:hint="eastAsia" w:ascii="Times New Roman" w:hAnsi="Times New Roman" w:eastAsia="宋体"/>
          <w:sz w:val="24"/>
        </w:rPr>
        <w:t>面板版：30</w:t>
      </w:r>
      <w:r>
        <w:rPr>
          <w:rFonts w:ascii="Times New Roman" w:hAnsi="Times New Roman" w:eastAsia="宋体"/>
          <w:sz w:val="24"/>
        </w:rPr>
        <w:t xml:space="preserve"> </w:t>
      </w:r>
      <w:r>
        <w:rPr>
          <w:rFonts w:hint="eastAsia" w:ascii="Times New Roman" w:hAnsi="Times New Roman" w:eastAsia="宋体"/>
          <w:sz w:val="24"/>
        </w:rPr>
        <w:t>行</w:t>
      </w:r>
      <w:r>
        <w:rPr>
          <w:rFonts w:ascii="Times New Roman" w:hAnsi="Times New Roman" w:eastAsia="宋体"/>
          <w:sz w:val="24"/>
        </w:rPr>
        <w:t xml:space="preserve"> × 85 </w:t>
      </w:r>
      <w:r>
        <w:rPr>
          <w:rFonts w:hint="eastAsia" w:ascii="Times New Roman" w:hAnsi="Times New Roman" w:eastAsia="宋体"/>
          <w:sz w:val="24"/>
        </w:rPr>
        <w:t>列，含</w:t>
      </w:r>
      <w:r>
        <w:rPr>
          <w:rFonts w:ascii="Times New Roman" w:hAnsi="Times New Roman" w:eastAsia="宋体"/>
          <w:sz w:val="24"/>
        </w:rPr>
        <w:t xml:space="preserve"> YoY </w:t>
      </w:r>
      <w:r>
        <w:rPr>
          <w:rFonts w:hint="eastAsia" w:ascii="Times New Roman" w:hAnsi="Times New Roman" w:eastAsia="宋体"/>
          <w:sz w:val="24"/>
        </w:rPr>
        <w:t>增长指标与完整比率体系）</w:t>
      </w:r>
    </w:p>
    <w:p w14:paraId="1582B569">
      <w:pPr>
        <w:pStyle w:val="3"/>
        <w:spacing w:before="40" w:after="40" w:line="360" w:lineRule="auto"/>
        <w:ind w:firstLine="480"/>
        <w:jc w:val="center"/>
      </w:pPr>
      <w:r>
        <w:rPr>
          <w:rFonts w:hint="eastAsia" w:ascii="Times New Roman" w:hAnsi="Times New Roman" w:eastAsia="宋体"/>
          <w:sz w:val="24"/>
        </w:rPr>
        <w:t>模型化</w:t>
      </w:r>
      <w:r>
        <w:rPr>
          <w:rFonts w:ascii="Times New Roman" w:hAnsi="Times New Roman" w:eastAsia="宋体"/>
          <w:sz w:val="24"/>
        </w:rPr>
        <w:t xml:space="preserve"> </w:t>
      </w:r>
      <w:r>
        <w:rPr>
          <w:rFonts w:hint="eastAsia" w:ascii="Times New Roman" w:hAnsi="Times New Roman" w:eastAsia="宋体"/>
          <w:sz w:val="24"/>
        </w:rPr>
        <w:t>PoC：xgboost_poc_v3.py（复现脚本，已补全并运行验证，生成</w:t>
      </w:r>
      <w:r>
        <w:rPr>
          <w:rFonts w:ascii="Times New Roman" w:hAnsi="Times New Roman" w:eastAsia="宋体"/>
          <w:sz w:val="24"/>
        </w:rPr>
        <w:t xml:space="preserve"> xgboost_poc_v3_summary.json、xgboost_poc_v3_shap_importance.csv </w:t>
      </w:r>
      <w:r>
        <w:rPr>
          <w:rFonts w:hint="eastAsia" w:ascii="Times New Roman" w:hAnsi="Times New Roman" w:eastAsia="宋体"/>
          <w:sz w:val="24"/>
        </w:rPr>
        <w:t>及图</w:t>
      </w:r>
      <w:r>
        <w:rPr>
          <w:rFonts w:ascii="Times New Roman" w:hAnsi="Times New Roman" w:eastAsia="宋体"/>
          <w:sz w:val="24"/>
        </w:rPr>
        <w:t xml:space="preserve"> </w:t>
      </w:r>
      <w:r>
        <w:rPr>
          <w:rFonts w:hint="eastAsia" w:ascii="Times New Roman" w:hAnsi="Times New Roman" w:eastAsia="宋体"/>
          <w:sz w:val="24"/>
        </w:rPr>
        <w:t>F-1/F-2，见附录</w:t>
      </w:r>
      <w:r>
        <w:rPr>
          <w:rFonts w:ascii="Times New Roman" w:hAnsi="Times New Roman" w:eastAsia="宋体"/>
          <w:sz w:val="24"/>
        </w:rPr>
        <w:t xml:space="preserve"> </w:t>
      </w:r>
      <w:r>
        <w:rPr>
          <w:rFonts w:hint="eastAsia" w:ascii="Times New Roman" w:hAnsi="Times New Roman" w:eastAsia="宋体"/>
          <w:sz w:val="24"/>
        </w:rPr>
        <w:t>F）；train_scorer.py（演示模型训练与序列化脚本）</w:t>
      </w:r>
    </w:p>
    <w:p w14:paraId="65E28C26">
      <w:pPr>
        <w:pStyle w:val="3"/>
        <w:spacing w:before="40" w:after="40" w:line="360" w:lineRule="auto"/>
        <w:ind w:firstLine="480"/>
        <w:jc w:val="center"/>
      </w:pPr>
      <w:r>
        <w:drawing>
          <wp:inline distT="0" distB="0" distL="114300" distR="114300">
            <wp:extent cx="4895850" cy="503999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896000" cy="5040000"/>
                    </a:xfrm>
                    <a:prstGeom prst="rect">
                      <a:avLst/>
                    </a:prstGeom>
                  </pic:spPr>
                </pic:pic>
              </a:graphicData>
            </a:graphic>
          </wp:inline>
        </w:drawing>
      </w:r>
    </w:p>
    <w:p w14:paraId="68D5BE2D">
      <w:pPr>
        <w:pStyle w:val="3"/>
        <w:spacing w:before="80" w:after="120" w:line="312" w:lineRule="auto"/>
        <w:ind w:firstLine="0"/>
        <w:jc w:val="center"/>
      </w:pPr>
      <w:r>
        <w:rPr>
          <w:rFonts w:hint="eastAsia" w:ascii="Times New Roman" w:hAnsi="Times New Roman" w:eastAsia="宋体"/>
          <w:i w:val="0"/>
          <w:sz w:val="21"/>
        </w:rPr>
        <w:t>图 F-1 LOGO 交叉验证：预测值 vs 人工评分（MAE=0.418，较朴素基线改善 46.6%）</w:t>
      </w:r>
    </w:p>
    <w:p w14:paraId="67D68754">
      <w:pPr>
        <w:pStyle w:val="3"/>
        <w:spacing w:before="40" w:after="40" w:line="360" w:lineRule="auto"/>
        <w:ind w:firstLine="480"/>
      </w:pPr>
      <w:r>
        <w:rPr>
          <w:rFonts w:hint="eastAsia" w:ascii="Times New Roman" w:hAnsi="Times New Roman" w:eastAsia="宋体"/>
          <w:sz w:val="24"/>
        </w:rPr>
        <w:t>冒烟测试：smoke_test_app.py（验证系统可启动）、smoke_test_scorer.py（验证实时评分链路：模型回代、缺失值路由、API</w:t>
      </w:r>
      <w:r>
        <w:rPr>
          <w:rFonts w:ascii="Times New Roman" w:hAnsi="Times New Roman" w:eastAsia="宋体"/>
          <w:sz w:val="24"/>
        </w:rPr>
        <w:t xml:space="preserve"> </w:t>
      </w:r>
      <w:r>
        <w:rPr>
          <w:rFonts w:hint="eastAsia" w:ascii="Times New Roman" w:hAnsi="Times New Roman" w:eastAsia="宋体"/>
          <w:sz w:val="24"/>
        </w:rPr>
        <w:t>双接口）</w:t>
      </w:r>
    </w:p>
    <w:p w14:paraId="1C30A653">
      <w:pPr>
        <w:pStyle w:val="3"/>
        <w:spacing w:before="40" w:after="40" w:line="360" w:lineRule="auto"/>
        <w:ind w:firstLine="480"/>
      </w:pPr>
      <w:r>
        <w:rPr>
          <w:rFonts w:hint="eastAsia" w:ascii="Times New Roman" w:hAnsi="Times New Roman" w:eastAsia="宋体"/>
          <w:sz w:val="24"/>
        </w:rPr>
        <w:t>系统界面截图（见配套截图文件夹）：P1 总览热力图展示双市场 20 家公司 × 3 财年的五维综合评分全景；P2 公司画像支持单公司五维评分展开、验算式与证据链原文回查；P3 跨年轨迹以折线图呈现同一公司多年评分变化，标注估计变更事件点；P4 权重敏感性提供权重滑块实时重算，验证评分对权重假设的稳健性；P5 方法论页面阐述三重错配理论与五维评分体系设计逻辑；P6 实时评分演示基于 XGBoost 模型，输入财务指标后实时输出综合评分、风险等级与 SHAP 驱动因素解释；P7 智能标注流水线接入 DeepSeek 大模型，实现美股 10-K 与 A 股年报的全自动下载、风险信号识别、证据链标注与五维评分。</w:t>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r>
        <w:rPr>
          <w:rFonts w:ascii="Times New Roman" w:hAnsi="Times New Roman" w:eastAsia="宋体"/>
          <w:sz w:val="24"/>
        </w:rPr>
      </w:r>
      <w:r>
        <w:rPr>
          <w:rFonts w:hint="eastAsia" w:ascii="Times New Roman" w:hAnsi="Times New Roman" w:eastAsia="宋体"/>
          <w:sz w:val="24"/>
        </w:rPr>
      </w:r>
    </w:p>
    <w:bookmarkEnd w:id="183"/>
    <w:p w14:paraId="3E32EC5B">
      <w:pPr>
        <w:pStyle w:val="2"/>
        <w:pageBreakBefore/>
        <w:spacing w:before="360" w:after="240" w:line="360" w:lineRule="auto"/>
        <w:jc w:val="center"/>
      </w:pPr>
      <w:bookmarkStart w:id="184" w:name="_Toc24823"/>
      <w:bookmarkStart w:id="185" w:name="附录-e-团队分工"/>
      <w:r>
        <w:rPr>
          <w:rFonts w:hint="eastAsia" w:ascii="Times New Roman" w:hAnsi="Times New Roman" w:eastAsia="黑体"/>
          <w:b/>
          <w:color w:val="000000"/>
          <w:sz w:val="32"/>
        </w:rPr>
        <w:t>附录</w:t>
      </w:r>
      <w:r>
        <w:rPr>
          <w:rFonts w:ascii="Times New Roman" w:hAnsi="Times New Roman" w:eastAsia="黑体"/>
          <w:b/>
          <w:color w:val="000000"/>
          <w:sz w:val="32"/>
        </w:rPr>
        <w:t xml:space="preserve"> E </w:t>
      </w:r>
      <w:r>
        <w:rPr>
          <w:rFonts w:hint="eastAsia" w:ascii="Times New Roman" w:hAnsi="Times New Roman" w:eastAsia="黑体"/>
          <w:b/>
          <w:color w:val="000000"/>
          <w:sz w:val="32"/>
        </w:rPr>
        <w:t>团队分工</w:t>
      </w:r>
      <w:bookmarkEnd w:id="184"/>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3EE26EFF">
        <w:tblPrEx>
          <w:tblCellMar>
            <w:top w:w="0" w:type="dxa"/>
            <w:left w:w="108" w:type="dxa"/>
            <w:bottom w:w="0" w:type="dxa"/>
            <w:right w:w="108" w:type="dxa"/>
          </w:tblCellMar>
        </w:tblPrEx>
        <w:trPr>
          <w:cantSplit/>
          <w:tblHeader/>
        </w:trPr>
        <w:tc>
          <w:p w14:paraId="3DB5F0A3">
            <w:pPr>
              <w:pStyle w:val="26"/>
              <w:spacing w:before="20" w:after="20" w:line="276" w:lineRule="auto"/>
            </w:pPr>
            <w:r>
              <w:rPr>
                <w:rFonts w:hint="eastAsia" w:ascii="Times New Roman" w:hAnsi="Times New Roman" w:eastAsia="宋体"/>
                <w:b/>
                <w:bCs/>
                <w:sz w:val="20"/>
              </w:rPr>
              <w:t>工作模块</w:t>
            </w:r>
          </w:p>
        </w:tc>
        <w:tc>
          <w:p w14:paraId="623F6030">
            <w:pPr>
              <w:pStyle w:val="26"/>
              <w:spacing w:before="20" w:after="20" w:line="276" w:lineRule="auto"/>
            </w:pPr>
            <w:r>
              <w:rPr>
                <w:rFonts w:hint="eastAsia" w:ascii="Times New Roman" w:hAnsi="Times New Roman" w:eastAsia="宋体"/>
                <w:b/>
                <w:bCs/>
                <w:sz w:val="20"/>
              </w:rPr>
              <w:t>主要职责</w:t>
            </w:r>
          </w:p>
        </w:tc>
        <w:tc>
          <w:p w14:paraId="0F734BBE">
            <w:pPr>
              <w:pStyle w:val="26"/>
              <w:spacing w:before="20" w:after="20" w:line="276" w:lineRule="auto"/>
            </w:pPr>
            <w:r>
              <w:rPr>
                <w:rFonts w:hint="eastAsia" w:ascii="Times New Roman" w:hAnsi="Times New Roman" w:eastAsia="宋体"/>
                <w:b/>
                <w:bCs/>
                <w:sz w:val="20"/>
              </w:rPr>
              <w:t>对应成果</w:t>
            </w:r>
          </w:p>
        </w:tc>
        <w:tc>
          <w:p w14:paraId="6DF60F10">
            <w:pPr>
              <w:pStyle w:val="26"/>
              <w:spacing w:before="20" w:after="20" w:line="276" w:lineRule="auto"/>
            </w:pPr>
            <w:r>
              <w:rPr>
                <w:rFonts w:hint="eastAsia" w:ascii="Times New Roman" w:hAnsi="Times New Roman" w:eastAsia="宋体"/>
                <w:b/>
                <w:bCs/>
                <w:sz w:val="20"/>
              </w:rPr>
              <w:t>成员</w:t>
            </w:r>
          </w:p>
        </w:tc>
      </w:tr>
      <w:tr w14:paraId="53AE8762">
        <w:tblPrEx>
          <w:tblCellMar>
            <w:top w:w="0" w:type="dxa"/>
            <w:left w:w="108" w:type="dxa"/>
            <w:bottom w:w="0" w:type="dxa"/>
            <w:right w:w="108" w:type="dxa"/>
          </w:tblCellMar>
        </w:tblPrEx>
        <w:trPr>
          <w:cantSplit/>
        </w:trPr>
        <w:tc>
          <w:p w14:paraId="49B59EC6">
            <w:pPr>
              <w:pStyle w:val="26"/>
              <w:spacing w:before="20" w:after="20" w:line="276" w:lineRule="auto"/>
            </w:pPr>
            <w:r>
              <w:rPr>
                <w:rFonts w:hint="eastAsia" w:ascii="Times New Roman" w:hAnsi="Times New Roman" w:eastAsia="宋体"/>
                <w:sz w:val="20"/>
              </w:rPr>
              <w:t>选题与制度研究</w:t>
            </w:r>
          </w:p>
        </w:tc>
        <w:tc>
          <w:p w14:paraId="28FF41F2">
            <w:pPr>
              <w:pStyle w:val="26"/>
              <w:spacing w:before="20" w:after="20" w:line="276" w:lineRule="auto"/>
            </w:pPr>
            <w:r>
              <w:rPr>
                <w:rFonts w:hint="eastAsia" w:ascii="Times New Roman" w:hAnsi="Times New Roman" w:eastAsia="宋体"/>
                <w:sz w:val="20"/>
              </w:rPr>
              <w:t>赛题解读、需求方调研（平安科技保险）、中美会计准则对照、文献综述</w:t>
            </w:r>
          </w:p>
        </w:tc>
        <w:tc>
          <w:p w14:paraId="3A9B42CB">
            <w:pPr>
              <w:pStyle w:val="26"/>
              <w:spacing w:before="20" w:after="20" w:line="276" w:lineRule="auto"/>
            </w:pPr>
            <w:r>
              <w:rPr>
                <w:rFonts w:hint="eastAsia" w:ascii="Times New Roman" w:hAnsi="Times New Roman" w:eastAsia="宋体"/>
                <w:sz w:val="20"/>
              </w:rPr>
              <w:t>第一、二、六章</w:t>
            </w:r>
          </w:p>
        </w:tc>
        <w:tc>
          <w:p w14:paraId="362EE2B3">
            <w:pPr>
              <w:pStyle w:val="26"/>
              <w:spacing w:before="20" w:after="20" w:line="276" w:lineRule="auto"/>
            </w:pPr>
            <w:r>
              <w:rPr>
                <w:rFonts w:hint="eastAsia" w:ascii="Times New Roman" w:hAnsi="Times New Roman" w:eastAsia="宋体"/>
                <w:sz w:val="20"/>
              </w:rPr>
              <w:t>康中阳</w:t>
            </w:r>
            <w:r>
              <w:rPr>
                <w:rFonts w:ascii="Times New Roman" w:hAnsi="Times New Roman" w:eastAsia="宋体"/>
                <w:sz w:val="20"/>
              </w:rPr>
              <w:t xml:space="preserve"> / </w:t>
            </w:r>
            <w:r>
              <w:rPr>
                <w:rFonts w:hint="eastAsia" w:ascii="Times New Roman" w:hAnsi="Times New Roman" w:eastAsia="宋体"/>
                <w:sz w:val="20"/>
              </w:rPr>
              <w:t>金融数学</w:t>
            </w:r>
          </w:p>
        </w:tc>
      </w:tr>
      <w:tr w14:paraId="6A3F71BC">
        <w:tblPrEx>
          <w:tblCellMar>
            <w:top w:w="0" w:type="dxa"/>
            <w:left w:w="108" w:type="dxa"/>
            <w:bottom w:w="0" w:type="dxa"/>
            <w:right w:w="108" w:type="dxa"/>
          </w:tblCellMar>
        </w:tblPrEx>
        <w:trPr>
          <w:cantSplit/>
        </w:trPr>
        <w:tc>
          <w:p w14:paraId="24FE3881">
            <w:pPr>
              <w:pStyle w:val="26"/>
              <w:spacing w:before="20" w:after="20" w:line="276" w:lineRule="auto"/>
            </w:pPr>
            <w:r>
              <w:rPr>
                <w:rFonts w:hint="eastAsia" w:ascii="Times New Roman" w:hAnsi="Times New Roman" w:eastAsia="宋体"/>
                <w:sz w:val="20"/>
              </w:rPr>
              <w:t>证据链标注与人工复核</w:t>
            </w:r>
          </w:p>
        </w:tc>
        <w:tc>
          <w:p w14:paraId="6384CF09">
            <w:pPr>
              <w:pStyle w:val="26"/>
              <w:spacing w:before="20" w:after="20" w:line="276" w:lineRule="auto"/>
            </w:pPr>
            <w:r>
              <w:rPr>
                <w:rFonts w:ascii="Times New Roman" w:hAnsi="Times New Roman" w:eastAsia="宋体"/>
                <w:sz w:val="20"/>
              </w:rPr>
              <w:t xml:space="preserve">10-K </w:t>
            </w:r>
            <w:r>
              <w:rPr>
                <w:rFonts w:hint="eastAsia" w:ascii="Times New Roman" w:hAnsi="Times New Roman" w:eastAsia="宋体"/>
                <w:sz w:val="20"/>
              </w:rPr>
              <w:t>下载与定位、关键词检索、四列证据链标注、逐字人工复核（30</w:t>
            </w:r>
            <w:r>
              <w:rPr>
                <w:rFonts w:ascii="Times New Roman" w:hAnsi="Times New Roman" w:eastAsia="宋体"/>
                <w:sz w:val="20"/>
              </w:rPr>
              <w:t xml:space="preserve"> </w:t>
            </w:r>
            <w:r>
              <w:rPr>
                <w:rFonts w:hint="eastAsia" w:ascii="Times New Roman" w:hAnsi="Times New Roman" w:eastAsia="宋体"/>
                <w:sz w:val="20"/>
              </w:rPr>
              <w:t>份全部</w:t>
            </w:r>
            <w:r>
              <w:rPr>
                <w:rFonts w:ascii="Times New Roman" w:hAnsi="Times New Roman" w:eastAsia="宋体"/>
                <w:sz w:val="20"/>
              </w:rPr>
              <w:t xml:space="preserve"> </w:t>
            </w:r>
            <w:r>
              <w:rPr>
                <w:rFonts w:hint="eastAsia" w:ascii="Times New Roman" w:hAnsi="Times New Roman" w:eastAsia="宋体"/>
                <w:sz w:val="20"/>
              </w:rPr>
              <w:t>confirmed）</w:t>
            </w:r>
          </w:p>
        </w:tc>
        <w:tc>
          <w:p w14:paraId="530BE529">
            <w:pPr>
              <w:pStyle w:val="26"/>
              <w:spacing w:before="20" w:after="20" w:line="276" w:lineRule="auto"/>
            </w:pPr>
            <w:r>
              <w:rPr>
                <w:rFonts w:hint="eastAsia" w:ascii="Times New Roman" w:hAnsi="Times New Roman" w:eastAsia="宋体"/>
                <w:sz w:val="20"/>
              </w:rPr>
              <w:t>第三、四章，附录</w:t>
            </w:r>
            <w:r>
              <w:rPr>
                <w:rFonts w:ascii="Times New Roman" w:hAnsi="Times New Roman" w:eastAsia="宋体"/>
                <w:sz w:val="20"/>
              </w:rPr>
              <w:t xml:space="preserve"> B</w:t>
            </w:r>
          </w:p>
        </w:tc>
        <w:tc>
          <w:p w14:paraId="0EADB49D">
            <w:pPr>
              <w:pStyle w:val="26"/>
              <w:spacing w:before="20" w:after="20" w:line="276" w:lineRule="auto"/>
            </w:pPr>
            <w:r>
              <w:rPr>
                <w:rFonts w:hint="eastAsia" w:ascii="Times New Roman" w:hAnsi="Times New Roman" w:eastAsia="宋体"/>
                <w:sz w:val="20"/>
              </w:rPr>
              <w:t>康中阳</w:t>
            </w:r>
            <w:r>
              <w:rPr>
                <w:rFonts w:ascii="Times New Roman" w:hAnsi="Times New Roman" w:eastAsia="宋体"/>
                <w:sz w:val="20"/>
              </w:rPr>
              <w:t xml:space="preserve"> / </w:t>
            </w:r>
            <w:r>
              <w:rPr>
                <w:rFonts w:hint="eastAsia" w:ascii="Times New Roman" w:hAnsi="Times New Roman" w:eastAsia="宋体"/>
                <w:sz w:val="20"/>
              </w:rPr>
              <w:t>金融数学</w:t>
            </w:r>
          </w:p>
        </w:tc>
      </w:tr>
      <w:tr w14:paraId="3E161AEB">
        <w:tblPrEx>
          <w:tblCellMar>
            <w:top w:w="0" w:type="dxa"/>
            <w:left w:w="108" w:type="dxa"/>
            <w:bottom w:w="0" w:type="dxa"/>
            <w:right w:w="108" w:type="dxa"/>
          </w:tblCellMar>
        </w:tblPrEx>
        <w:trPr>
          <w:cantSplit/>
        </w:trPr>
        <w:tc>
          <w:p w14:paraId="52C28BDF">
            <w:pPr>
              <w:pStyle w:val="26"/>
              <w:spacing w:before="20" w:after="20" w:line="276" w:lineRule="auto"/>
            </w:pPr>
            <w:r>
              <w:rPr>
                <w:rFonts w:hint="eastAsia" w:ascii="Times New Roman" w:hAnsi="Times New Roman" w:eastAsia="宋体"/>
                <w:sz w:val="20"/>
              </w:rPr>
              <w:t>数据工程与模型验证</w:t>
            </w:r>
          </w:p>
        </w:tc>
        <w:tc>
          <w:p w14:paraId="18ACF407">
            <w:pPr>
              <w:pStyle w:val="26"/>
              <w:spacing w:before="20" w:after="20" w:line="276" w:lineRule="auto"/>
            </w:pPr>
            <w:r>
              <w:rPr>
                <w:rFonts w:ascii="Times New Roman" w:hAnsi="Times New Roman" w:eastAsia="宋体"/>
                <w:sz w:val="20"/>
              </w:rPr>
              <w:t xml:space="preserve">45 </w:t>
            </w:r>
            <w:r>
              <w:rPr>
                <w:rFonts w:hint="eastAsia" w:ascii="Times New Roman" w:hAnsi="Times New Roman" w:eastAsia="宋体"/>
                <w:sz w:val="20"/>
              </w:rPr>
              <w:t>指标提取脚本、训练集</w:t>
            </w:r>
            <w:r>
              <w:rPr>
                <w:rFonts w:ascii="Times New Roman" w:hAnsi="Times New Roman" w:eastAsia="宋体"/>
                <w:sz w:val="20"/>
              </w:rPr>
              <w:t xml:space="preserve"> v0.6 </w:t>
            </w:r>
            <w:r>
              <w:rPr>
                <w:rFonts w:hint="eastAsia" w:ascii="Times New Roman" w:hAnsi="Times New Roman" w:eastAsia="宋体"/>
                <w:sz w:val="20"/>
              </w:rPr>
              <w:t>构建（30</w:t>
            </w:r>
            <w:r>
              <w:rPr>
                <w:rFonts w:ascii="Times New Roman" w:hAnsi="Times New Roman" w:eastAsia="宋体"/>
                <w:sz w:val="20"/>
              </w:rPr>
              <w:t xml:space="preserve"> </w:t>
            </w:r>
            <w:r>
              <w:rPr>
                <w:rFonts w:hint="eastAsia" w:ascii="Times New Roman" w:hAnsi="Times New Roman" w:eastAsia="宋体"/>
                <w:sz w:val="20"/>
              </w:rPr>
              <w:t>行</w:t>
            </w:r>
            <w:r>
              <w:rPr>
                <w:rFonts w:ascii="Times New Roman" w:hAnsi="Times New Roman" w:eastAsia="宋体"/>
                <w:sz w:val="20"/>
              </w:rPr>
              <w:t xml:space="preserve"> × 85 </w:t>
            </w:r>
            <w:r>
              <w:rPr>
                <w:rFonts w:hint="eastAsia" w:ascii="Times New Roman" w:hAnsi="Times New Roman" w:eastAsia="宋体"/>
                <w:sz w:val="20"/>
              </w:rPr>
              <w:t>列）、XGBoost</w:t>
            </w:r>
            <w:r>
              <w:rPr>
                <w:rFonts w:ascii="Times New Roman" w:hAnsi="Times New Roman" w:eastAsia="宋体"/>
                <w:sz w:val="20"/>
              </w:rPr>
              <w:t xml:space="preserve"> PoC </w:t>
            </w:r>
            <w:r>
              <w:rPr>
                <w:rFonts w:hint="eastAsia" w:ascii="Times New Roman" w:hAnsi="Times New Roman" w:eastAsia="宋体"/>
                <w:sz w:val="20"/>
              </w:rPr>
              <w:t>与</w:t>
            </w:r>
            <w:r>
              <w:rPr>
                <w:rFonts w:ascii="Times New Roman" w:hAnsi="Times New Roman" w:eastAsia="宋体"/>
                <w:sz w:val="20"/>
              </w:rPr>
              <w:t xml:space="preserve"> SHAP </w:t>
            </w:r>
            <w:r>
              <w:rPr>
                <w:rFonts w:hint="eastAsia" w:ascii="Times New Roman" w:hAnsi="Times New Roman" w:eastAsia="宋体"/>
                <w:sz w:val="20"/>
              </w:rPr>
              <w:t>分析</w:t>
            </w:r>
          </w:p>
        </w:tc>
        <w:tc>
          <w:p w14:paraId="45F625BE">
            <w:pPr>
              <w:pStyle w:val="26"/>
              <w:spacing w:before="20" w:after="20" w:line="276" w:lineRule="auto"/>
            </w:pPr>
            <w:r>
              <w:rPr>
                <w:rFonts w:hint="eastAsia" w:ascii="Times New Roman" w:hAnsi="Times New Roman" w:eastAsia="宋体"/>
                <w:sz w:val="20"/>
              </w:rPr>
              <w:t>附录</w:t>
            </w:r>
            <w:r>
              <w:rPr>
                <w:rFonts w:ascii="Times New Roman" w:hAnsi="Times New Roman" w:eastAsia="宋体"/>
                <w:sz w:val="20"/>
              </w:rPr>
              <w:t xml:space="preserve"> A、C、F</w:t>
            </w:r>
          </w:p>
        </w:tc>
        <w:tc>
          <w:p w14:paraId="243246B9">
            <w:pPr>
              <w:pStyle w:val="26"/>
              <w:spacing w:before="20" w:after="20" w:line="276" w:lineRule="auto"/>
            </w:pPr>
            <w:r>
              <w:rPr>
                <w:rFonts w:hint="eastAsia" w:ascii="Times New Roman" w:hAnsi="Times New Roman" w:eastAsia="宋体"/>
                <w:sz w:val="20"/>
              </w:rPr>
              <w:t>程亚楠</w:t>
            </w:r>
            <w:r>
              <w:rPr>
                <w:rFonts w:ascii="Times New Roman" w:hAnsi="Times New Roman" w:eastAsia="宋体"/>
                <w:sz w:val="20"/>
              </w:rPr>
              <w:t xml:space="preserve"> / </w:t>
            </w:r>
            <w:r>
              <w:rPr>
                <w:rFonts w:hint="eastAsia" w:ascii="Times New Roman" w:hAnsi="Times New Roman" w:eastAsia="宋体"/>
                <w:sz w:val="20"/>
              </w:rPr>
              <w:t>计算机科学与技术</w:t>
            </w:r>
          </w:p>
        </w:tc>
      </w:tr>
      <w:tr w14:paraId="533A49C3">
        <w:tblPrEx>
          <w:tblCellMar>
            <w:top w:w="0" w:type="dxa"/>
            <w:left w:w="108" w:type="dxa"/>
            <w:bottom w:w="0" w:type="dxa"/>
            <w:right w:w="108" w:type="dxa"/>
          </w:tblCellMar>
        </w:tblPrEx>
        <w:trPr>
          <w:cantSplit/>
        </w:trPr>
        <w:tc>
          <w:p w14:paraId="3244CC1E">
            <w:pPr>
              <w:pStyle w:val="26"/>
              <w:spacing w:before="20" w:after="20" w:line="276" w:lineRule="auto"/>
            </w:pPr>
            <w:r>
              <w:rPr>
                <w:rFonts w:hint="eastAsia" w:ascii="Times New Roman" w:hAnsi="Times New Roman" w:eastAsia="宋体"/>
                <w:sz w:val="20"/>
              </w:rPr>
              <w:t>系统开发</w:t>
            </w:r>
          </w:p>
        </w:tc>
        <w:tc>
          <w:p w14:paraId="29FFA53D">
            <w:pPr>
              <w:pStyle w:val="26"/>
              <w:spacing w:before="20" w:after="20" w:line="276" w:lineRule="auto"/>
            </w:pPr>
            <w:r>
              <w:rPr>
                <w:rFonts w:ascii="Times New Roman" w:hAnsi="Times New Roman" w:eastAsia="宋体"/>
                <w:sz w:val="20"/>
              </w:rPr>
              <w:t xml:space="preserve">Streamlit </w:t>
            </w:r>
            <w:r>
              <w:rPr>
                <w:rFonts w:hint="eastAsia" w:ascii="Times New Roman" w:hAnsi="Times New Roman" w:eastAsia="宋体"/>
                <w:sz w:val="20"/>
              </w:rPr>
              <w:t>识别系统、FastAPI</w:t>
            </w:r>
            <w:r>
              <w:rPr>
                <w:rFonts w:ascii="Times New Roman" w:hAnsi="Times New Roman" w:eastAsia="宋体"/>
                <w:sz w:val="20"/>
              </w:rPr>
              <w:t xml:space="preserve"> </w:t>
            </w:r>
            <w:r>
              <w:rPr>
                <w:rFonts w:hint="eastAsia" w:ascii="Times New Roman" w:hAnsi="Times New Roman" w:eastAsia="宋体"/>
                <w:sz w:val="20"/>
              </w:rPr>
              <w:t>预留接口、冒烟测试与代码维护</w:t>
            </w:r>
          </w:p>
        </w:tc>
        <w:tc>
          <w:p w14:paraId="5AFBF099">
            <w:pPr>
              <w:pStyle w:val="26"/>
              <w:spacing w:before="20" w:after="20" w:line="276" w:lineRule="auto"/>
            </w:pPr>
            <w:r>
              <w:rPr>
                <w:rFonts w:ascii="Times New Roman" w:hAnsi="Times New Roman" w:eastAsia="宋体"/>
                <w:sz w:val="20"/>
              </w:rPr>
              <w:t xml:space="preserve">5.2 </w:t>
            </w:r>
            <w:r>
              <w:rPr>
                <w:rFonts w:hint="eastAsia" w:ascii="Times New Roman" w:hAnsi="Times New Roman" w:eastAsia="宋体"/>
                <w:sz w:val="20"/>
              </w:rPr>
              <w:t>节，附录</w:t>
            </w:r>
            <w:r>
              <w:rPr>
                <w:rFonts w:ascii="Times New Roman" w:hAnsi="Times New Roman" w:eastAsia="宋体"/>
                <w:sz w:val="20"/>
              </w:rPr>
              <w:t xml:space="preserve"> D</w:t>
            </w:r>
          </w:p>
        </w:tc>
        <w:tc>
          <w:p w14:paraId="63411060">
            <w:pPr>
              <w:pStyle w:val="26"/>
              <w:spacing w:before="20" w:after="20" w:line="276" w:lineRule="auto"/>
            </w:pPr>
            <w:r>
              <w:rPr>
                <w:rFonts w:hint="eastAsia" w:ascii="Times New Roman" w:hAnsi="Times New Roman" w:eastAsia="宋体"/>
                <w:sz w:val="20"/>
              </w:rPr>
              <w:t>程亚楠</w:t>
            </w:r>
            <w:r>
              <w:rPr>
                <w:rFonts w:ascii="Times New Roman" w:hAnsi="Times New Roman" w:eastAsia="宋体"/>
                <w:sz w:val="20"/>
              </w:rPr>
              <w:t xml:space="preserve"> / </w:t>
            </w:r>
            <w:r>
              <w:rPr>
                <w:rFonts w:hint="eastAsia" w:ascii="Times New Roman" w:hAnsi="Times New Roman" w:eastAsia="宋体"/>
                <w:sz w:val="20"/>
              </w:rPr>
              <w:t>计算机科学与技术</w:t>
            </w:r>
          </w:p>
        </w:tc>
      </w:tr>
      <w:tr w14:paraId="2A896FBC">
        <w:tblPrEx>
          <w:tblCellMar>
            <w:top w:w="0" w:type="dxa"/>
            <w:left w:w="108" w:type="dxa"/>
            <w:bottom w:w="0" w:type="dxa"/>
            <w:right w:w="108" w:type="dxa"/>
          </w:tblCellMar>
        </w:tblPrEx>
        <w:trPr>
          <w:cantSplit/>
        </w:trPr>
        <w:tc>
          <w:p w14:paraId="3B070CB3">
            <w:pPr>
              <w:pStyle w:val="26"/>
              <w:spacing w:before="20" w:after="20" w:line="276" w:lineRule="auto"/>
            </w:pPr>
            <w:r>
              <w:rPr>
                <w:rFonts w:hint="eastAsia" w:ascii="Times New Roman" w:hAnsi="Times New Roman" w:eastAsia="宋体"/>
                <w:sz w:val="20"/>
              </w:rPr>
              <w:t>报告撰写与可视化</w:t>
            </w:r>
          </w:p>
        </w:tc>
        <w:tc>
          <w:p w14:paraId="404C3730">
            <w:pPr>
              <w:pStyle w:val="26"/>
              <w:spacing w:before="20" w:after="20" w:line="276" w:lineRule="auto"/>
            </w:pPr>
            <w:r>
              <w:rPr>
                <w:rFonts w:hint="eastAsia" w:ascii="Times New Roman" w:hAnsi="Times New Roman" w:eastAsia="宋体"/>
                <w:sz w:val="20"/>
              </w:rPr>
              <w:t>七章正文统稿、图表绘制、摘要与答辩材料制作</w:t>
            </w:r>
          </w:p>
        </w:tc>
        <w:tc>
          <w:p w14:paraId="0F8A4136">
            <w:pPr>
              <w:pStyle w:val="26"/>
              <w:spacing w:before="20" w:after="20" w:line="276" w:lineRule="auto"/>
            </w:pPr>
            <w:r>
              <w:rPr>
                <w:rFonts w:hint="eastAsia" w:ascii="Times New Roman" w:hAnsi="Times New Roman" w:eastAsia="宋体"/>
                <w:sz w:val="20"/>
              </w:rPr>
              <w:t>全文及报告图表</w:t>
            </w:r>
          </w:p>
        </w:tc>
        <w:tc>
          <w:p w14:paraId="1F0B2D10">
            <w:pPr>
              <w:pStyle w:val="26"/>
              <w:spacing w:before="20" w:after="20" w:line="276" w:lineRule="auto"/>
            </w:pPr>
            <w:r>
              <w:rPr>
                <w:rFonts w:hint="eastAsia" w:ascii="Times New Roman" w:hAnsi="Times New Roman" w:eastAsia="宋体"/>
                <w:sz w:val="20"/>
              </w:rPr>
              <w:t>康中阳、程亚楠（共同完成）</w:t>
            </w:r>
          </w:p>
        </w:tc>
      </w:tr>
    </w:tbl>
    <w:p w14:paraId="133CA013">
      <w:pPr>
        <w:pStyle w:val="3"/>
        <w:spacing w:before="40" w:after="40" w:line="360" w:lineRule="auto"/>
        <w:ind w:firstLine="480"/>
      </w:pPr>
      <w:r>
        <w:rPr>
          <w:rFonts w:hint="eastAsia" w:ascii="Times New Roman" w:hAnsi="Times New Roman" w:eastAsia="宋体"/>
          <w:sz w:val="24"/>
        </w:rPr>
        <w:t>团队实行双核驱动协作模式:康中阳负责会计制度研究、10-K证据链标注与45指标提取(财务维度)，程亚楠负责Streamlit系统架构设计、XGBoost模型验证与代码审核(技术维度)。两人每周交叉复核关键数字(评分、金额、行号)，复核记录留痕(review_status字段)。总工作量约90人天，在6周竞赛周期内完成。</w:t>
      </w:r>
    </w:p>
    <w:p w14:paraId="3FDCF2A3">
      <w:pPr>
        <w:pStyle w:val="3"/>
        <w:spacing w:before="40" w:after="40" w:line="360" w:lineRule="auto"/>
        <w:ind w:firstLine="480"/>
      </w:pPr>
      <w:r>
        <w:rPr>
          <w:rFonts w:hint="eastAsia" w:ascii="Times New Roman" w:hAnsi="Times New Roman" w:eastAsia="宋体"/>
          <w:sz w:val="24"/>
        </w:rPr>
        <w:t>协作机制：全项目实行“AI</w:t>
      </w:r>
      <w:r>
        <w:rPr>
          <w:rFonts w:ascii="Times New Roman" w:hAnsi="Times New Roman" w:eastAsia="宋体"/>
          <w:sz w:val="24"/>
        </w:rPr>
        <w:t xml:space="preserve"> </w:t>
      </w:r>
      <w:r>
        <w:rPr>
          <w:rFonts w:hint="eastAsia" w:ascii="Times New Roman" w:hAnsi="Times New Roman" w:eastAsia="宋体"/>
          <w:sz w:val="24"/>
        </w:rPr>
        <w:t>草拟</w:t>
      </w:r>
      <w:r>
        <w:rPr>
          <w:rFonts w:ascii="Times New Roman" w:hAnsi="Times New Roman" w:eastAsia="宋体"/>
          <w:sz w:val="24"/>
        </w:rPr>
        <w:t xml:space="preserve"> + </w:t>
      </w:r>
      <w:r>
        <w:rPr>
          <w:rFonts w:hint="eastAsia" w:ascii="Times New Roman" w:hAnsi="Times New Roman" w:eastAsia="宋体"/>
          <w:sz w:val="24"/>
        </w:rPr>
        <w:t>人工复核”双签制——AI</w:t>
      </w:r>
      <w:r>
        <w:rPr>
          <w:rFonts w:ascii="Times New Roman" w:hAnsi="Times New Roman" w:eastAsia="宋体"/>
          <w:sz w:val="24"/>
        </w:rPr>
        <w:t xml:space="preserve"> </w:t>
      </w:r>
      <w:r>
        <w:rPr>
          <w:rFonts w:hint="eastAsia" w:ascii="Times New Roman" w:hAnsi="Times New Roman" w:eastAsia="宋体"/>
          <w:sz w:val="24"/>
        </w:rPr>
        <w:t>完成初筛与草拟，负责人逐条回原文复核后方可入库；每周例会同步标注口径，关键数字（评分、金额、行号）实行交叉核对，复核记录留痕（review_status</w:t>
      </w:r>
      <w:r>
        <w:rPr>
          <w:rFonts w:ascii="Times New Roman" w:hAnsi="Times New Roman" w:eastAsia="宋体"/>
          <w:sz w:val="24"/>
        </w:rPr>
        <w:t xml:space="preserve"> </w:t>
      </w:r>
      <w:r>
        <w:rPr>
          <w:rFonts w:hint="eastAsia" w:ascii="Times New Roman" w:hAnsi="Times New Roman" w:eastAsia="宋体"/>
          <w:sz w:val="24"/>
        </w:rPr>
        <w:t>字段）。</w:t>
      </w:r>
    </w:p>
    <w:bookmarkEnd w:id="185"/>
    <w:p w14:paraId="32272F5F">
      <w:pPr>
        <w:pStyle w:val="2"/>
        <w:pageBreakBefore/>
        <w:spacing w:before="360" w:after="240" w:line="360" w:lineRule="auto"/>
        <w:jc w:val="center"/>
      </w:pPr>
      <w:bookmarkStart w:id="186" w:name="_Toc31578"/>
      <w:bookmarkStart w:id="187" w:name="X5e4f6de21563c2e80429d479620e23cfc5ada9b"/>
      <w:r>
        <w:rPr>
          <w:rFonts w:hint="eastAsia" w:ascii="Times New Roman" w:hAnsi="Times New Roman" w:eastAsia="黑体"/>
          <w:b/>
          <w:color w:val="000000"/>
          <w:sz w:val="32"/>
        </w:rPr>
        <w:t>附录 F 机器学习方向验证：人工评分逻辑的可计算性证明</w:t>
      </w:r>
      <w:bookmarkEnd w:id="186"/>
    </w:p>
    <w:p w14:paraId="337BB223">
      <w:pPr>
        <w:pStyle w:val="25"/>
        <w:spacing w:before="40" w:after="40" w:line="360" w:lineRule="auto"/>
        <w:ind w:firstLine="480"/>
      </w:pPr>
      <w:r>
        <w:rPr>
          <w:rFonts w:hint="eastAsia" w:ascii="Times New Roman" w:hAnsi="Times New Roman" w:eastAsia="宋体"/>
          <w:sz w:val="24"/>
        </w:rPr>
        <w:t>定位说明：本附录回答一个问题——人工专家的评分逻辑能否被机器复现？即验证 5D-DRS 评分体系是否具有可计算的结构。在 10 家公司 × 3 年面板（30 个观测 × 55 个特征）上，XGBoost 模型在留一公司交叉验证（LOGO，同公司三个财年全部留出、无公司级信息泄漏）下取得 MAE 0.418，相对朴素基线（MAE 0.784）改善 46.6%，表明人工标注的综合评分与可计算特征之间存在可学习结构。结论边界：该结论不自动外推至未标注公司、其他行业或非 AI 资本开支周期的折旧行为。</w:t>
      </w:r>
    </w:p>
    <w:p w14:paraId="2C42FE9C">
      <w:pPr>
        <w:pStyle w:val="4"/>
        <w:spacing w:before="320" w:after="160" w:line="360" w:lineRule="auto"/>
      </w:pPr>
      <w:bookmarkStart w:id="188" w:name="_Toc13592"/>
      <w:bookmarkStart w:id="189" w:name="f.1-方法"/>
      <w:r>
        <w:rPr>
          <w:rFonts w:ascii="Times New Roman" w:hAnsi="Times New Roman" w:eastAsia="黑体"/>
          <w:b/>
          <w:color w:val="003366"/>
          <w:sz w:val="28"/>
        </w:rPr>
        <w:t xml:space="preserve">F.1 </w:t>
      </w:r>
      <w:r>
        <w:rPr>
          <w:rFonts w:hint="eastAsia" w:ascii="Times New Roman" w:hAnsi="Times New Roman" w:eastAsia="黑体"/>
          <w:b/>
          <w:color w:val="003366"/>
          <w:sz w:val="28"/>
        </w:rPr>
        <w:t>方法</w:t>
      </w:r>
      <w:bookmarkEnd w:id="188"/>
    </w:p>
    <w:p w14:paraId="077B5008">
      <w:pPr>
        <w:pStyle w:val="25"/>
        <w:spacing w:before="40" w:after="40" w:line="360" w:lineRule="auto"/>
        <w:ind w:firstLine="480"/>
      </w:pPr>
      <w:r>
        <w:rPr>
          <w:rFonts w:hint="eastAsia" w:ascii="Times New Roman" w:hAnsi="Times New Roman" w:eastAsia="宋体"/>
          <w:sz w:val="24"/>
        </w:rPr>
        <w:t>数据：10 家美国科技公司 10-K 标注面板样本（30 行 = 10 家公司 × 3 个财年 × 85 列原始指标）。数据集经两轮清洗校验，剔空后保留 55 个有效特征，含 YoY 增长指标（depreciation_growth_rate、capex_yoy_growth、revenue_growth_rate，26-27/30 行有值）与完整比率体系。</w:t>
      </w:r>
    </w:p>
    <w:p w14:paraId="21502711">
      <w:pPr>
        <w:pStyle w:val="3"/>
        <w:spacing w:before="40" w:after="40" w:line="360" w:lineRule="auto"/>
        <w:ind w:firstLine="480"/>
      </w:pPr>
      <w:r>
        <w:rPr>
          <w:rFonts w:hint="eastAsia" w:ascii="Times New Roman" w:hAnsi="Times New Roman" w:eastAsia="宋体"/>
          <w:sz w:val="24"/>
        </w:rPr>
        <w:t>目标变量：composite_score（人工五维评分综合分，1–5</w:t>
      </w:r>
      <w:r>
        <w:rPr>
          <w:rFonts w:ascii="Times New Roman" w:hAnsi="Times New Roman" w:eastAsia="宋体"/>
          <w:sz w:val="24"/>
        </w:rPr>
        <w:t xml:space="preserve"> </w:t>
      </w:r>
      <w:r>
        <w:rPr>
          <w:rFonts w:hint="eastAsia" w:ascii="Times New Roman" w:hAnsi="Times New Roman" w:eastAsia="宋体"/>
          <w:sz w:val="24"/>
        </w:rPr>
        <w:t>分）。</w:t>
      </w:r>
    </w:p>
    <w:p w14:paraId="6E903513">
      <w:pPr>
        <w:pStyle w:val="3"/>
        <w:spacing w:before="40" w:after="40" w:line="360" w:lineRule="auto"/>
        <w:ind w:firstLine="480"/>
      </w:pPr>
      <w:r>
        <w:rPr>
          <w:rFonts w:hint="eastAsia" w:ascii="Times New Roman" w:hAnsi="Times New Roman" w:eastAsia="宋体"/>
          <w:sz w:val="24"/>
        </w:rPr>
        <w:t>特征：剔除标识列（ticker</w:t>
      </w:r>
      <w:r>
        <w:rPr>
          <w:rFonts w:ascii="Times New Roman" w:hAnsi="Times New Roman" w:eastAsia="宋体"/>
          <w:sz w:val="24"/>
        </w:rPr>
        <w:t xml:space="preserve"> / company_name / fiscal_year / </w:t>
      </w:r>
      <w:r>
        <w:rPr>
          <w:rFonts w:hint="eastAsia" w:ascii="Times New Roman" w:hAnsi="Times New Roman" w:eastAsia="宋体"/>
          <w:sz w:val="24"/>
        </w:rPr>
        <w:t>report_period_end）、标签列（D1–D5</w:t>
      </w:r>
      <w:r>
        <w:rPr>
          <w:rFonts w:ascii="Times New Roman" w:hAnsi="Times New Roman" w:eastAsia="宋体"/>
          <w:sz w:val="24"/>
        </w:rPr>
        <w:t xml:space="preserve"> / composite_score / </w:t>
      </w:r>
      <w:r>
        <w:rPr>
          <w:rFonts w:hint="eastAsia" w:ascii="Times New Roman" w:hAnsi="Times New Roman" w:eastAsia="宋体"/>
          <w:sz w:val="24"/>
        </w:rPr>
        <w:t>risk_level）与</w:t>
      </w:r>
      <w:r>
        <w:rPr>
          <w:rFonts w:ascii="Times New Roman" w:hAnsi="Times New Roman" w:eastAsia="宋体"/>
          <w:sz w:val="24"/>
        </w:rPr>
        <w:t xml:space="preserve"> 5 </w:t>
      </w:r>
      <w:r>
        <w:rPr>
          <w:rFonts w:hint="eastAsia" w:ascii="Times New Roman" w:hAnsi="Times New Roman" w:eastAsia="宋体"/>
          <w:sz w:val="24"/>
        </w:rPr>
        <w:t>个文本列（server_useful_life、building_useful_life、equipment_useful_life、software_amortization_years、goodwill_test_method，为“34-44”式区间文本或商誉测试方法长文本，其数值化对应列</w:t>
      </w:r>
      <w:r>
        <w:rPr>
          <w:rFonts w:ascii="Times New Roman" w:hAnsi="Times New Roman" w:eastAsia="宋体"/>
          <w:sz w:val="24"/>
        </w:rPr>
        <w:t xml:space="preserve"> server/building_life_min/max_years </w:t>
      </w:r>
      <w:r>
        <w:rPr>
          <w:rFonts w:hint="eastAsia" w:ascii="Times New Roman" w:hAnsi="Times New Roman" w:eastAsia="宋体"/>
          <w:sz w:val="24"/>
        </w:rPr>
        <w:t>已在特征集中）后，再剔除</w:t>
      </w:r>
      <w:r>
        <w:rPr>
          <w:rFonts w:ascii="Times New Roman" w:hAnsi="Times New Roman" w:eastAsia="宋体"/>
          <w:sz w:val="24"/>
        </w:rPr>
        <w:t xml:space="preserve"> 14 </w:t>
      </w:r>
      <w:r>
        <w:rPr>
          <w:rFonts w:hint="eastAsia" w:ascii="Times New Roman" w:hAnsi="Times New Roman" w:eastAsia="宋体"/>
          <w:sz w:val="24"/>
        </w:rPr>
        <w:t>个整列为空的列（无数据来源，含</w:t>
      </w:r>
      <w:r>
        <w:rPr>
          <w:rFonts w:ascii="Times New Roman" w:hAnsi="Times New Roman" w:eastAsia="宋体"/>
          <w:sz w:val="24"/>
        </w:rPr>
        <w:t xml:space="preserve"> servers_net、buildings_net、rd_capitalized、cash_and_equivalents、total_liabilities、effective_tax_rate </w:t>
      </w:r>
      <w:r>
        <w:rPr>
          <w:rFonts w:hint="eastAsia" w:ascii="Times New Roman" w:hAnsi="Times New Roman" w:eastAsia="宋体"/>
          <w:sz w:val="24"/>
        </w:rPr>
        <w:t>等），最终保留</w:t>
      </w:r>
      <w:r>
        <w:rPr>
          <w:rFonts w:ascii="Times New Roman" w:hAnsi="Times New Roman" w:eastAsia="宋体"/>
          <w:sz w:val="24"/>
        </w:rPr>
        <w:t xml:space="preserve"> 55 </w:t>
      </w:r>
      <w:r>
        <w:rPr>
          <w:rFonts w:hint="eastAsia" w:ascii="Times New Roman" w:hAnsi="Times New Roman" w:eastAsia="宋体"/>
          <w:sz w:val="24"/>
        </w:rPr>
        <w:t>个数值特征。其中规模类（绝对金额/体量）25</w:t>
      </w:r>
      <w:r>
        <w:rPr>
          <w:rFonts w:ascii="Times New Roman" w:hAnsi="Times New Roman" w:eastAsia="宋体"/>
          <w:sz w:val="24"/>
        </w:rPr>
        <w:t xml:space="preserve"> </w:t>
      </w:r>
      <w:r>
        <w:rPr>
          <w:rFonts w:hint="eastAsia" w:ascii="Times New Roman" w:hAnsi="Times New Roman" w:eastAsia="宋体"/>
          <w:sz w:val="24"/>
        </w:rPr>
        <w:t>个，政策/比率/事件类</w:t>
      </w:r>
      <w:r>
        <w:rPr>
          <w:rFonts w:ascii="Times New Roman" w:hAnsi="Times New Roman" w:eastAsia="宋体"/>
          <w:sz w:val="24"/>
        </w:rPr>
        <w:t xml:space="preserve"> 30 </w:t>
      </w:r>
      <w:r>
        <w:rPr>
          <w:rFonts w:hint="eastAsia" w:ascii="Times New Roman" w:hAnsi="Times New Roman" w:eastAsia="宋体"/>
          <w:sz w:val="24"/>
        </w:rPr>
        <w:t>个。缺失值不做插补，由</w:t>
      </w:r>
      <w:r>
        <w:rPr>
          <w:rFonts w:ascii="Times New Roman" w:hAnsi="Times New Roman" w:eastAsia="宋体"/>
          <w:sz w:val="24"/>
        </w:rPr>
        <w:t xml:space="preserve"> XGBoost </w:t>
      </w:r>
      <w:r>
        <w:rPr>
          <w:rFonts w:hint="eastAsia" w:ascii="Times New Roman" w:hAnsi="Times New Roman" w:eastAsia="宋体"/>
          <w:sz w:val="24"/>
        </w:rPr>
        <w:t>原生缺失值处理机制在分裂时自动路由。需如实说明：v0.2</w:t>
      </w:r>
      <w:r>
        <w:rPr>
          <w:rFonts w:ascii="Times New Roman" w:hAnsi="Times New Roman" w:eastAsia="宋体"/>
          <w:sz w:val="24"/>
        </w:rPr>
        <w:t xml:space="preserve"> </w:t>
      </w:r>
      <w:r>
        <w:rPr>
          <w:rFonts w:hint="eastAsia" w:ascii="Times New Roman" w:hAnsi="Times New Roman" w:eastAsia="宋体"/>
          <w:sz w:val="24"/>
        </w:rPr>
        <w:t>中</w:t>
      </w:r>
      <w:r>
        <w:rPr>
          <w:rFonts w:ascii="Times New Roman" w:hAnsi="Times New Roman" w:eastAsia="宋体"/>
          <w:sz w:val="24"/>
        </w:rPr>
        <w:t xml:space="preserve"> ppe_net </w:t>
      </w:r>
      <w:r>
        <w:rPr>
          <w:rFonts w:hint="eastAsia" w:ascii="Times New Roman" w:hAnsi="Times New Roman" w:eastAsia="宋体"/>
          <w:sz w:val="24"/>
        </w:rPr>
        <w:t>缺失</w:t>
      </w:r>
      <w:r>
        <w:rPr>
          <w:rFonts w:ascii="Times New Roman" w:hAnsi="Times New Roman" w:eastAsia="宋体"/>
          <w:sz w:val="24"/>
        </w:rPr>
        <w:t xml:space="preserve"> 18/30 </w:t>
      </w:r>
      <w:r>
        <w:rPr>
          <w:rFonts w:hint="eastAsia" w:ascii="Times New Roman" w:hAnsi="Times New Roman" w:eastAsia="宋体"/>
          <w:sz w:val="24"/>
        </w:rPr>
        <w:t>行的问题在</w:t>
      </w:r>
      <w:r>
        <w:rPr>
          <w:rFonts w:ascii="Times New Roman" w:hAnsi="Times New Roman" w:eastAsia="宋体"/>
          <w:sz w:val="24"/>
        </w:rPr>
        <w:t xml:space="preserve"> v06 </w:t>
      </w:r>
      <w:r>
        <w:rPr>
          <w:rFonts w:hint="eastAsia" w:ascii="Times New Roman" w:hAnsi="Times New Roman" w:eastAsia="宋体"/>
          <w:sz w:val="24"/>
        </w:rPr>
        <w:t>中已解决（0</w:t>
      </w:r>
      <w:r>
        <w:rPr>
          <w:rFonts w:ascii="Times New Roman" w:hAnsi="Times New Roman" w:eastAsia="宋体"/>
          <w:sz w:val="24"/>
        </w:rPr>
        <w:t xml:space="preserve"> </w:t>
      </w:r>
      <w:r>
        <w:rPr>
          <w:rFonts w:hint="eastAsia" w:ascii="Times New Roman" w:hAnsi="Times New Roman" w:eastAsia="宋体"/>
          <w:sz w:val="24"/>
        </w:rPr>
        <w:t>缺失），依赖它的</w:t>
      </w:r>
      <w:r>
        <w:rPr>
          <w:rFonts w:ascii="Times New Roman" w:hAnsi="Times New Roman" w:eastAsia="宋体"/>
          <w:sz w:val="24"/>
        </w:rPr>
        <w:t xml:space="preserve"> depreciation_rate_ppe、capex_to_ppe_net </w:t>
      </w:r>
      <w:r>
        <w:rPr>
          <w:rFonts w:hint="eastAsia" w:ascii="Times New Roman" w:hAnsi="Times New Roman" w:eastAsia="宋体"/>
          <w:sz w:val="24"/>
        </w:rPr>
        <w:t>两项比率本轮为完整列，其排名与方向首次具备可解释性。</w:t>
      </w:r>
    </w:p>
    <w:p w14:paraId="2E9E7D0D">
      <w:pPr>
        <w:pStyle w:val="3"/>
        <w:spacing w:before="40" w:after="40" w:line="360" w:lineRule="auto"/>
        <w:ind w:firstLine="480"/>
      </w:pPr>
      <w:r>
        <w:rPr>
          <w:rFonts w:hint="eastAsia" w:ascii="Times New Roman" w:hAnsi="Times New Roman" w:eastAsia="宋体"/>
          <w:sz w:val="24"/>
        </w:rPr>
        <w:t>模型与超参数：与历轮完全一致——XGBoost</w:t>
      </w:r>
      <w:r>
        <w:rPr>
          <w:rFonts w:ascii="Times New Roman" w:hAnsi="Times New Roman" w:eastAsia="宋体"/>
          <w:sz w:val="24"/>
        </w:rPr>
        <w:t xml:space="preserve"> </w:t>
      </w:r>
      <w:r>
        <w:rPr>
          <w:rFonts w:hint="eastAsia" w:ascii="Times New Roman" w:hAnsi="Times New Roman" w:eastAsia="宋体"/>
          <w:sz w:val="24"/>
        </w:rPr>
        <w:t>回归（XGBRegressor，v3.3.0），n_estimators=200，max_depth=3，learning_rate=0.05，subsample=0.9，colsample_bytree=0.9，reg_lambda=1.0，random_state=42。</w:t>
      </w:r>
    </w:p>
    <w:p w14:paraId="6020B04F">
      <w:pPr>
        <w:pStyle w:val="3"/>
        <w:spacing w:before="40" w:after="40" w:line="360" w:lineRule="auto"/>
        <w:ind w:firstLine="480"/>
      </w:pPr>
      <w:r>
        <w:rPr>
          <w:rFonts w:hint="eastAsia" w:ascii="Times New Roman" w:hAnsi="Times New Roman" w:eastAsia="宋体"/>
          <w:sz w:val="24"/>
        </w:rPr>
        <w:t>验证方案：与上一代特征集相同的双验证框架——</w:t>
      </w:r>
    </w:p>
    <w:p w14:paraId="235A3672">
      <w:pPr>
        <w:pStyle w:val="3"/>
        <w:spacing w:before="40" w:after="40" w:line="360" w:lineRule="auto"/>
        <w:ind w:firstLine="480"/>
      </w:pPr>
      <w:r>
        <w:rPr>
          <w:rFonts w:hint="eastAsia" w:ascii="Times New Roman" w:hAnsi="Times New Roman" w:eastAsia="宋体"/>
          <w:sz w:val="24"/>
        </w:rPr>
        <w:t>LOO（留一法，30</w:t>
      </w:r>
      <w:r>
        <w:rPr>
          <w:rFonts w:ascii="Times New Roman" w:hAnsi="Times New Roman" w:eastAsia="宋体"/>
          <w:sz w:val="24"/>
        </w:rPr>
        <w:t xml:space="preserve"> </w:t>
      </w:r>
      <w:r>
        <w:rPr>
          <w:rFonts w:hint="eastAsia" w:ascii="Times New Roman" w:hAnsi="Times New Roman" w:eastAsia="宋体"/>
          <w:sz w:val="24"/>
        </w:rPr>
        <w:t>折）：每次留出</w:t>
      </w:r>
      <w:r>
        <w:rPr>
          <w:rFonts w:ascii="Times New Roman" w:hAnsi="Times New Roman" w:eastAsia="宋体"/>
          <w:sz w:val="24"/>
        </w:rPr>
        <w:t xml:space="preserve"> 1 </w:t>
      </w:r>
      <w:r>
        <w:rPr>
          <w:rFonts w:hint="eastAsia" w:ascii="Times New Roman" w:hAnsi="Times New Roman" w:eastAsia="宋体"/>
          <w:sz w:val="24"/>
        </w:rPr>
        <w:t>行。与历轮方法连续可比，但同公司另两年进入训练集，存在面板泄漏、结果偏乐观，仅作对照参考；</w:t>
      </w:r>
    </w:p>
    <w:p w14:paraId="38462427">
      <w:pPr>
        <w:pStyle w:val="3"/>
        <w:spacing w:before="40" w:after="40" w:line="360" w:lineRule="auto"/>
        <w:ind w:firstLine="480"/>
      </w:pPr>
      <w:r>
        <w:rPr>
          <w:rFonts w:hint="eastAsia" w:ascii="Times New Roman" w:hAnsi="Times New Roman" w:eastAsia="宋体"/>
          <w:sz w:val="24"/>
        </w:rPr>
        <w:t>LOGO（留一公司法，10</w:t>
      </w:r>
      <w:r>
        <w:rPr>
          <w:rFonts w:ascii="Times New Roman" w:hAnsi="Times New Roman" w:eastAsia="宋体"/>
          <w:sz w:val="24"/>
        </w:rPr>
        <w:t xml:space="preserve"> </w:t>
      </w:r>
      <w:r>
        <w:rPr>
          <w:rFonts w:hint="eastAsia" w:ascii="Times New Roman" w:hAnsi="Times New Roman" w:eastAsia="宋体"/>
          <w:sz w:val="24"/>
        </w:rPr>
        <w:t>折）：每次将某公司的全部</w:t>
      </w:r>
      <w:r>
        <w:rPr>
          <w:rFonts w:ascii="Times New Roman" w:hAnsi="Times New Roman" w:eastAsia="宋体"/>
          <w:sz w:val="24"/>
        </w:rPr>
        <w:t xml:space="preserve"> 3 </w:t>
      </w:r>
      <w:r>
        <w:rPr>
          <w:rFonts w:hint="eastAsia" w:ascii="Times New Roman" w:hAnsi="Times New Roman" w:eastAsia="宋体"/>
          <w:sz w:val="24"/>
        </w:rPr>
        <w:t>行同时留出，用其余</w:t>
      </w:r>
      <w:r>
        <w:rPr>
          <w:rFonts w:ascii="Times New Roman" w:hAnsi="Times New Roman" w:eastAsia="宋体"/>
          <w:sz w:val="24"/>
        </w:rPr>
        <w:t xml:space="preserve"> 9 </w:t>
      </w:r>
      <w:r>
        <w:rPr>
          <w:rFonts w:hint="eastAsia" w:ascii="Times New Roman" w:hAnsi="Times New Roman" w:eastAsia="宋体"/>
          <w:sz w:val="24"/>
        </w:rPr>
        <w:t>家</w:t>
      </w:r>
      <w:r>
        <w:rPr>
          <w:rFonts w:ascii="Times New Roman" w:hAnsi="Times New Roman" w:eastAsia="宋体"/>
          <w:sz w:val="24"/>
        </w:rPr>
        <w:t xml:space="preserve"> 27 </w:t>
      </w:r>
      <w:r>
        <w:rPr>
          <w:rFonts w:hint="eastAsia" w:ascii="Times New Roman" w:hAnsi="Times New Roman" w:eastAsia="宋体"/>
          <w:sz w:val="24"/>
        </w:rPr>
        <w:t>行训练。这是方法学上更诚实的主指标，衡量模型对“未见过的新公司”的复现能力。</w:t>
      </w:r>
    </w:p>
    <w:p w14:paraId="667AB604">
      <w:pPr>
        <w:pStyle w:val="3"/>
        <w:spacing w:before="40" w:after="40" w:line="360" w:lineRule="auto"/>
        <w:ind w:firstLine="480"/>
      </w:pPr>
      <w:r>
        <w:rPr>
          <w:rFonts w:hint="eastAsia" w:ascii="Times New Roman" w:hAnsi="Times New Roman" w:eastAsia="宋体"/>
          <w:sz w:val="24"/>
        </w:rPr>
        <w:t>两者均报告</w:t>
      </w:r>
      <w:r>
        <w:rPr>
          <w:rFonts w:ascii="Times New Roman" w:hAnsi="Times New Roman" w:eastAsia="宋体"/>
          <w:sz w:val="24"/>
        </w:rPr>
        <w:t xml:space="preserve"> MAE / </w:t>
      </w:r>
      <w:r>
        <w:rPr>
          <w:rFonts w:hint="eastAsia" w:ascii="Times New Roman" w:hAnsi="Times New Roman" w:eastAsia="宋体"/>
          <w:sz w:val="24"/>
        </w:rPr>
        <w:t>RMSE，并与“全部样本预测为训练折均值”的朴素基线对比。</w:t>
      </w:r>
    </w:p>
    <w:p w14:paraId="4AA0A5B8">
      <w:pPr>
        <w:pStyle w:val="3"/>
        <w:spacing w:before="40" w:after="40" w:line="360" w:lineRule="auto"/>
        <w:ind w:firstLine="480"/>
      </w:pPr>
      <w:r>
        <w:rPr>
          <w:rFonts w:hint="eastAsia" w:ascii="Times New Roman" w:hAnsi="Times New Roman" w:eastAsia="宋体"/>
          <w:sz w:val="24"/>
        </w:rPr>
        <w:t>特征重要性：全量</w:t>
      </w:r>
      <w:r>
        <w:rPr>
          <w:rFonts w:ascii="Times New Roman" w:hAnsi="Times New Roman" w:eastAsia="宋体"/>
          <w:sz w:val="24"/>
        </w:rPr>
        <w:t xml:space="preserve"> 30 </w:t>
      </w:r>
      <w:r>
        <w:rPr>
          <w:rFonts w:hint="eastAsia" w:ascii="Times New Roman" w:hAnsi="Times New Roman" w:eastAsia="宋体"/>
          <w:sz w:val="24"/>
        </w:rPr>
        <w:t>样本拟合后，使用</w:t>
      </w:r>
      <w:r>
        <w:rPr>
          <w:rFonts w:ascii="Times New Roman" w:hAnsi="Times New Roman" w:eastAsia="宋体"/>
          <w:sz w:val="24"/>
        </w:rPr>
        <w:t xml:space="preserve"> </w:t>
      </w:r>
      <w:r>
        <w:rPr>
          <w:rFonts w:hint="eastAsia" w:ascii="Times New Roman" w:hAnsi="Times New Roman" w:eastAsia="宋体"/>
          <w:sz w:val="24"/>
        </w:rPr>
        <w:t>SHAP（TreeExplainer，v0.52.0）计算全局重要性（平均</w:t>
      </w:r>
      <w:r>
        <w:rPr>
          <w:rFonts w:ascii="Times New Roman" w:hAnsi="Times New Roman" w:eastAsia="宋体"/>
          <w:sz w:val="24"/>
        </w:rPr>
        <w:t xml:space="preserve"> |SHAP </w:t>
      </w:r>
      <w:r>
        <w:rPr>
          <w:rFonts w:hint="eastAsia" w:ascii="Times New Roman" w:hAnsi="Times New Roman" w:eastAsia="宋体"/>
          <w:sz w:val="24"/>
        </w:rPr>
        <w:t>值|），并以特征值与</w:t>
      </w:r>
      <w:r>
        <w:rPr>
          <w:rFonts w:ascii="Times New Roman" w:hAnsi="Times New Roman" w:eastAsia="宋体"/>
          <w:sz w:val="24"/>
        </w:rPr>
        <w:t xml:space="preserve"> SHAP </w:t>
      </w:r>
      <w:r>
        <w:rPr>
          <w:rFonts w:hint="eastAsia" w:ascii="Times New Roman" w:hAnsi="Times New Roman" w:eastAsia="宋体"/>
          <w:sz w:val="24"/>
        </w:rPr>
        <w:t>值的相关符号判断方向性（正</w:t>
      </w:r>
      <w:r>
        <w:rPr>
          <w:rFonts w:ascii="Times New Roman" w:hAnsi="Times New Roman" w:eastAsia="宋体"/>
          <w:sz w:val="24"/>
        </w:rPr>
        <w:t xml:space="preserve"> = </w:t>
      </w:r>
      <w:r>
        <w:rPr>
          <w:rFonts w:hint="eastAsia" w:ascii="Times New Roman" w:hAnsi="Times New Roman" w:eastAsia="宋体"/>
          <w:sz w:val="24"/>
        </w:rPr>
        <w:t>特征越大越推高风险评分）。政策/比率/事件类指标在排名表与图中单独高亮。</w:t>
      </w:r>
    </w:p>
    <w:bookmarkEnd w:id="189"/>
    <w:p w14:paraId="51EC5D73">
      <w:pPr>
        <w:pStyle w:val="4"/>
        <w:spacing w:before="320" w:after="160" w:line="360" w:lineRule="auto"/>
      </w:pPr>
      <w:bookmarkStart w:id="190" w:name="_Toc19415"/>
      <w:bookmarkStart w:id="191" w:name="f.2-结果"/>
      <w:r>
        <w:rPr>
          <w:rFonts w:ascii="Times New Roman" w:hAnsi="Times New Roman" w:eastAsia="黑体"/>
          <w:b/>
          <w:color w:val="003366"/>
          <w:sz w:val="28"/>
        </w:rPr>
        <w:t xml:space="preserve">F.2 </w:t>
      </w:r>
      <w:r>
        <w:rPr>
          <w:rFonts w:hint="eastAsia" w:ascii="Times New Roman" w:hAnsi="Times New Roman" w:eastAsia="黑体"/>
          <w:b/>
          <w:color w:val="003366"/>
          <w:sz w:val="28"/>
        </w:rPr>
        <w:t>结果</w:t>
      </w:r>
      <w:bookmarkEnd w:id="190"/>
    </w:p>
    <w:p w14:paraId="0F080509">
      <w:pPr>
        <w:pStyle w:val="5"/>
        <w:spacing w:before="240" w:after="120" w:line="360" w:lineRule="auto"/>
      </w:pPr>
      <w:bookmarkStart w:id="192" w:name="f.2.1-loo-vs-logo-双结果含朴素基线"/>
      <w:r>
        <w:rPr>
          <w:rFonts w:ascii="Times New Roman" w:hAnsi="Times New Roman" w:eastAsia="黑体"/>
          <w:b/>
          <w:color w:val="003366"/>
          <w:sz w:val="24"/>
        </w:rPr>
        <w:t xml:space="preserve">F.2.1 LOO vs LOGO </w:t>
      </w:r>
      <w:r>
        <w:rPr>
          <w:rFonts w:hint="eastAsia" w:ascii="Times New Roman" w:hAnsi="Times New Roman" w:eastAsia="黑体"/>
          <w:b/>
          <w:color w:val="003366"/>
          <w:sz w:val="24"/>
        </w:rPr>
        <w:t>双结果（含朴素基线）</w:t>
      </w:r>
    </w:p>
    <w:tbl>
      <w:tblPr>
        <w:tblStyle w:val="43"/>
        <w:tblW w:w="5000" w:type="pct"/>
        <w:tblInd w:w="0" w:type="dxa"/>
        <w:tblLayout w:type="fixed"/>
        <w:tblCellMar>
          <w:top w:w="0" w:type="dxa"/>
          <w:left w:w="108" w:type="dxa"/>
          <w:bottom w:w="0" w:type="dxa"/>
          <w:right w:w="108" w:type="dxa"/>
        </w:tblCellMar>
      </w:tblPr>
      <w:tblGrid>
        <w:gridCol w:w="1858"/>
        <w:gridCol w:w="1858"/>
        <w:gridCol w:w="1858"/>
        <w:gridCol w:w="1858"/>
        <w:gridCol w:w="1858"/>
      </w:tblGrid>
      <w:tr w14:paraId="25611463">
        <w:tblPrEx>
          <w:tblCellMar>
            <w:top w:w="0" w:type="dxa"/>
            <w:left w:w="108" w:type="dxa"/>
            <w:bottom w:w="0" w:type="dxa"/>
            <w:right w:w="108" w:type="dxa"/>
          </w:tblCellMar>
        </w:tblPrEx>
        <w:trPr>
          <w:cantSplit/>
          <w:tblHeader/>
        </w:trPr>
        <w:tc>
          <w:p w14:paraId="6875A8E3">
            <w:pPr>
              <w:pStyle w:val="26"/>
              <w:spacing w:before="20" w:after="20" w:line="276" w:lineRule="auto"/>
            </w:pPr>
            <w:r>
              <w:rPr>
                <w:rFonts w:hint="eastAsia" w:ascii="Times New Roman" w:hAnsi="Times New Roman" w:eastAsia="宋体"/>
                <w:b/>
                <w:bCs/>
                <w:sz w:val="20"/>
              </w:rPr>
              <w:t>验证方案</w:t>
            </w:r>
          </w:p>
        </w:tc>
        <w:tc>
          <w:p w14:paraId="4382D326">
            <w:pPr>
              <w:pStyle w:val="26"/>
              <w:spacing w:before="20" w:after="20" w:line="276" w:lineRule="auto"/>
            </w:pPr>
            <w:r>
              <w:rPr>
                <w:rFonts w:hint="eastAsia" w:ascii="Times New Roman" w:hAnsi="Times New Roman" w:eastAsia="宋体"/>
                <w:b/>
                <w:bCs/>
                <w:sz w:val="20"/>
              </w:rPr>
              <w:t>指标</w:t>
            </w:r>
          </w:p>
        </w:tc>
        <w:tc>
          <w:p w14:paraId="529AC59A">
            <w:pPr>
              <w:pStyle w:val="26"/>
              <w:spacing w:before="20" w:after="20" w:line="276" w:lineRule="auto"/>
            </w:pPr>
            <w:r>
              <w:rPr>
                <w:rFonts w:ascii="Times New Roman" w:hAnsi="Times New Roman" w:eastAsia="宋体"/>
                <w:b/>
                <w:bCs/>
                <w:sz w:val="20"/>
              </w:rPr>
              <w:t>XGBoost</w:t>
            </w:r>
          </w:p>
        </w:tc>
        <w:tc>
          <w:p w14:paraId="354CF987">
            <w:pPr>
              <w:pStyle w:val="26"/>
              <w:spacing w:before="20" w:after="20" w:line="276" w:lineRule="auto"/>
            </w:pPr>
            <w:r>
              <w:rPr>
                <w:rFonts w:hint="eastAsia" w:ascii="Times New Roman" w:hAnsi="Times New Roman" w:eastAsia="宋体"/>
                <w:b/>
                <w:bCs/>
                <w:sz w:val="20"/>
              </w:rPr>
              <w:t>朴素基线（训练折均值）</w:t>
            </w:r>
          </w:p>
        </w:tc>
        <w:tc>
          <w:p w14:paraId="1E51C2EB">
            <w:pPr>
              <w:pStyle w:val="26"/>
              <w:spacing w:before="20" w:after="20" w:line="276" w:lineRule="auto"/>
            </w:pPr>
            <w:r>
              <w:rPr>
                <w:rFonts w:hint="eastAsia" w:ascii="Times New Roman" w:hAnsi="Times New Roman" w:eastAsia="宋体"/>
                <w:b/>
                <w:bCs/>
                <w:sz w:val="20"/>
              </w:rPr>
              <w:t>相对改善</w:t>
            </w:r>
          </w:p>
        </w:tc>
      </w:tr>
      <w:tr w14:paraId="055046CB">
        <w:tblPrEx>
          <w:tblCellMar>
            <w:top w:w="0" w:type="dxa"/>
            <w:left w:w="108" w:type="dxa"/>
            <w:bottom w:w="0" w:type="dxa"/>
            <w:right w:w="108" w:type="dxa"/>
          </w:tblCellMar>
        </w:tblPrEx>
        <w:trPr>
          <w:cantSplit/>
        </w:trPr>
        <w:tc>
          <w:p w14:paraId="35453990">
            <w:pPr>
              <w:pStyle w:val="26"/>
              <w:spacing w:before="20" w:after="20" w:line="276" w:lineRule="auto"/>
            </w:pPr>
            <w:r>
              <w:rPr>
                <w:rFonts w:hint="eastAsia" w:ascii="Times New Roman" w:hAnsi="Times New Roman" w:eastAsia="宋体"/>
                <w:sz w:val="20"/>
              </w:rPr>
              <w:t>LOO（30</w:t>
            </w:r>
            <w:r>
              <w:rPr>
                <w:rFonts w:ascii="Times New Roman" w:hAnsi="Times New Roman" w:eastAsia="宋体"/>
                <w:sz w:val="20"/>
              </w:rPr>
              <w:t xml:space="preserve"> </w:t>
            </w:r>
            <w:r>
              <w:rPr>
                <w:rFonts w:hint="eastAsia" w:ascii="Times New Roman" w:hAnsi="Times New Roman" w:eastAsia="宋体"/>
                <w:sz w:val="20"/>
              </w:rPr>
              <w:t>折，</w:t>
            </w:r>
            <w:r>
              <w:rPr>
                <w:rFonts w:hint="eastAsia" w:ascii="Times New Roman" w:hAnsi="Times New Roman" w:eastAsia="宋体"/>
                <w:b/>
                <w:bCs/>
                <w:sz w:val="20"/>
              </w:rPr>
              <w:t>有面板泄漏、偏乐观</w:t>
            </w:r>
            <w:r>
              <w:rPr>
                <w:rFonts w:hint="eastAsia" w:ascii="Times New Roman" w:hAnsi="Times New Roman" w:eastAsia="宋体"/>
                <w:sz w:val="20"/>
              </w:rPr>
              <w:t>）</w:t>
            </w:r>
          </w:p>
        </w:tc>
        <w:tc>
          <w:p w14:paraId="6DDDF391">
            <w:pPr>
              <w:pStyle w:val="26"/>
              <w:spacing w:before="20" w:after="20" w:line="276" w:lineRule="auto"/>
            </w:pPr>
            <w:r>
              <w:rPr>
                <w:rFonts w:ascii="Times New Roman" w:hAnsi="Times New Roman" w:eastAsia="宋体"/>
                <w:sz w:val="20"/>
              </w:rPr>
              <w:t>MAE</w:t>
            </w:r>
          </w:p>
        </w:tc>
        <w:tc>
          <w:p w14:paraId="426B286E">
            <w:pPr>
              <w:pStyle w:val="26"/>
              <w:spacing w:before="20" w:after="20" w:line="276" w:lineRule="auto"/>
            </w:pPr>
            <w:r>
              <w:rPr>
                <w:rFonts w:ascii="Times New Roman" w:hAnsi="Times New Roman" w:eastAsia="宋体"/>
                <w:sz w:val="20"/>
              </w:rPr>
              <w:t>0.279</w:t>
            </w:r>
          </w:p>
        </w:tc>
        <w:tc>
          <w:p w14:paraId="2205980C">
            <w:pPr>
              <w:pStyle w:val="26"/>
              <w:spacing w:before="20" w:after="20" w:line="276" w:lineRule="auto"/>
            </w:pPr>
            <w:r>
              <w:rPr>
                <w:rFonts w:ascii="Times New Roman" w:hAnsi="Times New Roman" w:eastAsia="宋体"/>
                <w:sz w:val="20"/>
              </w:rPr>
              <w:t>0.735</w:t>
            </w:r>
          </w:p>
        </w:tc>
        <w:tc>
          <w:p w14:paraId="302CF496">
            <w:pPr>
              <w:pStyle w:val="26"/>
              <w:spacing w:before="20" w:after="20" w:line="276" w:lineRule="auto"/>
            </w:pPr>
            <w:r>
              <w:rPr>
                <w:rFonts w:ascii="Times New Roman" w:hAnsi="Times New Roman" w:eastAsia="宋体"/>
                <w:sz w:val="20"/>
              </w:rPr>
              <w:t>↓ 62.1%</w:t>
            </w:r>
          </w:p>
        </w:tc>
      </w:tr>
      <w:tr w14:paraId="67084448">
        <w:tblPrEx>
          <w:tblCellMar>
            <w:top w:w="0" w:type="dxa"/>
            <w:left w:w="108" w:type="dxa"/>
            <w:bottom w:w="0" w:type="dxa"/>
            <w:right w:w="108" w:type="dxa"/>
          </w:tblCellMar>
        </w:tblPrEx>
        <w:trPr>
          <w:cantSplit/>
        </w:trPr>
        <w:tc>
          <w:p w14:paraId="39D6A40D">
            <w:pPr>
              <w:pStyle w:val="26"/>
              <w:spacing w:before="20" w:after="20" w:line="276" w:lineRule="auto"/>
            </w:pPr>
            <w:r>
              <w:rPr>
                <w:rFonts w:ascii="Times New Roman" w:hAnsi="Times New Roman" w:eastAsia="宋体"/>
                <w:sz w:val="20"/>
              </w:rPr>
              <w:t>LOO</w:t>
            </w:r>
          </w:p>
        </w:tc>
        <w:tc>
          <w:p w14:paraId="73BB72FC">
            <w:pPr>
              <w:pStyle w:val="26"/>
              <w:spacing w:before="20" w:after="20" w:line="276" w:lineRule="auto"/>
            </w:pPr>
            <w:r>
              <w:rPr>
                <w:rFonts w:ascii="Times New Roman" w:hAnsi="Times New Roman" w:eastAsia="宋体"/>
                <w:sz w:val="20"/>
              </w:rPr>
              <w:t>RMSE</w:t>
            </w:r>
          </w:p>
        </w:tc>
        <w:tc>
          <w:p w14:paraId="2B67FC3A">
            <w:pPr>
              <w:pStyle w:val="26"/>
              <w:spacing w:before="20" w:after="20" w:line="276" w:lineRule="auto"/>
            </w:pPr>
            <w:r>
              <w:rPr>
                <w:rFonts w:ascii="Times New Roman" w:hAnsi="Times New Roman" w:eastAsia="宋体"/>
                <w:sz w:val="20"/>
              </w:rPr>
              <w:t>0.347</w:t>
            </w:r>
          </w:p>
        </w:tc>
        <w:tc>
          <w:p w14:paraId="28694942">
            <w:pPr>
              <w:pStyle w:val="26"/>
              <w:spacing w:before="20" w:after="20" w:line="276" w:lineRule="auto"/>
            </w:pPr>
            <w:r>
              <w:rPr>
                <w:rFonts w:ascii="Times New Roman" w:hAnsi="Times New Roman" w:eastAsia="宋体"/>
                <w:sz w:val="20"/>
              </w:rPr>
              <w:t>0.850</w:t>
            </w:r>
          </w:p>
        </w:tc>
        <w:tc>
          <w:p w14:paraId="15ADB462">
            <w:pPr>
              <w:pStyle w:val="26"/>
              <w:spacing w:before="20" w:after="20" w:line="276" w:lineRule="auto"/>
            </w:pPr>
            <w:r>
              <w:rPr>
                <w:rFonts w:ascii="Times New Roman" w:hAnsi="Times New Roman" w:eastAsia="宋体"/>
                <w:sz w:val="20"/>
              </w:rPr>
              <w:t>↓ 59.2%</w:t>
            </w:r>
          </w:p>
        </w:tc>
      </w:tr>
      <w:tr w14:paraId="0270B569">
        <w:tblPrEx>
          <w:tblCellMar>
            <w:top w:w="0" w:type="dxa"/>
            <w:left w:w="108" w:type="dxa"/>
            <w:bottom w:w="0" w:type="dxa"/>
            <w:right w:w="108" w:type="dxa"/>
          </w:tblCellMar>
        </w:tblPrEx>
        <w:trPr>
          <w:cantSplit/>
        </w:trPr>
        <w:tc>
          <w:p w14:paraId="79343E8F">
            <w:pPr>
              <w:pStyle w:val="26"/>
              <w:spacing w:before="20" w:after="20" w:line="276" w:lineRule="auto"/>
            </w:pPr>
            <w:r>
              <w:rPr>
                <w:rFonts w:hint="eastAsia" w:ascii="Times New Roman" w:hAnsi="Times New Roman" w:eastAsia="宋体"/>
                <w:b/>
                <w:bCs/>
                <w:sz w:val="20"/>
              </w:rPr>
              <w:t>LOGO（10</w:t>
            </w:r>
            <w:r>
              <w:rPr>
                <w:rFonts w:ascii="Times New Roman" w:hAnsi="Times New Roman" w:eastAsia="宋体"/>
                <w:b/>
                <w:bCs/>
                <w:sz w:val="20"/>
              </w:rPr>
              <w:t xml:space="preserve"> </w:t>
            </w:r>
            <w:r>
              <w:rPr>
                <w:rFonts w:hint="eastAsia" w:ascii="Times New Roman" w:hAnsi="Times New Roman" w:eastAsia="宋体"/>
                <w:b/>
                <w:bCs/>
                <w:sz w:val="20"/>
              </w:rPr>
              <w:t>折，方法学主指标）</w:t>
            </w:r>
          </w:p>
        </w:tc>
        <w:tc>
          <w:p w14:paraId="2A271FCB">
            <w:pPr>
              <w:pStyle w:val="26"/>
              <w:spacing w:before="20" w:after="20" w:line="276" w:lineRule="auto"/>
            </w:pPr>
            <w:r>
              <w:rPr>
                <w:rFonts w:ascii="Times New Roman" w:hAnsi="Times New Roman" w:eastAsia="宋体"/>
                <w:sz w:val="20"/>
              </w:rPr>
              <w:t>MAE</w:t>
            </w:r>
          </w:p>
        </w:tc>
        <w:tc>
          <w:p w14:paraId="71D2FDF0">
            <w:pPr>
              <w:pStyle w:val="26"/>
              <w:spacing w:before="20" w:after="20" w:line="276" w:lineRule="auto"/>
            </w:pPr>
            <w:r>
              <w:rPr>
                <w:rFonts w:ascii="Times New Roman" w:hAnsi="Times New Roman" w:eastAsia="宋体"/>
                <w:b/>
                <w:bCs/>
                <w:sz w:val="20"/>
              </w:rPr>
              <w:t>0.418</w:t>
            </w:r>
          </w:p>
        </w:tc>
        <w:tc>
          <w:p w14:paraId="6750162B">
            <w:pPr>
              <w:pStyle w:val="26"/>
              <w:spacing w:before="20" w:after="20" w:line="276" w:lineRule="auto"/>
            </w:pPr>
            <w:r>
              <w:rPr>
                <w:rFonts w:ascii="Times New Roman" w:hAnsi="Times New Roman" w:eastAsia="宋体"/>
                <w:sz w:val="20"/>
              </w:rPr>
              <w:t>0.784</w:t>
            </w:r>
          </w:p>
        </w:tc>
        <w:tc>
          <w:p w14:paraId="13C09C37">
            <w:pPr>
              <w:pStyle w:val="26"/>
              <w:spacing w:before="20" w:after="20" w:line="276" w:lineRule="auto"/>
            </w:pPr>
            <w:r>
              <w:rPr>
                <w:rFonts w:ascii="Times New Roman" w:hAnsi="Times New Roman" w:eastAsia="宋体"/>
                <w:sz w:val="20"/>
              </w:rPr>
              <w:t>↓ 46.6%</w:t>
            </w:r>
          </w:p>
        </w:tc>
      </w:tr>
      <w:tr w14:paraId="5F0C432F">
        <w:tblPrEx>
          <w:tblCellMar>
            <w:top w:w="0" w:type="dxa"/>
            <w:left w:w="108" w:type="dxa"/>
            <w:bottom w:w="0" w:type="dxa"/>
            <w:right w:w="108" w:type="dxa"/>
          </w:tblCellMar>
        </w:tblPrEx>
        <w:trPr>
          <w:cantSplit/>
        </w:trPr>
        <w:tc>
          <w:p w14:paraId="25B365F2">
            <w:pPr>
              <w:pStyle w:val="26"/>
              <w:spacing w:before="20" w:after="20" w:line="276" w:lineRule="auto"/>
            </w:pPr>
            <w:r>
              <w:rPr>
                <w:rFonts w:ascii="Times New Roman" w:hAnsi="Times New Roman" w:eastAsia="宋体"/>
                <w:sz w:val="20"/>
              </w:rPr>
              <w:t>LOGO</w:t>
            </w:r>
          </w:p>
        </w:tc>
        <w:tc>
          <w:p w14:paraId="66B84BDA">
            <w:pPr>
              <w:pStyle w:val="26"/>
              <w:spacing w:before="20" w:after="20" w:line="276" w:lineRule="auto"/>
            </w:pPr>
            <w:r>
              <w:rPr>
                <w:rFonts w:ascii="Times New Roman" w:hAnsi="Times New Roman" w:eastAsia="宋体"/>
                <w:sz w:val="20"/>
              </w:rPr>
              <w:t>RMSE</w:t>
            </w:r>
          </w:p>
        </w:tc>
        <w:tc>
          <w:p w14:paraId="5AE321C8">
            <w:pPr>
              <w:pStyle w:val="26"/>
              <w:spacing w:before="20" w:after="20" w:line="276" w:lineRule="auto"/>
            </w:pPr>
            <w:r>
              <w:rPr>
                <w:rFonts w:ascii="Times New Roman" w:hAnsi="Times New Roman" w:eastAsia="宋体"/>
                <w:b/>
                <w:bCs/>
                <w:sz w:val="20"/>
              </w:rPr>
              <w:t>0.483</w:t>
            </w:r>
          </w:p>
        </w:tc>
        <w:tc>
          <w:p w14:paraId="7F11A5CD">
            <w:pPr>
              <w:pStyle w:val="26"/>
              <w:spacing w:before="20" w:after="20" w:line="276" w:lineRule="auto"/>
            </w:pPr>
            <w:r>
              <w:rPr>
                <w:rFonts w:ascii="Times New Roman" w:hAnsi="Times New Roman" w:eastAsia="宋体"/>
                <w:sz w:val="20"/>
              </w:rPr>
              <w:t>0.907</w:t>
            </w:r>
          </w:p>
        </w:tc>
        <w:tc>
          <w:p w14:paraId="48C2FA9A">
            <w:pPr>
              <w:pStyle w:val="26"/>
              <w:spacing w:before="20" w:after="20" w:line="276" w:lineRule="auto"/>
            </w:pPr>
            <w:r>
              <w:rPr>
                <w:rFonts w:ascii="Times New Roman" w:hAnsi="Times New Roman" w:eastAsia="宋体"/>
                <w:sz w:val="20"/>
              </w:rPr>
              <w:t>↓ 46.7%</w:t>
            </w:r>
          </w:p>
        </w:tc>
      </w:tr>
    </w:tbl>
    <w:p w14:paraId="31761748">
      <w:pPr>
        <w:pStyle w:val="3"/>
        <w:spacing w:before="40" w:after="40" w:line="360" w:lineRule="auto"/>
        <w:ind w:firstLine="480"/>
      </w:pPr>
      <w:r>
        <w:rPr>
          <w:rFonts w:ascii="Times New Roman" w:hAnsi="Times New Roman" w:eastAsia="宋体"/>
          <w:sz w:val="24"/>
        </w:rPr>
        <w:t xml:space="preserve">LOO </w:t>
      </w:r>
      <w:r>
        <w:rPr>
          <w:rFonts w:hint="eastAsia" w:ascii="Times New Roman" w:hAnsi="Times New Roman" w:eastAsia="宋体"/>
          <w:sz w:val="24"/>
        </w:rPr>
        <w:t>误差（0.279）明显低于</w:t>
      </w:r>
      <w:r>
        <w:rPr>
          <w:rFonts w:ascii="Times New Roman" w:hAnsi="Times New Roman" w:eastAsia="宋体"/>
          <w:sz w:val="24"/>
        </w:rPr>
        <w:t xml:space="preserve"> </w:t>
      </w:r>
      <w:r>
        <w:rPr>
          <w:rFonts w:hint="eastAsia" w:ascii="Times New Roman" w:hAnsi="Times New Roman" w:eastAsia="宋体"/>
          <w:sz w:val="24"/>
        </w:rPr>
        <w:t>LOGO（0.418），两者的差距仍是同公司另两年泄漏进训练集所带来的“虚高”部分，再次印证单独报告</w:t>
      </w:r>
      <w:r>
        <w:rPr>
          <w:rFonts w:ascii="Times New Roman" w:hAnsi="Times New Roman" w:eastAsia="宋体"/>
          <w:sz w:val="24"/>
        </w:rPr>
        <w:t xml:space="preserve"> LOGO </w:t>
      </w:r>
      <w:r>
        <w:rPr>
          <w:rFonts w:hint="eastAsia" w:ascii="Times New Roman" w:hAnsi="Times New Roman" w:eastAsia="宋体"/>
          <w:sz w:val="24"/>
        </w:rPr>
        <w:t>的必要性。在</w:t>
      </w:r>
      <w:r>
        <w:rPr>
          <w:rFonts w:ascii="Times New Roman" w:hAnsi="Times New Roman" w:eastAsia="宋体"/>
          <w:sz w:val="24"/>
        </w:rPr>
        <w:t xml:space="preserve"> LOGO </w:t>
      </w:r>
      <w:r>
        <w:rPr>
          <w:rFonts w:hint="eastAsia" w:ascii="Times New Roman" w:hAnsi="Times New Roman" w:eastAsia="宋体"/>
          <w:sz w:val="24"/>
        </w:rPr>
        <w:t>这一无公司级泄漏的方案下，XGBoost</w:t>
      </w:r>
      <w:r>
        <w:rPr>
          <w:rFonts w:ascii="Times New Roman" w:hAnsi="Times New Roman" w:eastAsia="宋体"/>
          <w:sz w:val="24"/>
        </w:rPr>
        <w:t xml:space="preserve"> </w:t>
      </w:r>
      <w:r>
        <w:rPr>
          <w:rFonts w:hint="eastAsia" w:ascii="Times New Roman" w:hAnsi="Times New Roman" w:eastAsia="宋体"/>
          <w:sz w:val="24"/>
        </w:rPr>
        <w:t>误差仍约为朴素基线的</w:t>
      </w:r>
      <w:r>
        <w:rPr>
          <w:rFonts w:ascii="Times New Roman" w:hAnsi="Times New Roman" w:eastAsia="宋体"/>
          <w:sz w:val="24"/>
        </w:rPr>
        <w:t xml:space="preserve"> </w:t>
      </w:r>
      <w:r>
        <w:rPr>
          <w:rFonts w:hint="eastAsia" w:ascii="Times New Roman" w:hAnsi="Times New Roman" w:eastAsia="宋体"/>
          <w:sz w:val="24"/>
        </w:rPr>
        <w:t>53%（MAE</w:t>
      </w:r>
      <w:r>
        <w:rPr>
          <w:rFonts w:ascii="Times New Roman" w:hAnsi="Times New Roman" w:eastAsia="宋体"/>
          <w:sz w:val="24"/>
        </w:rPr>
        <w:t xml:space="preserve"> </w:t>
      </w:r>
      <w:r>
        <w:rPr>
          <w:rFonts w:hint="eastAsia" w:ascii="Times New Roman" w:hAnsi="Times New Roman" w:eastAsia="宋体"/>
          <w:sz w:val="24"/>
        </w:rPr>
        <w:t>相对改善约</w:t>
      </w:r>
      <w:r>
        <w:rPr>
          <w:rFonts w:ascii="Times New Roman" w:hAnsi="Times New Roman" w:eastAsia="宋体"/>
          <w:sz w:val="24"/>
        </w:rPr>
        <w:t xml:space="preserve"> </w:t>
      </w:r>
      <w:r>
        <w:rPr>
          <w:rFonts w:hint="eastAsia" w:ascii="Times New Roman" w:hAnsi="Times New Roman" w:eastAsia="宋体"/>
          <w:sz w:val="24"/>
        </w:rPr>
        <w:t>47%），示意性地表明</w:t>
      </w:r>
      <w:r>
        <w:rPr>
          <w:rFonts w:ascii="Times New Roman" w:hAnsi="Times New Roman" w:eastAsia="宋体"/>
          <w:sz w:val="24"/>
        </w:rPr>
        <w:t xml:space="preserve"> 55 </w:t>
      </w:r>
      <w:r>
        <w:rPr>
          <w:rFonts w:hint="eastAsia" w:ascii="Times New Roman" w:hAnsi="Times New Roman" w:eastAsia="宋体"/>
          <w:sz w:val="24"/>
        </w:rPr>
        <w:t>项指标与人工标签之间的可学习结构并非完全依赖公司身份记忆。LOGO</w:t>
      </w:r>
      <w:r>
        <w:rPr>
          <w:rFonts w:ascii="Times New Roman" w:hAnsi="Times New Roman" w:eastAsia="宋体"/>
          <w:sz w:val="24"/>
        </w:rPr>
        <w:t xml:space="preserve"> </w:t>
      </w:r>
      <w:r>
        <w:rPr>
          <w:rFonts w:hint="eastAsia" w:ascii="Times New Roman" w:hAnsi="Times New Roman" w:eastAsia="宋体"/>
          <w:sz w:val="24"/>
        </w:rPr>
        <w:t>散点图（图</w:t>
      </w:r>
      <w:r>
        <w:rPr>
          <w:rFonts w:ascii="Times New Roman" w:hAnsi="Times New Roman" w:eastAsia="宋体"/>
          <w:sz w:val="24"/>
        </w:rPr>
        <w:t xml:space="preserve"> </w:t>
      </w:r>
      <w:r>
        <w:rPr>
          <w:rFonts w:hint="eastAsia" w:ascii="Times New Roman" w:hAnsi="Times New Roman" w:eastAsia="宋体"/>
          <w:sz w:val="24"/>
        </w:rPr>
        <w:t>F-1）仍显示明显的预测值压缩现象：低分公司（AMD/CRM/NVDA，实际</w:t>
      </w:r>
      <w:r>
        <w:rPr>
          <w:rFonts w:ascii="Times New Roman" w:hAnsi="Times New Roman" w:eastAsia="宋体"/>
          <w:sz w:val="24"/>
        </w:rPr>
        <w:t xml:space="preserve"> </w:t>
      </w:r>
      <w:r>
        <w:rPr>
          <w:rFonts w:hint="eastAsia" w:ascii="Times New Roman" w:hAnsi="Times New Roman" w:eastAsia="宋体"/>
          <w:sz w:val="24"/>
        </w:rPr>
        <w:t>2.1–3.1）被高估、高分公司被低估——有效样本量有限回归向训练均值收缩的典型表现，说明当前模型只能复现高低分组的大致结构，不能复现评分刻度本身。</w:t>
      </w:r>
    </w:p>
    <w:p w14:paraId="090C5559">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F-1 </w:t>
      </w:r>
      <w:r>
        <w:rPr>
          <w:rFonts w:hint="eastAsia" w:ascii="Times New Roman" w:hAnsi="Times New Roman" w:eastAsia="宋体"/>
          <w:i w:val="0"/>
          <w:sz w:val="21"/>
        </w:rPr>
        <w:t>LOGO（留一公司法）交叉验证：预测值</w:t>
      </w:r>
      <w:r>
        <w:rPr>
          <w:rFonts w:ascii="Times New Roman" w:hAnsi="Times New Roman" w:eastAsia="宋体"/>
          <w:i w:val="0"/>
          <w:sz w:val="21"/>
        </w:rPr>
        <w:t xml:space="preserve"> vs </w:t>
      </w:r>
      <w:r>
        <w:rPr>
          <w:rFonts w:hint="eastAsia" w:ascii="Times New Roman" w:hAnsi="Times New Roman" w:eastAsia="宋体"/>
          <w:i w:val="0"/>
          <w:sz w:val="21"/>
        </w:rPr>
        <w:t>实际值</w:t>
      </w:r>
    </w:p>
    <w:bookmarkEnd w:id="192"/>
    <w:p w14:paraId="5FC3B384">
      <w:pPr>
        <w:pStyle w:val="5"/>
        <w:spacing w:before="240" w:after="120" w:line="360" w:lineRule="auto"/>
      </w:pPr>
      <w:bookmarkStart w:id="193" w:name="f.2.2-三代结果对比"/>
      <w:r>
        <w:rPr>
          <w:rFonts w:ascii="Times New Roman" w:hAnsi="Times New Roman" w:eastAsia="黑体"/>
          <w:b/>
          <w:color w:val="003366"/>
          <w:sz w:val="24"/>
        </w:rPr>
        <w:t xml:space="preserve">F.2.2 </w:t>
      </w:r>
      <w:r>
        <w:rPr>
          <w:rFonts w:hint="eastAsia" w:ascii="Times New Roman" w:hAnsi="Times New Roman" w:eastAsia="黑体"/>
          <w:b/>
          <w:color w:val="003366"/>
          <w:sz w:val="24"/>
        </w:rPr>
        <w:t>三代结果对比</w:t>
      </w:r>
    </w:p>
    <w:tbl>
      <w:tblPr>
        <w:tblStyle w:val="43"/>
        <w:tblW w:w="5000" w:type="pct"/>
        <w:tblInd w:w="0" w:type="dxa"/>
        <w:tblLayout w:type="fixed"/>
        <w:tblCellMar>
          <w:top w:w="0" w:type="dxa"/>
          <w:left w:w="108" w:type="dxa"/>
          <w:bottom w:w="0" w:type="dxa"/>
          <w:right w:w="108" w:type="dxa"/>
        </w:tblCellMar>
      </w:tblPr>
      <w:tblGrid>
        <w:gridCol w:w="1327"/>
        <w:gridCol w:w="1327"/>
        <w:gridCol w:w="1327"/>
        <w:gridCol w:w="1327"/>
        <w:gridCol w:w="1327"/>
        <w:gridCol w:w="1327"/>
        <w:gridCol w:w="1327"/>
      </w:tblGrid>
      <w:tr w14:paraId="3915CB40">
        <w:tblPrEx>
          <w:tblCellMar>
            <w:top w:w="0" w:type="dxa"/>
            <w:left w:w="108" w:type="dxa"/>
            <w:bottom w:w="0" w:type="dxa"/>
            <w:right w:w="108" w:type="dxa"/>
          </w:tblCellMar>
        </w:tblPrEx>
        <w:trPr>
          <w:cantSplit/>
          <w:tblHeader/>
        </w:trPr>
        <w:tc>
          <w:p w14:paraId="40B33D65">
            <w:pPr>
              <w:pStyle w:val="26"/>
              <w:spacing w:before="20" w:after="20" w:line="276" w:lineRule="auto"/>
            </w:pPr>
            <w:r>
              <w:rPr>
                <w:rFonts w:hint="eastAsia" w:ascii="Times New Roman" w:hAnsi="Times New Roman" w:eastAsia="宋体"/>
                <w:b/>
                <w:bCs/>
                <w:sz w:val="19"/>
              </w:rPr>
              <w:t>版本</w:t>
            </w:r>
          </w:p>
        </w:tc>
        <w:tc>
          <w:p w14:paraId="1B496E89">
            <w:pPr>
              <w:pStyle w:val="26"/>
              <w:spacing w:before="20" w:after="20" w:line="276" w:lineRule="auto"/>
            </w:pPr>
            <w:r>
              <w:rPr>
                <w:rFonts w:hint="eastAsia" w:ascii="Times New Roman" w:hAnsi="Times New Roman" w:eastAsia="宋体"/>
                <w:b/>
                <w:bCs/>
                <w:sz w:val="19"/>
              </w:rPr>
              <w:t>样本</w:t>
            </w:r>
          </w:p>
        </w:tc>
        <w:tc>
          <w:p w14:paraId="5C8B765C">
            <w:pPr>
              <w:pStyle w:val="26"/>
              <w:spacing w:before="20" w:after="20" w:line="276" w:lineRule="auto"/>
            </w:pPr>
            <w:r>
              <w:rPr>
                <w:rFonts w:hint="eastAsia" w:ascii="Times New Roman" w:hAnsi="Times New Roman" w:eastAsia="宋体"/>
                <w:b/>
                <w:bCs/>
                <w:sz w:val="19"/>
              </w:rPr>
              <w:t>特征数</w:t>
            </w:r>
          </w:p>
        </w:tc>
        <w:tc>
          <w:p w14:paraId="443AB133">
            <w:pPr>
              <w:pStyle w:val="26"/>
              <w:spacing w:before="20" w:after="20" w:line="276" w:lineRule="auto"/>
            </w:pPr>
            <w:r>
              <w:rPr>
                <w:rFonts w:hint="eastAsia" w:ascii="Times New Roman" w:hAnsi="Times New Roman" w:eastAsia="宋体"/>
                <w:b/>
                <w:bCs/>
                <w:sz w:val="19"/>
              </w:rPr>
              <w:t>验证方案</w:t>
            </w:r>
          </w:p>
        </w:tc>
        <w:tc>
          <w:p w14:paraId="1A3584DB">
            <w:pPr>
              <w:pStyle w:val="26"/>
              <w:spacing w:before="20" w:after="20" w:line="276" w:lineRule="auto"/>
            </w:pPr>
            <w:r>
              <w:rPr>
                <w:rFonts w:ascii="Times New Roman" w:hAnsi="Times New Roman" w:eastAsia="宋体"/>
                <w:b/>
                <w:bCs/>
                <w:sz w:val="19"/>
              </w:rPr>
              <w:t>XGBoost MAE</w:t>
            </w:r>
          </w:p>
        </w:tc>
        <w:tc>
          <w:p w14:paraId="2C11B978">
            <w:pPr>
              <w:pStyle w:val="26"/>
              <w:spacing w:before="20" w:after="20" w:line="276" w:lineRule="auto"/>
            </w:pPr>
            <w:r>
              <w:rPr>
                <w:rFonts w:hint="eastAsia" w:ascii="Times New Roman" w:hAnsi="Times New Roman" w:eastAsia="宋体"/>
                <w:b/>
                <w:bCs/>
                <w:sz w:val="19"/>
              </w:rPr>
              <w:t>基线</w:t>
            </w:r>
            <w:r>
              <w:rPr>
                <w:rFonts w:ascii="Times New Roman" w:hAnsi="Times New Roman" w:eastAsia="宋体"/>
                <w:b/>
                <w:bCs/>
                <w:sz w:val="19"/>
              </w:rPr>
              <w:t xml:space="preserve"> MAE</w:t>
            </w:r>
          </w:p>
        </w:tc>
        <w:tc>
          <w:p w14:paraId="26D3F563">
            <w:pPr>
              <w:pStyle w:val="26"/>
              <w:spacing w:before="20" w:after="20" w:line="276" w:lineRule="auto"/>
            </w:pPr>
            <w:r>
              <w:rPr>
                <w:rFonts w:hint="eastAsia" w:ascii="Times New Roman" w:hAnsi="Times New Roman" w:eastAsia="宋体"/>
                <w:b/>
                <w:bCs/>
                <w:sz w:val="19"/>
              </w:rPr>
              <w:t>相对改善</w:t>
            </w:r>
          </w:p>
        </w:tc>
      </w:tr>
      <w:tr w14:paraId="697BC994">
        <w:tblPrEx>
          <w:tblCellMar>
            <w:top w:w="0" w:type="dxa"/>
            <w:left w:w="108" w:type="dxa"/>
            <w:bottom w:w="0" w:type="dxa"/>
            <w:right w:w="108" w:type="dxa"/>
          </w:tblCellMar>
        </w:tblPrEx>
        <w:trPr>
          <w:cantSplit/>
        </w:trPr>
        <w:tc>
          <w:p w14:paraId="42262285">
            <w:pPr>
              <w:pStyle w:val="26"/>
              <w:spacing w:before="20" w:after="20" w:line="276" w:lineRule="auto"/>
            </w:pPr>
            <w:r>
              <w:rPr>
                <w:rFonts w:ascii="Times New Roman" w:hAnsi="Times New Roman" w:eastAsia="宋体"/>
                <w:sz w:val="19"/>
              </w:rPr>
              <w:t>v0.1</w:t>
            </w:r>
          </w:p>
        </w:tc>
        <w:tc>
          <w:p w14:paraId="5688580D">
            <w:pPr>
              <w:pStyle w:val="26"/>
              <w:spacing w:before="20" w:after="20" w:line="276" w:lineRule="auto"/>
            </w:pPr>
            <w:r>
              <w:rPr>
                <w:rFonts w:ascii="Times New Roman" w:hAnsi="Times New Roman" w:eastAsia="宋体"/>
                <w:sz w:val="19"/>
              </w:rPr>
              <w:t xml:space="preserve">10 </w:t>
            </w:r>
            <w:r>
              <w:rPr>
                <w:rFonts w:hint="eastAsia" w:ascii="Times New Roman" w:hAnsi="Times New Roman" w:eastAsia="宋体"/>
                <w:sz w:val="19"/>
              </w:rPr>
              <w:t>行截面</w:t>
            </w:r>
          </w:p>
        </w:tc>
        <w:tc>
          <w:p w14:paraId="06E708EB">
            <w:pPr>
              <w:pStyle w:val="26"/>
              <w:spacing w:before="20" w:after="20" w:line="276" w:lineRule="auto"/>
            </w:pPr>
            <w:r>
              <w:rPr>
                <w:rFonts w:ascii="Times New Roman" w:hAnsi="Times New Roman" w:eastAsia="宋体"/>
                <w:sz w:val="19"/>
              </w:rPr>
              <w:t>67</w:t>
            </w:r>
          </w:p>
        </w:tc>
        <w:tc>
          <w:p w14:paraId="7E227D9D">
            <w:pPr>
              <w:pStyle w:val="26"/>
              <w:spacing w:before="20" w:after="20" w:line="276" w:lineRule="auto"/>
            </w:pPr>
            <w:r>
              <w:rPr>
                <w:rFonts w:ascii="Times New Roman" w:hAnsi="Times New Roman" w:eastAsia="宋体"/>
                <w:sz w:val="19"/>
              </w:rPr>
              <w:t>LOO</w:t>
            </w:r>
          </w:p>
        </w:tc>
        <w:tc>
          <w:p w14:paraId="559C6AB7">
            <w:pPr>
              <w:pStyle w:val="26"/>
              <w:spacing w:before="20" w:after="20" w:line="276" w:lineRule="auto"/>
            </w:pPr>
            <w:r>
              <w:rPr>
                <w:rFonts w:ascii="Times New Roman" w:hAnsi="Times New Roman" w:eastAsia="宋体"/>
                <w:sz w:val="19"/>
              </w:rPr>
              <w:t>0.373</w:t>
            </w:r>
          </w:p>
        </w:tc>
        <w:tc>
          <w:p w14:paraId="496DC980">
            <w:pPr>
              <w:pStyle w:val="26"/>
              <w:spacing w:before="20" w:after="20" w:line="276" w:lineRule="auto"/>
            </w:pPr>
            <w:r>
              <w:rPr>
                <w:rFonts w:ascii="Times New Roman" w:hAnsi="Times New Roman" w:eastAsia="宋体"/>
                <w:sz w:val="19"/>
              </w:rPr>
              <w:t>0.764</w:t>
            </w:r>
          </w:p>
        </w:tc>
        <w:tc>
          <w:p w14:paraId="4268A4C7">
            <w:pPr>
              <w:pStyle w:val="26"/>
              <w:spacing w:before="20" w:after="20" w:line="276" w:lineRule="auto"/>
            </w:pPr>
            <w:r>
              <w:rPr>
                <w:rFonts w:ascii="Times New Roman" w:hAnsi="Times New Roman" w:eastAsia="宋体"/>
                <w:sz w:val="19"/>
              </w:rPr>
              <w:t>↓ 51.2%</w:t>
            </w:r>
          </w:p>
        </w:tc>
      </w:tr>
      <w:tr w14:paraId="619E789D">
        <w:tblPrEx>
          <w:tblCellMar>
            <w:top w:w="0" w:type="dxa"/>
            <w:left w:w="108" w:type="dxa"/>
            <w:bottom w:w="0" w:type="dxa"/>
            <w:right w:w="108" w:type="dxa"/>
          </w:tblCellMar>
        </w:tblPrEx>
        <w:trPr>
          <w:cantSplit/>
        </w:trPr>
        <w:tc>
          <w:p w14:paraId="35DA9828">
            <w:pPr>
              <w:pStyle w:val="26"/>
              <w:spacing w:before="20" w:after="20" w:line="276" w:lineRule="auto"/>
            </w:pPr>
            <w:r>
              <w:rPr>
                <w:rFonts w:ascii="Times New Roman" w:hAnsi="Times New Roman" w:eastAsia="宋体"/>
                <w:sz w:val="19"/>
              </w:rPr>
              <w:t>v0.2</w:t>
            </w:r>
          </w:p>
        </w:tc>
        <w:tc>
          <w:p w14:paraId="66E82283">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16EC16CC">
            <w:pPr>
              <w:pStyle w:val="26"/>
              <w:spacing w:before="20" w:after="20" w:line="276" w:lineRule="auto"/>
            </w:pPr>
            <w:r>
              <w:rPr>
                <w:rFonts w:ascii="Times New Roman" w:hAnsi="Times New Roman" w:eastAsia="宋体"/>
                <w:sz w:val="19"/>
              </w:rPr>
              <w:t>8</w:t>
            </w:r>
          </w:p>
        </w:tc>
        <w:tc>
          <w:p w14:paraId="2A6DBB88">
            <w:pPr>
              <w:pStyle w:val="26"/>
              <w:spacing w:before="20" w:after="20" w:line="276" w:lineRule="auto"/>
            </w:pPr>
            <w:r>
              <w:rPr>
                <w:rFonts w:hint="eastAsia" w:ascii="Times New Roman" w:hAnsi="Times New Roman" w:eastAsia="宋体"/>
                <w:sz w:val="19"/>
              </w:rPr>
              <w:t>LOO（有泄漏）</w:t>
            </w:r>
          </w:p>
        </w:tc>
        <w:tc>
          <w:p w14:paraId="39DEC681">
            <w:pPr>
              <w:pStyle w:val="26"/>
              <w:spacing w:before="20" w:after="20" w:line="276" w:lineRule="auto"/>
            </w:pPr>
            <w:r>
              <w:rPr>
                <w:rFonts w:ascii="Times New Roman" w:hAnsi="Times New Roman" w:eastAsia="宋体"/>
                <w:sz w:val="19"/>
              </w:rPr>
              <w:t>0.230</w:t>
            </w:r>
          </w:p>
        </w:tc>
        <w:tc>
          <w:p w14:paraId="0DDD9ABF">
            <w:pPr>
              <w:pStyle w:val="26"/>
              <w:spacing w:before="20" w:after="20" w:line="276" w:lineRule="auto"/>
            </w:pPr>
            <w:r>
              <w:rPr>
                <w:rFonts w:ascii="Times New Roman" w:hAnsi="Times New Roman" w:eastAsia="宋体"/>
                <w:sz w:val="19"/>
              </w:rPr>
              <w:t>0.735</w:t>
            </w:r>
          </w:p>
        </w:tc>
        <w:tc>
          <w:p w14:paraId="571F770F">
            <w:pPr>
              <w:pStyle w:val="26"/>
              <w:spacing w:before="20" w:after="20" w:line="276" w:lineRule="auto"/>
            </w:pPr>
            <w:r>
              <w:rPr>
                <w:rFonts w:ascii="Times New Roman" w:hAnsi="Times New Roman" w:eastAsia="宋体"/>
                <w:sz w:val="19"/>
              </w:rPr>
              <w:t>↓ 68.7%</w:t>
            </w:r>
          </w:p>
        </w:tc>
      </w:tr>
      <w:tr w14:paraId="7BA4809E">
        <w:tblPrEx>
          <w:tblCellMar>
            <w:top w:w="0" w:type="dxa"/>
            <w:left w:w="108" w:type="dxa"/>
            <w:bottom w:w="0" w:type="dxa"/>
            <w:right w:w="108" w:type="dxa"/>
          </w:tblCellMar>
        </w:tblPrEx>
        <w:trPr>
          <w:cantSplit/>
        </w:trPr>
        <w:tc>
          <w:p w14:paraId="5F03529A">
            <w:pPr>
              <w:pStyle w:val="26"/>
              <w:spacing w:before="20" w:after="20" w:line="276" w:lineRule="auto"/>
            </w:pPr>
            <w:r>
              <w:rPr>
                <w:rFonts w:ascii="Times New Roman" w:hAnsi="Times New Roman" w:eastAsia="宋体"/>
                <w:sz w:val="19"/>
              </w:rPr>
              <w:t>v0.2</w:t>
            </w:r>
          </w:p>
        </w:tc>
        <w:tc>
          <w:p w14:paraId="5466C74E">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2721567A">
            <w:pPr>
              <w:pStyle w:val="26"/>
              <w:spacing w:before="20" w:after="20" w:line="276" w:lineRule="auto"/>
            </w:pPr>
            <w:r>
              <w:rPr>
                <w:rFonts w:ascii="Times New Roman" w:hAnsi="Times New Roman" w:eastAsia="宋体"/>
                <w:sz w:val="19"/>
              </w:rPr>
              <w:t>8</w:t>
            </w:r>
          </w:p>
        </w:tc>
        <w:tc>
          <w:p w14:paraId="60EE6E77">
            <w:pPr>
              <w:pStyle w:val="26"/>
              <w:spacing w:before="20" w:after="20" w:line="276" w:lineRule="auto"/>
            </w:pPr>
            <w:r>
              <w:rPr>
                <w:rFonts w:hint="eastAsia" w:ascii="Times New Roman" w:hAnsi="Times New Roman" w:eastAsia="宋体"/>
                <w:b/>
                <w:bCs/>
                <w:sz w:val="19"/>
              </w:rPr>
              <w:t>LOGO（主指标）</w:t>
            </w:r>
          </w:p>
        </w:tc>
        <w:tc>
          <w:p w14:paraId="10A468EF">
            <w:pPr>
              <w:pStyle w:val="26"/>
              <w:spacing w:before="20" w:after="20" w:line="276" w:lineRule="auto"/>
            </w:pPr>
            <w:r>
              <w:rPr>
                <w:rFonts w:ascii="Times New Roman" w:hAnsi="Times New Roman" w:eastAsia="宋体"/>
                <w:sz w:val="19"/>
              </w:rPr>
              <w:t>0.393</w:t>
            </w:r>
          </w:p>
        </w:tc>
        <w:tc>
          <w:p w14:paraId="776F3B64">
            <w:pPr>
              <w:pStyle w:val="26"/>
              <w:spacing w:before="20" w:after="20" w:line="276" w:lineRule="auto"/>
            </w:pPr>
            <w:r>
              <w:rPr>
                <w:rFonts w:ascii="Times New Roman" w:hAnsi="Times New Roman" w:eastAsia="宋体"/>
                <w:sz w:val="19"/>
              </w:rPr>
              <w:t>0.784</w:t>
            </w:r>
          </w:p>
        </w:tc>
        <w:tc>
          <w:p w14:paraId="654C96D7">
            <w:pPr>
              <w:pStyle w:val="26"/>
              <w:spacing w:before="20" w:after="20" w:line="276" w:lineRule="auto"/>
            </w:pPr>
            <w:r>
              <w:rPr>
                <w:rFonts w:ascii="Times New Roman" w:hAnsi="Times New Roman" w:eastAsia="宋体"/>
                <w:sz w:val="19"/>
              </w:rPr>
              <w:t>↓ 49.9%</w:t>
            </w:r>
          </w:p>
        </w:tc>
      </w:tr>
      <w:tr w14:paraId="72BD4F03">
        <w:tblPrEx>
          <w:tblCellMar>
            <w:top w:w="0" w:type="dxa"/>
            <w:left w:w="108" w:type="dxa"/>
            <w:bottom w:w="0" w:type="dxa"/>
            <w:right w:w="108" w:type="dxa"/>
          </w:tblCellMar>
        </w:tblPrEx>
        <w:trPr>
          <w:cantSplit/>
        </w:trPr>
        <w:tc>
          <w:p w14:paraId="1B4F39D2">
            <w:pPr>
              <w:pStyle w:val="26"/>
              <w:spacing w:before="20" w:after="20" w:line="276" w:lineRule="auto"/>
            </w:pPr>
            <w:r>
              <w:rPr>
                <w:rFonts w:ascii="Times New Roman" w:hAnsi="Times New Roman" w:eastAsia="宋体"/>
                <w:sz w:val="19"/>
              </w:rPr>
              <w:t>v0.3</w:t>
            </w:r>
          </w:p>
        </w:tc>
        <w:tc>
          <w:p w14:paraId="74D863B5">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432884F6">
            <w:pPr>
              <w:pStyle w:val="26"/>
              <w:spacing w:before="20" w:after="20" w:line="276" w:lineRule="auto"/>
            </w:pPr>
            <w:r>
              <w:rPr>
                <w:rFonts w:ascii="Times New Roman" w:hAnsi="Times New Roman" w:eastAsia="宋体"/>
                <w:sz w:val="19"/>
              </w:rPr>
              <w:t>55</w:t>
            </w:r>
          </w:p>
        </w:tc>
        <w:tc>
          <w:p w14:paraId="2EFE71B6">
            <w:pPr>
              <w:pStyle w:val="26"/>
              <w:spacing w:before="20" w:after="20" w:line="276" w:lineRule="auto"/>
            </w:pPr>
            <w:r>
              <w:rPr>
                <w:rFonts w:hint="eastAsia" w:ascii="Times New Roman" w:hAnsi="Times New Roman" w:eastAsia="宋体"/>
                <w:sz w:val="19"/>
              </w:rPr>
              <w:t>LOO（有泄漏）</w:t>
            </w:r>
          </w:p>
        </w:tc>
        <w:tc>
          <w:p w14:paraId="79C4DF92">
            <w:pPr>
              <w:pStyle w:val="26"/>
              <w:spacing w:before="20" w:after="20" w:line="276" w:lineRule="auto"/>
            </w:pPr>
            <w:r>
              <w:rPr>
                <w:rFonts w:ascii="Times New Roman" w:hAnsi="Times New Roman" w:eastAsia="宋体"/>
                <w:sz w:val="19"/>
              </w:rPr>
              <w:t>0.279</w:t>
            </w:r>
          </w:p>
        </w:tc>
        <w:tc>
          <w:p w14:paraId="7A7AB23E">
            <w:pPr>
              <w:pStyle w:val="26"/>
              <w:spacing w:before="20" w:after="20" w:line="276" w:lineRule="auto"/>
            </w:pPr>
            <w:r>
              <w:rPr>
                <w:rFonts w:ascii="Times New Roman" w:hAnsi="Times New Roman" w:eastAsia="宋体"/>
                <w:sz w:val="19"/>
              </w:rPr>
              <w:t>0.735</w:t>
            </w:r>
          </w:p>
        </w:tc>
        <w:tc>
          <w:p w14:paraId="6D32433D">
            <w:pPr>
              <w:pStyle w:val="26"/>
              <w:spacing w:before="20" w:after="20" w:line="276" w:lineRule="auto"/>
            </w:pPr>
            <w:r>
              <w:rPr>
                <w:rFonts w:ascii="Times New Roman" w:hAnsi="Times New Roman" w:eastAsia="宋体"/>
                <w:sz w:val="19"/>
              </w:rPr>
              <w:t>↓ 62.1%</w:t>
            </w:r>
          </w:p>
        </w:tc>
      </w:tr>
      <w:tr w14:paraId="3A9B60BE">
        <w:tblPrEx>
          <w:tblCellMar>
            <w:top w:w="0" w:type="dxa"/>
            <w:left w:w="108" w:type="dxa"/>
            <w:bottom w:w="0" w:type="dxa"/>
            <w:right w:w="108" w:type="dxa"/>
          </w:tblCellMar>
        </w:tblPrEx>
        <w:trPr>
          <w:cantSplit/>
        </w:trPr>
        <w:tc>
          <w:p w14:paraId="588B8934">
            <w:pPr>
              <w:pStyle w:val="26"/>
              <w:spacing w:before="20" w:after="20" w:line="276" w:lineRule="auto"/>
            </w:pPr>
            <w:r>
              <w:rPr>
                <w:rFonts w:ascii="Times New Roman" w:hAnsi="Times New Roman" w:eastAsia="宋体"/>
                <w:sz w:val="19"/>
              </w:rPr>
              <w:t>v0.3</w:t>
            </w:r>
          </w:p>
        </w:tc>
        <w:tc>
          <w:p w14:paraId="1BA6C03B">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679E8478">
            <w:pPr>
              <w:pStyle w:val="26"/>
              <w:spacing w:before="20" w:after="20" w:line="276" w:lineRule="auto"/>
            </w:pPr>
            <w:r>
              <w:rPr>
                <w:rFonts w:ascii="Times New Roman" w:hAnsi="Times New Roman" w:eastAsia="宋体"/>
                <w:sz w:val="19"/>
              </w:rPr>
              <w:t>55</w:t>
            </w:r>
          </w:p>
        </w:tc>
        <w:tc>
          <w:p w14:paraId="55938662">
            <w:pPr>
              <w:pStyle w:val="26"/>
              <w:spacing w:before="20" w:after="20" w:line="276" w:lineRule="auto"/>
            </w:pPr>
            <w:r>
              <w:rPr>
                <w:rFonts w:hint="eastAsia" w:ascii="Times New Roman" w:hAnsi="Times New Roman" w:eastAsia="宋体"/>
                <w:b/>
                <w:bCs/>
                <w:sz w:val="19"/>
              </w:rPr>
              <w:t>LOGO（主指标）</w:t>
            </w:r>
          </w:p>
        </w:tc>
        <w:tc>
          <w:p w14:paraId="44167A09">
            <w:pPr>
              <w:pStyle w:val="26"/>
              <w:spacing w:before="20" w:after="20" w:line="276" w:lineRule="auto"/>
            </w:pPr>
            <w:r>
              <w:rPr>
                <w:rFonts w:ascii="Times New Roman" w:hAnsi="Times New Roman" w:eastAsia="宋体"/>
                <w:sz w:val="19"/>
              </w:rPr>
              <w:t>0.418</w:t>
            </w:r>
          </w:p>
        </w:tc>
        <w:tc>
          <w:p w14:paraId="65F95423">
            <w:pPr>
              <w:pStyle w:val="26"/>
              <w:spacing w:before="20" w:after="20" w:line="276" w:lineRule="auto"/>
            </w:pPr>
            <w:r>
              <w:rPr>
                <w:rFonts w:ascii="Times New Roman" w:hAnsi="Times New Roman" w:eastAsia="宋体"/>
                <w:sz w:val="19"/>
              </w:rPr>
              <w:t>0.784</w:t>
            </w:r>
          </w:p>
        </w:tc>
        <w:tc>
          <w:p w14:paraId="0C9F3BC7">
            <w:pPr>
              <w:pStyle w:val="26"/>
              <w:spacing w:before="20" w:after="20" w:line="276" w:lineRule="auto"/>
            </w:pPr>
            <w:r>
              <w:rPr>
                <w:rFonts w:ascii="Times New Roman" w:hAnsi="Times New Roman" w:eastAsia="宋体"/>
                <w:sz w:val="19"/>
              </w:rPr>
              <w:t>↓ 46.6%</w:t>
            </w:r>
          </w:p>
        </w:tc>
      </w:tr>
    </w:tbl>
    <w:p w14:paraId="7CA35BBF">
      <w:pPr>
        <w:pStyle w:val="3"/>
        <w:spacing w:before="40" w:after="40" w:line="360" w:lineRule="auto"/>
        <w:ind w:firstLine="480"/>
      </w:pPr>
      <w:r>
        <w:rPr>
          <w:rFonts w:hint="eastAsia" w:ascii="Times New Roman" w:hAnsi="Times New Roman" w:eastAsia="宋体"/>
          <w:sz w:val="24"/>
        </w:rPr>
        <w:t>三版特征集不同（67/8</w:t>
      </w:r>
      <w:r>
        <w:rPr>
          <w:rFonts w:ascii="Times New Roman" w:hAnsi="Times New Roman" w:eastAsia="宋体"/>
          <w:sz w:val="24"/>
        </w:rPr>
        <w:t xml:space="preserve"> / 55 </w:t>
      </w:r>
      <w:r>
        <w:rPr>
          <w:rFonts w:hint="eastAsia" w:ascii="Times New Roman" w:hAnsi="Times New Roman" w:eastAsia="宋体"/>
          <w:sz w:val="24"/>
        </w:rPr>
        <w:t>个），绝对误差数字不宜直接横向比较，可比的只有“相对朴素基线的改善幅度”这一无量纲量。在方法学主指标</w:t>
      </w:r>
      <w:r>
        <w:rPr>
          <w:rFonts w:ascii="Times New Roman" w:hAnsi="Times New Roman" w:eastAsia="宋体"/>
          <w:sz w:val="24"/>
        </w:rPr>
        <w:t xml:space="preserve"> LOGO </w:t>
      </w:r>
      <w:r>
        <w:rPr>
          <w:rFonts w:hint="eastAsia" w:ascii="Times New Roman" w:hAnsi="Times New Roman" w:eastAsia="宋体"/>
          <w:sz w:val="24"/>
        </w:rPr>
        <w:t>下，三代相对改善分别为</w:t>
      </w:r>
      <w:r>
        <w:rPr>
          <w:rFonts w:ascii="Times New Roman" w:hAnsi="Times New Roman" w:eastAsia="宋体"/>
          <w:sz w:val="24"/>
        </w:rPr>
        <w:t xml:space="preserve"> </w:t>
      </w:r>
      <w:r>
        <w:rPr>
          <w:rFonts w:hint="eastAsia" w:ascii="Times New Roman" w:hAnsi="Times New Roman" w:eastAsia="宋体"/>
          <w:sz w:val="24"/>
        </w:rPr>
        <w:t>—（v0.1</w:t>
      </w:r>
      <w:r>
        <w:rPr>
          <w:rFonts w:ascii="Times New Roman" w:hAnsi="Times New Roman" w:eastAsia="宋体"/>
          <w:sz w:val="24"/>
        </w:rPr>
        <w:t xml:space="preserve"> </w:t>
      </w:r>
      <w:r>
        <w:rPr>
          <w:rFonts w:hint="eastAsia" w:ascii="Times New Roman" w:hAnsi="Times New Roman" w:eastAsia="宋体"/>
          <w:sz w:val="24"/>
        </w:rPr>
        <w:t>未做</w:t>
      </w:r>
      <w:r>
        <w:rPr>
          <w:rFonts w:ascii="Times New Roman" w:hAnsi="Times New Roman" w:eastAsia="宋体"/>
          <w:sz w:val="24"/>
        </w:rPr>
        <w:t xml:space="preserve"> </w:t>
      </w:r>
      <w:r>
        <w:rPr>
          <w:rFonts w:hint="eastAsia" w:ascii="Times New Roman" w:hAnsi="Times New Roman" w:eastAsia="宋体"/>
          <w:sz w:val="24"/>
        </w:rPr>
        <w:t>LOGO）、49.9%、46.6%，大体稳定在</w:t>
      </w:r>
      <w:r>
        <w:rPr>
          <w:rFonts w:ascii="Times New Roman" w:hAnsi="Times New Roman" w:eastAsia="宋体"/>
          <w:sz w:val="24"/>
        </w:rPr>
        <w:t xml:space="preserve"> 50% </w:t>
      </w:r>
      <w:r>
        <w:rPr>
          <w:rFonts w:hint="eastAsia" w:ascii="Times New Roman" w:hAnsi="Times New Roman" w:eastAsia="宋体"/>
          <w:sz w:val="24"/>
        </w:rPr>
        <w:t>上下；v0.3</w:t>
      </w:r>
      <w:r>
        <w:rPr>
          <w:rFonts w:ascii="Times New Roman" w:hAnsi="Times New Roman" w:eastAsia="宋体"/>
          <w:sz w:val="24"/>
        </w:rPr>
        <w:t xml:space="preserve"> </w:t>
      </w:r>
      <w:r>
        <w:rPr>
          <w:rFonts w:hint="eastAsia" w:ascii="Times New Roman" w:hAnsi="Times New Roman" w:eastAsia="宋体"/>
          <w:sz w:val="24"/>
        </w:rPr>
        <w:t>特征数从</w:t>
      </w:r>
      <w:r>
        <w:rPr>
          <w:rFonts w:ascii="Times New Roman" w:hAnsi="Times New Roman" w:eastAsia="宋体"/>
          <w:sz w:val="24"/>
        </w:rPr>
        <w:t xml:space="preserve"> 8 </w:t>
      </w:r>
      <w:r>
        <w:rPr>
          <w:rFonts w:hint="eastAsia" w:ascii="Times New Roman" w:hAnsi="Times New Roman" w:eastAsia="宋体"/>
          <w:sz w:val="24"/>
        </w:rPr>
        <w:t>扩至</w:t>
      </w:r>
      <w:r>
        <w:rPr>
          <w:rFonts w:ascii="Times New Roman" w:hAnsi="Times New Roman" w:eastAsia="宋体"/>
          <w:sz w:val="24"/>
        </w:rPr>
        <w:t xml:space="preserve"> 55 </w:t>
      </w:r>
      <w:r>
        <w:rPr>
          <w:rFonts w:hint="eastAsia" w:ascii="Times New Roman" w:hAnsi="Times New Roman" w:eastAsia="宋体"/>
          <w:sz w:val="24"/>
        </w:rPr>
        <w:t>并未进一步降低</w:t>
      </w:r>
      <w:r>
        <w:rPr>
          <w:rFonts w:ascii="Times New Roman" w:hAnsi="Times New Roman" w:eastAsia="宋体"/>
          <w:sz w:val="24"/>
        </w:rPr>
        <w:t xml:space="preserve"> LOGO </w:t>
      </w:r>
      <w:r>
        <w:rPr>
          <w:rFonts w:hint="eastAsia" w:ascii="Times New Roman" w:hAnsi="Times New Roman" w:eastAsia="宋体"/>
          <w:sz w:val="24"/>
        </w:rPr>
        <w:t>误差，说明</w:t>
      </w:r>
      <w:r>
        <w:rPr>
          <w:rFonts w:ascii="Times New Roman" w:hAnsi="Times New Roman" w:eastAsia="宋体"/>
          <w:sz w:val="24"/>
        </w:rPr>
        <w:t xml:space="preserve"> v0.2 </w:t>
      </w:r>
      <w:r>
        <w:rPr>
          <w:rFonts w:hint="eastAsia" w:ascii="Times New Roman" w:hAnsi="Times New Roman" w:eastAsia="宋体"/>
          <w:sz w:val="24"/>
        </w:rPr>
        <w:t>的</w:t>
      </w:r>
      <w:r>
        <w:rPr>
          <w:rFonts w:ascii="Times New Roman" w:hAnsi="Times New Roman" w:eastAsia="宋体"/>
          <w:sz w:val="24"/>
        </w:rPr>
        <w:t xml:space="preserve"> 8 </w:t>
      </w:r>
      <w:r>
        <w:rPr>
          <w:rFonts w:hint="eastAsia" w:ascii="Times New Roman" w:hAnsi="Times New Roman" w:eastAsia="宋体"/>
          <w:sz w:val="24"/>
        </w:rPr>
        <w:t>个核心特征已捕获标签的主要可学习结构，本轮新增特征的价值主要体现在解释层（SHAP</w:t>
      </w:r>
      <w:r>
        <w:rPr>
          <w:rFonts w:ascii="Times New Roman" w:hAnsi="Times New Roman" w:eastAsia="宋体"/>
          <w:sz w:val="24"/>
        </w:rPr>
        <w:t xml:space="preserve"> </w:t>
      </w:r>
      <w:r>
        <w:rPr>
          <w:rFonts w:hint="eastAsia" w:ascii="Times New Roman" w:hAnsi="Times New Roman" w:eastAsia="宋体"/>
          <w:sz w:val="24"/>
        </w:rPr>
        <w:t>语义覆盖完整，政策类指标首次在干净条件下排名）而非误差层。LOO</w:t>
      </w:r>
      <w:r>
        <w:rPr>
          <w:rFonts w:ascii="Times New Roman" w:hAnsi="Times New Roman" w:eastAsia="宋体"/>
          <w:sz w:val="24"/>
        </w:rPr>
        <w:t xml:space="preserve"> </w:t>
      </w:r>
      <w:r>
        <w:rPr>
          <w:rFonts w:hint="eastAsia" w:ascii="Times New Roman" w:hAnsi="Times New Roman" w:eastAsia="宋体"/>
          <w:sz w:val="24"/>
        </w:rPr>
        <w:t>改善幅度</w:t>
      </w:r>
      <w:r>
        <w:rPr>
          <w:rFonts w:ascii="Times New Roman" w:hAnsi="Times New Roman" w:eastAsia="宋体"/>
          <w:sz w:val="24"/>
        </w:rPr>
        <w:t xml:space="preserve"> </w:t>
      </w:r>
      <w:r>
        <w:rPr>
          <w:rFonts w:hint="eastAsia" w:ascii="Times New Roman" w:hAnsi="Times New Roman" w:eastAsia="宋体"/>
          <w:sz w:val="24"/>
        </w:rPr>
        <w:t>v0.3（62.1%）低于</w:t>
      </w:r>
      <w:r>
        <w:rPr>
          <w:rFonts w:ascii="Times New Roman" w:hAnsi="Times New Roman" w:eastAsia="宋体"/>
          <w:sz w:val="24"/>
        </w:rPr>
        <w:t xml:space="preserve"> </w:t>
      </w:r>
      <w:r>
        <w:rPr>
          <w:rFonts w:hint="eastAsia" w:ascii="Times New Roman" w:hAnsi="Times New Roman" w:eastAsia="宋体"/>
          <w:sz w:val="24"/>
        </w:rPr>
        <w:t>v0.2（68.7%），均含面板泄漏水分，不作跨版解读。</w:t>
      </w:r>
    </w:p>
    <w:bookmarkEnd w:id="193"/>
    <w:p w14:paraId="0E45F198">
      <w:pPr>
        <w:pStyle w:val="5"/>
        <w:spacing w:before="240" w:after="120" w:line="360" w:lineRule="auto"/>
      </w:pPr>
      <w:bookmarkStart w:id="194" w:name="X52c1e338a945f7741d671638b5d3e08c3cb13f0"/>
      <w:r>
        <w:rPr>
          <w:rFonts w:ascii="Times New Roman" w:hAnsi="Times New Roman" w:eastAsia="黑体"/>
          <w:b/>
          <w:color w:val="003366"/>
          <w:sz w:val="24"/>
        </w:rPr>
        <w:t xml:space="preserve">F.2.3 SHAP </w:t>
      </w:r>
      <w:r>
        <w:rPr>
          <w:rFonts w:hint="eastAsia" w:ascii="Times New Roman" w:hAnsi="Times New Roman" w:eastAsia="黑体"/>
          <w:b/>
          <w:color w:val="003366"/>
          <w:sz w:val="24"/>
        </w:rPr>
        <w:t>特征重要性</w:t>
      </w:r>
      <w:r>
        <w:rPr>
          <w:rFonts w:ascii="Times New Roman" w:hAnsi="Times New Roman" w:eastAsia="黑体"/>
          <w:b/>
          <w:color w:val="003366"/>
          <w:sz w:val="24"/>
        </w:rPr>
        <w:t xml:space="preserve"> Top </w:t>
      </w:r>
      <w:r>
        <w:rPr>
          <w:rFonts w:hint="eastAsia" w:ascii="Times New Roman" w:hAnsi="Times New Roman" w:eastAsia="黑体"/>
          <w:b/>
          <w:color w:val="003366"/>
          <w:sz w:val="24"/>
        </w:rPr>
        <w:t>10（全量</w:t>
      </w:r>
      <w:r>
        <w:rPr>
          <w:rFonts w:ascii="Times New Roman" w:hAnsi="Times New Roman" w:eastAsia="黑体"/>
          <w:b/>
          <w:color w:val="003366"/>
          <w:sz w:val="24"/>
        </w:rPr>
        <w:t xml:space="preserve"> 30 </w:t>
      </w:r>
      <w:r>
        <w:rPr>
          <w:rFonts w:hint="eastAsia" w:ascii="Times New Roman" w:hAnsi="Times New Roman" w:eastAsia="黑体"/>
          <w:b/>
          <w:color w:val="003366"/>
          <w:sz w:val="24"/>
        </w:rPr>
        <w:t>样本拟合，完整</w:t>
      </w:r>
      <w:r>
        <w:rPr>
          <w:rFonts w:ascii="Times New Roman" w:hAnsi="Times New Roman" w:eastAsia="黑体"/>
          <w:b/>
          <w:color w:val="003366"/>
          <w:sz w:val="24"/>
        </w:rPr>
        <w:t xml:space="preserve"> 55 </w:t>
      </w:r>
      <w:r>
        <w:rPr>
          <w:rFonts w:hint="eastAsia" w:ascii="Times New Roman" w:hAnsi="Times New Roman" w:eastAsia="黑体"/>
          <w:b/>
          <w:color w:val="003366"/>
          <w:sz w:val="24"/>
        </w:rPr>
        <w:t>特征排名见</w:t>
      </w:r>
      <w:r>
        <w:rPr>
          <w:rFonts w:ascii="Times New Roman" w:hAnsi="Times New Roman" w:eastAsia="黑体"/>
          <w:b/>
          <w:color w:val="003366"/>
          <w:sz w:val="24"/>
        </w:rPr>
        <w:t xml:space="preserve"> </w:t>
      </w:r>
      <w:r>
        <w:rPr>
          <w:rStyle w:val="50"/>
          <w:rFonts w:ascii="Times New Roman" w:hAnsi="Times New Roman" w:eastAsia="黑体"/>
          <w:b/>
          <w:color w:val="003366"/>
          <w:sz w:val="24"/>
        </w:rPr>
        <w:t>xgboost_poc_v3_shap_importance.csv</w:t>
      </w:r>
      <w:r>
        <w:rPr>
          <w:rFonts w:hint="eastAsia" w:ascii="Times New Roman" w:hAnsi="Times New Roman" w:eastAsia="黑体"/>
          <w:b/>
          <w:color w:val="003366"/>
          <w:sz w:val="24"/>
        </w:rPr>
        <w:t>）</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243D592F">
        <w:tblPrEx>
          <w:tblCellMar>
            <w:top w:w="0" w:type="dxa"/>
            <w:left w:w="108" w:type="dxa"/>
            <w:bottom w:w="0" w:type="dxa"/>
            <w:right w:w="108" w:type="dxa"/>
          </w:tblCellMar>
        </w:tblPrEx>
        <w:trPr>
          <w:cantSplit/>
          <w:tblHeader/>
        </w:trPr>
        <w:tc>
          <w:p w14:paraId="6E95CAB5">
            <w:pPr>
              <w:pStyle w:val="26"/>
              <w:spacing w:before="20" w:after="20" w:line="276" w:lineRule="auto"/>
            </w:pPr>
            <w:r>
              <w:rPr>
                <w:rFonts w:hint="eastAsia" w:ascii="Times New Roman" w:hAnsi="Times New Roman" w:eastAsia="宋体"/>
                <w:b/>
                <w:bCs/>
                <w:sz w:val="20"/>
              </w:rPr>
              <w:t>排名</w:t>
            </w:r>
          </w:p>
        </w:tc>
        <w:tc>
          <w:p w14:paraId="05565F22">
            <w:pPr>
              <w:pStyle w:val="26"/>
              <w:spacing w:before="20" w:after="20" w:line="276" w:lineRule="auto"/>
            </w:pPr>
            <w:r>
              <w:rPr>
                <w:rFonts w:hint="eastAsia" w:ascii="Times New Roman" w:hAnsi="Times New Roman" w:eastAsia="宋体"/>
                <w:b/>
                <w:bCs/>
                <w:sz w:val="20"/>
              </w:rPr>
              <w:t>特征</w:t>
            </w:r>
          </w:p>
        </w:tc>
        <w:tc>
          <w:p w14:paraId="4958C6A1">
            <w:pPr>
              <w:pStyle w:val="26"/>
              <w:spacing w:before="20" w:after="20" w:line="276" w:lineRule="auto"/>
            </w:pPr>
            <w:r>
              <w:rPr>
                <w:rFonts w:hint="eastAsia" w:ascii="Times New Roman" w:hAnsi="Times New Roman" w:eastAsia="宋体"/>
                <w:b/>
                <w:bCs/>
                <w:sz w:val="20"/>
              </w:rPr>
              <w:t>平均SHAP值</w:t>
            </w:r>
          </w:p>
        </w:tc>
        <w:tc>
          <w:p w14:paraId="3A6B65EA">
            <w:pPr>
              <w:pStyle w:val="26"/>
              <w:spacing w:before="20" w:after="20" w:line="276" w:lineRule="auto"/>
            </w:pPr>
            <w:r>
              <w:rPr>
                <w:rFonts w:hint="eastAsia" w:ascii="Times New Roman" w:hAnsi="Times New Roman" w:eastAsia="宋体"/>
                <w:b/>
                <w:bCs/>
                <w:sz w:val="20"/>
              </w:rPr>
              <w:t>方向</w:t>
            </w:r>
          </w:p>
        </w:tc>
        <w:tc>
          <w:p w14:paraId="1B377AB0">
            <w:pPr>
              <w:pStyle w:val="26"/>
              <w:spacing w:before="20" w:after="20" w:line="276" w:lineRule="auto"/>
            </w:pPr>
            <w:r>
              <w:rPr>
                <w:rFonts w:hint="eastAsia" w:ascii="Times New Roman" w:hAnsi="Times New Roman" w:eastAsia="宋体"/>
                <w:b/>
                <w:bCs/>
                <w:sz w:val="20"/>
              </w:rPr>
              <w:t>类别</w:t>
            </w:r>
          </w:p>
        </w:tc>
        <w:tc>
          <w:p w14:paraId="0CAB0CB6">
            <w:pPr>
              <w:pStyle w:val="26"/>
              <w:spacing w:before="20" w:after="20" w:line="276" w:lineRule="auto"/>
            </w:pPr>
            <w:r>
              <w:rPr>
                <w:rFonts w:hint="eastAsia" w:ascii="Times New Roman" w:hAnsi="Times New Roman" w:eastAsia="宋体"/>
                <w:b/>
                <w:bCs/>
                <w:sz w:val="20"/>
              </w:rPr>
              <w:t>缺失行数</w:t>
            </w:r>
          </w:p>
        </w:tc>
      </w:tr>
      <w:tr w14:paraId="380C8388">
        <w:tblPrEx>
          <w:tblCellMar>
            <w:top w:w="0" w:type="dxa"/>
            <w:left w:w="108" w:type="dxa"/>
            <w:bottom w:w="0" w:type="dxa"/>
            <w:right w:w="108" w:type="dxa"/>
          </w:tblCellMar>
        </w:tblPrEx>
        <w:trPr>
          <w:cantSplit/>
        </w:trPr>
        <w:tc>
          <w:p w14:paraId="00A8CB59">
            <w:pPr>
              <w:pStyle w:val="26"/>
              <w:spacing w:before="20" w:after="20" w:line="276" w:lineRule="auto"/>
            </w:pPr>
            <w:r>
              <w:rPr>
                <w:rFonts w:ascii="Times New Roman" w:hAnsi="Times New Roman" w:eastAsia="宋体"/>
                <w:sz w:val="20"/>
              </w:rPr>
              <w:t>1</w:t>
            </w:r>
          </w:p>
        </w:tc>
        <w:tc>
          <w:p w14:paraId="294E093C">
            <w:pPr>
              <w:pStyle w:val="26"/>
              <w:spacing w:before="20" w:after="20" w:line="276" w:lineRule="auto"/>
            </w:pPr>
            <w:r>
              <w:rPr>
                <w:rFonts w:hint="eastAsia" w:ascii="Times New Roman" w:hAnsi="Times New Roman" w:eastAsia="宋体"/>
                <w:b/>
                <w:bCs/>
                <w:sz w:val="20"/>
              </w:rPr>
              <w:t>capex_to_revenue（资本开支/营收）</w:t>
            </w:r>
          </w:p>
        </w:tc>
        <w:tc>
          <w:p w14:paraId="0683E376">
            <w:pPr>
              <w:pStyle w:val="26"/>
              <w:spacing w:before="20" w:after="20" w:line="276" w:lineRule="auto"/>
            </w:pPr>
            <w:r>
              <w:rPr>
                <w:rFonts w:ascii="Times New Roman" w:hAnsi="Times New Roman" w:eastAsia="宋体"/>
                <w:b/>
                <w:bCs/>
                <w:sz w:val="20"/>
              </w:rPr>
              <w:t>0.403</w:t>
            </w:r>
          </w:p>
        </w:tc>
        <w:tc>
          <w:p w14:paraId="512CC9A7">
            <w:pPr>
              <w:pStyle w:val="26"/>
              <w:spacing w:before="20" w:after="20" w:line="276" w:lineRule="auto"/>
            </w:pPr>
            <w:r>
              <w:rPr>
                <w:rFonts w:hint="eastAsia" w:ascii="Times New Roman" w:hAnsi="Times New Roman" w:eastAsia="宋体"/>
                <w:sz w:val="20"/>
              </w:rPr>
              <w:t>正（+0.77）</w:t>
            </w:r>
          </w:p>
        </w:tc>
        <w:tc>
          <w:p w14:paraId="7C2D611E">
            <w:pPr>
              <w:pStyle w:val="26"/>
              <w:spacing w:before="20" w:after="20" w:line="276" w:lineRule="auto"/>
            </w:pPr>
            <w:r>
              <w:rPr>
                <w:rFonts w:hint="eastAsia" w:ascii="Times New Roman" w:hAnsi="Times New Roman" w:eastAsia="宋体"/>
                <w:sz w:val="20"/>
              </w:rPr>
              <w:t>政策/比率类</w:t>
            </w:r>
          </w:p>
        </w:tc>
        <w:tc>
          <w:p w14:paraId="079C572F">
            <w:pPr>
              <w:pStyle w:val="26"/>
              <w:spacing w:before="20" w:after="20" w:line="276" w:lineRule="auto"/>
            </w:pPr>
            <w:r>
              <w:rPr>
                <w:rFonts w:ascii="Times New Roman" w:hAnsi="Times New Roman" w:eastAsia="宋体"/>
                <w:sz w:val="20"/>
              </w:rPr>
              <w:t>0</w:t>
            </w:r>
          </w:p>
        </w:tc>
      </w:tr>
      <w:tr w14:paraId="3546C954">
        <w:tblPrEx>
          <w:tblCellMar>
            <w:top w:w="0" w:type="dxa"/>
            <w:left w:w="108" w:type="dxa"/>
            <w:bottom w:w="0" w:type="dxa"/>
            <w:right w:w="108" w:type="dxa"/>
          </w:tblCellMar>
        </w:tblPrEx>
        <w:trPr>
          <w:cantSplit/>
        </w:trPr>
        <w:tc>
          <w:p w14:paraId="627047C4">
            <w:pPr>
              <w:pStyle w:val="26"/>
              <w:spacing w:before="20" w:after="20" w:line="276" w:lineRule="auto"/>
            </w:pPr>
            <w:r>
              <w:rPr>
                <w:rFonts w:ascii="Times New Roman" w:hAnsi="Times New Roman" w:eastAsia="宋体"/>
                <w:sz w:val="20"/>
              </w:rPr>
              <w:t>2</w:t>
            </w:r>
          </w:p>
        </w:tc>
        <w:tc>
          <w:p w14:paraId="11112E5D">
            <w:pPr>
              <w:pStyle w:val="26"/>
              <w:spacing w:before="20" w:after="20" w:line="276" w:lineRule="auto"/>
            </w:pPr>
            <w:r>
              <w:rPr>
                <w:rFonts w:hint="eastAsia" w:ascii="Times New Roman" w:hAnsi="Times New Roman" w:eastAsia="宋体"/>
                <w:sz w:val="20"/>
              </w:rPr>
              <w:t>ppe_net（固定资产净额）</w:t>
            </w:r>
          </w:p>
        </w:tc>
        <w:tc>
          <w:p w14:paraId="270088E8">
            <w:pPr>
              <w:pStyle w:val="26"/>
              <w:spacing w:before="20" w:after="20" w:line="276" w:lineRule="auto"/>
            </w:pPr>
            <w:r>
              <w:rPr>
                <w:rFonts w:ascii="Times New Roman" w:hAnsi="Times New Roman" w:eastAsia="宋体"/>
                <w:sz w:val="20"/>
              </w:rPr>
              <w:t>0.148</w:t>
            </w:r>
          </w:p>
        </w:tc>
        <w:tc>
          <w:p w14:paraId="18DEF25C">
            <w:pPr>
              <w:pStyle w:val="26"/>
              <w:spacing w:before="20" w:after="20" w:line="276" w:lineRule="auto"/>
            </w:pPr>
            <w:r>
              <w:rPr>
                <w:rFonts w:hint="eastAsia" w:ascii="Times New Roman" w:hAnsi="Times New Roman" w:eastAsia="宋体"/>
                <w:sz w:val="20"/>
              </w:rPr>
              <w:t>正（+0.63）</w:t>
            </w:r>
          </w:p>
        </w:tc>
        <w:tc>
          <w:p w14:paraId="52E63B1C">
            <w:pPr>
              <w:pStyle w:val="26"/>
              <w:spacing w:before="20" w:after="20" w:line="276" w:lineRule="auto"/>
            </w:pPr>
            <w:r>
              <w:rPr>
                <w:rFonts w:hint="eastAsia" w:ascii="Times New Roman" w:hAnsi="Times New Roman" w:eastAsia="宋体"/>
                <w:sz w:val="20"/>
              </w:rPr>
              <w:t>规模类</w:t>
            </w:r>
          </w:p>
        </w:tc>
        <w:tc>
          <w:p w14:paraId="0D58396B">
            <w:pPr>
              <w:pStyle w:val="26"/>
              <w:spacing w:before="20" w:after="20" w:line="276" w:lineRule="auto"/>
            </w:pPr>
            <w:r>
              <w:rPr>
                <w:rFonts w:ascii="Times New Roman" w:hAnsi="Times New Roman" w:eastAsia="宋体"/>
                <w:sz w:val="20"/>
              </w:rPr>
              <w:t>0</w:t>
            </w:r>
          </w:p>
        </w:tc>
      </w:tr>
      <w:tr w14:paraId="73949E22">
        <w:tblPrEx>
          <w:tblCellMar>
            <w:top w:w="0" w:type="dxa"/>
            <w:left w:w="108" w:type="dxa"/>
            <w:bottom w:w="0" w:type="dxa"/>
            <w:right w:w="108" w:type="dxa"/>
          </w:tblCellMar>
        </w:tblPrEx>
        <w:trPr>
          <w:cantSplit/>
        </w:trPr>
        <w:tc>
          <w:p w14:paraId="6B4460F0">
            <w:pPr>
              <w:pStyle w:val="26"/>
              <w:spacing w:before="20" w:after="20" w:line="276" w:lineRule="auto"/>
            </w:pPr>
            <w:r>
              <w:rPr>
                <w:rFonts w:ascii="Times New Roman" w:hAnsi="Times New Roman" w:eastAsia="宋体"/>
                <w:sz w:val="20"/>
              </w:rPr>
              <w:t>3</w:t>
            </w:r>
          </w:p>
        </w:tc>
        <w:tc>
          <w:p w14:paraId="7F8AE3FA">
            <w:pPr>
              <w:pStyle w:val="26"/>
              <w:spacing w:before="20" w:after="20" w:line="276" w:lineRule="auto"/>
            </w:pPr>
            <w:r>
              <w:rPr>
                <w:rFonts w:hint="eastAsia" w:ascii="Times New Roman" w:hAnsi="Times New Roman" w:eastAsia="宋体"/>
                <w:sz w:val="20"/>
              </w:rPr>
              <w:t>depreciation（折旧费用）</w:t>
            </w:r>
          </w:p>
        </w:tc>
        <w:tc>
          <w:p w14:paraId="41D2D447">
            <w:pPr>
              <w:pStyle w:val="26"/>
              <w:spacing w:before="20" w:after="20" w:line="276" w:lineRule="auto"/>
            </w:pPr>
            <w:r>
              <w:rPr>
                <w:rFonts w:ascii="Times New Roman" w:hAnsi="Times New Roman" w:eastAsia="宋体"/>
                <w:sz w:val="20"/>
              </w:rPr>
              <w:t>0.073</w:t>
            </w:r>
          </w:p>
        </w:tc>
        <w:tc>
          <w:p w14:paraId="4419E146">
            <w:pPr>
              <w:pStyle w:val="26"/>
              <w:spacing w:before="20" w:after="20" w:line="276" w:lineRule="auto"/>
            </w:pPr>
            <w:r>
              <w:rPr>
                <w:rFonts w:hint="eastAsia" w:ascii="Times New Roman" w:hAnsi="Times New Roman" w:eastAsia="宋体"/>
                <w:sz w:val="20"/>
              </w:rPr>
              <w:t>正（+0.86）</w:t>
            </w:r>
          </w:p>
        </w:tc>
        <w:tc>
          <w:p w14:paraId="0A0B1283">
            <w:pPr>
              <w:pStyle w:val="26"/>
              <w:spacing w:before="20" w:after="20" w:line="276" w:lineRule="auto"/>
            </w:pPr>
            <w:r>
              <w:rPr>
                <w:rFonts w:hint="eastAsia" w:ascii="Times New Roman" w:hAnsi="Times New Roman" w:eastAsia="宋体"/>
                <w:sz w:val="20"/>
              </w:rPr>
              <w:t>规模类</w:t>
            </w:r>
          </w:p>
        </w:tc>
        <w:tc>
          <w:p w14:paraId="25779120">
            <w:pPr>
              <w:pStyle w:val="26"/>
              <w:spacing w:before="20" w:after="20" w:line="276" w:lineRule="auto"/>
            </w:pPr>
            <w:r>
              <w:rPr>
                <w:rFonts w:ascii="Times New Roman" w:hAnsi="Times New Roman" w:eastAsia="宋体"/>
                <w:sz w:val="20"/>
              </w:rPr>
              <w:t>0</w:t>
            </w:r>
          </w:p>
        </w:tc>
      </w:tr>
      <w:tr w14:paraId="0EFE4ED2">
        <w:tblPrEx>
          <w:tblCellMar>
            <w:top w:w="0" w:type="dxa"/>
            <w:left w:w="108" w:type="dxa"/>
            <w:bottom w:w="0" w:type="dxa"/>
            <w:right w:w="108" w:type="dxa"/>
          </w:tblCellMar>
        </w:tblPrEx>
        <w:trPr>
          <w:cantSplit/>
        </w:trPr>
        <w:tc>
          <w:p w14:paraId="5518E893">
            <w:pPr>
              <w:pStyle w:val="26"/>
              <w:spacing w:before="20" w:after="20" w:line="276" w:lineRule="auto"/>
            </w:pPr>
            <w:r>
              <w:rPr>
                <w:rFonts w:ascii="Times New Roman" w:hAnsi="Times New Roman" w:eastAsia="宋体"/>
                <w:sz w:val="20"/>
              </w:rPr>
              <w:t>4</w:t>
            </w:r>
          </w:p>
        </w:tc>
        <w:tc>
          <w:p w14:paraId="3EAC3178">
            <w:pPr>
              <w:pStyle w:val="26"/>
              <w:spacing w:before="20" w:after="20" w:line="276" w:lineRule="auto"/>
            </w:pPr>
            <w:r>
              <w:rPr>
                <w:rFonts w:hint="eastAsia" w:ascii="Times New Roman" w:hAnsi="Times New Roman" w:eastAsia="宋体"/>
                <w:b/>
                <w:bCs/>
                <w:sz w:val="20"/>
              </w:rPr>
              <w:t>ppe_turnover（营收/固定资产净额）</w:t>
            </w:r>
          </w:p>
        </w:tc>
        <w:tc>
          <w:p w14:paraId="560A3845">
            <w:pPr>
              <w:pStyle w:val="26"/>
              <w:spacing w:before="20" w:after="20" w:line="276" w:lineRule="auto"/>
            </w:pPr>
            <w:r>
              <w:rPr>
                <w:rFonts w:ascii="Times New Roman" w:hAnsi="Times New Roman" w:eastAsia="宋体"/>
                <w:sz w:val="20"/>
              </w:rPr>
              <w:t>0.053</w:t>
            </w:r>
          </w:p>
        </w:tc>
        <w:tc>
          <w:p w14:paraId="239ED0DA">
            <w:pPr>
              <w:pStyle w:val="26"/>
              <w:spacing w:before="20" w:after="20" w:line="276" w:lineRule="auto"/>
            </w:pPr>
            <w:r>
              <w:rPr>
                <w:rFonts w:hint="eastAsia" w:ascii="Times New Roman" w:hAnsi="Times New Roman" w:eastAsia="宋体"/>
                <w:sz w:val="20"/>
              </w:rPr>
              <w:t>负（−0.83）</w:t>
            </w:r>
          </w:p>
        </w:tc>
        <w:tc>
          <w:p w14:paraId="1FF80AA4">
            <w:pPr>
              <w:pStyle w:val="26"/>
              <w:spacing w:before="20" w:after="20" w:line="276" w:lineRule="auto"/>
            </w:pPr>
            <w:r>
              <w:rPr>
                <w:rFonts w:hint="eastAsia" w:ascii="Times New Roman" w:hAnsi="Times New Roman" w:eastAsia="宋体"/>
                <w:sz w:val="20"/>
              </w:rPr>
              <w:t>政策/比率类</w:t>
            </w:r>
          </w:p>
        </w:tc>
        <w:tc>
          <w:p w14:paraId="2033C51A">
            <w:pPr>
              <w:pStyle w:val="26"/>
              <w:spacing w:before="20" w:after="20" w:line="276" w:lineRule="auto"/>
            </w:pPr>
            <w:r>
              <w:rPr>
                <w:rFonts w:ascii="Times New Roman" w:hAnsi="Times New Roman" w:eastAsia="宋体"/>
                <w:sz w:val="20"/>
              </w:rPr>
              <w:t>0</w:t>
            </w:r>
          </w:p>
        </w:tc>
      </w:tr>
      <w:tr w14:paraId="1F12CE4F">
        <w:tblPrEx>
          <w:tblCellMar>
            <w:top w:w="0" w:type="dxa"/>
            <w:left w:w="108" w:type="dxa"/>
            <w:bottom w:w="0" w:type="dxa"/>
            <w:right w:w="108" w:type="dxa"/>
          </w:tblCellMar>
        </w:tblPrEx>
        <w:trPr>
          <w:cantSplit/>
        </w:trPr>
        <w:tc>
          <w:p w14:paraId="277D6CE2">
            <w:pPr>
              <w:pStyle w:val="26"/>
              <w:spacing w:before="20" w:after="20" w:line="276" w:lineRule="auto"/>
            </w:pPr>
            <w:r>
              <w:rPr>
                <w:rFonts w:ascii="Times New Roman" w:hAnsi="Times New Roman" w:eastAsia="宋体"/>
                <w:sz w:val="20"/>
              </w:rPr>
              <w:t>5</w:t>
            </w:r>
          </w:p>
        </w:tc>
        <w:tc>
          <w:p w14:paraId="05285D69">
            <w:pPr>
              <w:pStyle w:val="26"/>
              <w:spacing w:before="20" w:after="20" w:line="276" w:lineRule="auto"/>
            </w:pPr>
            <w:r>
              <w:rPr>
                <w:rFonts w:hint="eastAsia" w:ascii="Times New Roman" w:hAnsi="Times New Roman" w:eastAsia="宋体"/>
                <w:sz w:val="20"/>
              </w:rPr>
              <w:t>total_assets（总资产）</w:t>
            </w:r>
          </w:p>
        </w:tc>
        <w:tc>
          <w:p w14:paraId="12011BC5">
            <w:pPr>
              <w:pStyle w:val="26"/>
              <w:spacing w:before="20" w:after="20" w:line="276" w:lineRule="auto"/>
            </w:pPr>
            <w:r>
              <w:rPr>
                <w:rFonts w:ascii="Times New Roman" w:hAnsi="Times New Roman" w:eastAsia="宋体"/>
                <w:sz w:val="20"/>
              </w:rPr>
              <w:t>0.043</w:t>
            </w:r>
          </w:p>
        </w:tc>
        <w:tc>
          <w:p w14:paraId="368646B1">
            <w:pPr>
              <w:pStyle w:val="26"/>
              <w:spacing w:before="20" w:after="20" w:line="276" w:lineRule="auto"/>
            </w:pPr>
            <w:r>
              <w:rPr>
                <w:rFonts w:hint="eastAsia" w:ascii="Times New Roman" w:hAnsi="Times New Roman" w:eastAsia="宋体"/>
                <w:sz w:val="20"/>
              </w:rPr>
              <w:t>正（+0.25）</w:t>
            </w:r>
          </w:p>
        </w:tc>
        <w:tc>
          <w:p w14:paraId="0B49065A">
            <w:pPr>
              <w:pStyle w:val="26"/>
              <w:spacing w:before="20" w:after="20" w:line="276" w:lineRule="auto"/>
            </w:pPr>
            <w:r>
              <w:rPr>
                <w:rFonts w:hint="eastAsia" w:ascii="Times New Roman" w:hAnsi="Times New Roman" w:eastAsia="宋体"/>
                <w:sz w:val="20"/>
              </w:rPr>
              <w:t>规模类</w:t>
            </w:r>
          </w:p>
        </w:tc>
        <w:tc>
          <w:p w14:paraId="4CE17350">
            <w:pPr>
              <w:pStyle w:val="26"/>
              <w:spacing w:before="20" w:after="20" w:line="276" w:lineRule="auto"/>
            </w:pPr>
            <w:r>
              <w:rPr>
                <w:rFonts w:ascii="Times New Roman" w:hAnsi="Times New Roman" w:eastAsia="宋体"/>
                <w:sz w:val="20"/>
              </w:rPr>
              <w:t>9</w:t>
            </w:r>
          </w:p>
        </w:tc>
      </w:tr>
      <w:tr w14:paraId="7674C3DF">
        <w:tblPrEx>
          <w:tblCellMar>
            <w:top w:w="0" w:type="dxa"/>
            <w:left w:w="108" w:type="dxa"/>
            <w:bottom w:w="0" w:type="dxa"/>
            <w:right w:w="108" w:type="dxa"/>
          </w:tblCellMar>
        </w:tblPrEx>
        <w:trPr>
          <w:cantSplit/>
        </w:trPr>
        <w:tc>
          <w:p w14:paraId="184FA6B3">
            <w:pPr>
              <w:pStyle w:val="26"/>
              <w:spacing w:before="20" w:after="20" w:line="276" w:lineRule="auto"/>
            </w:pPr>
            <w:r>
              <w:rPr>
                <w:rFonts w:ascii="Times New Roman" w:hAnsi="Times New Roman" w:eastAsia="宋体"/>
                <w:sz w:val="20"/>
              </w:rPr>
              <w:t>6</w:t>
            </w:r>
          </w:p>
        </w:tc>
        <w:tc>
          <w:p w14:paraId="34B01C43">
            <w:pPr>
              <w:pStyle w:val="26"/>
              <w:spacing w:before="20" w:after="20" w:line="276" w:lineRule="auto"/>
            </w:pPr>
            <w:r>
              <w:rPr>
                <w:rFonts w:hint="eastAsia" w:ascii="Times New Roman" w:hAnsi="Times New Roman" w:eastAsia="宋体"/>
                <w:sz w:val="20"/>
              </w:rPr>
              <w:t>rd_expense（研发费用）</w:t>
            </w:r>
          </w:p>
        </w:tc>
        <w:tc>
          <w:p w14:paraId="0DB78B8F">
            <w:pPr>
              <w:pStyle w:val="26"/>
              <w:spacing w:before="20" w:after="20" w:line="276" w:lineRule="auto"/>
            </w:pPr>
            <w:r>
              <w:rPr>
                <w:rFonts w:ascii="Times New Roman" w:hAnsi="Times New Roman" w:eastAsia="宋体"/>
                <w:sz w:val="20"/>
              </w:rPr>
              <w:t>0.041</w:t>
            </w:r>
          </w:p>
        </w:tc>
        <w:tc>
          <w:p w14:paraId="0FB1BE78">
            <w:pPr>
              <w:pStyle w:val="26"/>
              <w:spacing w:before="20" w:after="20" w:line="276" w:lineRule="auto"/>
            </w:pPr>
            <w:r>
              <w:rPr>
                <w:rFonts w:hint="eastAsia" w:ascii="Times New Roman" w:hAnsi="Times New Roman" w:eastAsia="宋体"/>
                <w:sz w:val="20"/>
              </w:rPr>
              <w:t>正（+0.84）</w:t>
            </w:r>
          </w:p>
        </w:tc>
        <w:tc>
          <w:p w14:paraId="4F618E85">
            <w:pPr>
              <w:pStyle w:val="26"/>
              <w:spacing w:before="20" w:after="20" w:line="276" w:lineRule="auto"/>
            </w:pPr>
            <w:r>
              <w:rPr>
                <w:rFonts w:hint="eastAsia" w:ascii="Times New Roman" w:hAnsi="Times New Roman" w:eastAsia="宋体"/>
                <w:sz w:val="20"/>
              </w:rPr>
              <w:t>规模类</w:t>
            </w:r>
          </w:p>
        </w:tc>
        <w:tc>
          <w:p w14:paraId="504EEA18">
            <w:pPr>
              <w:pStyle w:val="26"/>
              <w:spacing w:before="20" w:after="20" w:line="276" w:lineRule="auto"/>
            </w:pPr>
            <w:r>
              <w:rPr>
                <w:rFonts w:ascii="Times New Roman" w:hAnsi="Times New Roman" w:eastAsia="宋体"/>
                <w:sz w:val="20"/>
              </w:rPr>
              <w:t>6</w:t>
            </w:r>
          </w:p>
        </w:tc>
      </w:tr>
      <w:tr w14:paraId="76F77A8F">
        <w:tblPrEx>
          <w:tblCellMar>
            <w:top w:w="0" w:type="dxa"/>
            <w:left w:w="108" w:type="dxa"/>
            <w:bottom w:w="0" w:type="dxa"/>
            <w:right w:w="108" w:type="dxa"/>
          </w:tblCellMar>
        </w:tblPrEx>
        <w:trPr>
          <w:cantSplit/>
        </w:trPr>
        <w:tc>
          <w:p w14:paraId="66879104">
            <w:pPr>
              <w:pStyle w:val="26"/>
              <w:spacing w:before="20" w:after="20" w:line="276" w:lineRule="auto"/>
            </w:pPr>
            <w:r>
              <w:rPr>
                <w:rFonts w:ascii="Times New Roman" w:hAnsi="Times New Roman" w:eastAsia="宋体"/>
                <w:sz w:val="20"/>
              </w:rPr>
              <w:t>7</w:t>
            </w:r>
          </w:p>
        </w:tc>
        <w:tc>
          <w:p w14:paraId="13D68F82">
            <w:pPr>
              <w:pStyle w:val="26"/>
              <w:spacing w:before="20" w:after="20" w:line="276" w:lineRule="auto"/>
            </w:pPr>
            <w:r>
              <w:rPr>
                <w:rFonts w:hint="eastAsia" w:ascii="Times New Roman" w:hAnsi="Times New Roman" w:eastAsia="宋体"/>
                <w:b/>
                <w:bCs/>
                <w:sz w:val="20"/>
              </w:rPr>
              <w:t>life_extended_current_period（当期是否延长折旧年限）</w:t>
            </w:r>
          </w:p>
        </w:tc>
        <w:tc>
          <w:p w14:paraId="224877CF">
            <w:pPr>
              <w:pStyle w:val="26"/>
              <w:spacing w:before="20" w:after="20" w:line="276" w:lineRule="auto"/>
            </w:pPr>
            <w:r>
              <w:rPr>
                <w:rFonts w:ascii="Times New Roman" w:hAnsi="Times New Roman" w:eastAsia="宋体"/>
                <w:sz w:val="20"/>
              </w:rPr>
              <w:t>0.033</w:t>
            </w:r>
          </w:p>
        </w:tc>
        <w:tc>
          <w:p w14:paraId="6107D296">
            <w:pPr>
              <w:pStyle w:val="26"/>
              <w:spacing w:before="20" w:after="20" w:line="276" w:lineRule="auto"/>
            </w:pPr>
            <w:r>
              <w:rPr>
                <w:rFonts w:hint="eastAsia" w:ascii="Times New Roman" w:hAnsi="Times New Roman" w:eastAsia="宋体"/>
                <w:sz w:val="20"/>
              </w:rPr>
              <w:t>正（+0.96）</w:t>
            </w:r>
          </w:p>
        </w:tc>
        <w:tc>
          <w:p w14:paraId="44AE6E77">
            <w:pPr>
              <w:pStyle w:val="26"/>
              <w:spacing w:before="20" w:after="20" w:line="276" w:lineRule="auto"/>
            </w:pPr>
            <w:r>
              <w:rPr>
                <w:rFonts w:hint="eastAsia" w:ascii="Times New Roman" w:hAnsi="Times New Roman" w:eastAsia="宋体"/>
                <w:sz w:val="20"/>
              </w:rPr>
              <w:t>政策/事件类</w:t>
            </w:r>
          </w:p>
        </w:tc>
        <w:tc>
          <w:p w14:paraId="73260363">
            <w:pPr>
              <w:pStyle w:val="26"/>
              <w:spacing w:before="20" w:after="20" w:line="276" w:lineRule="auto"/>
            </w:pPr>
            <w:r>
              <w:rPr>
                <w:rFonts w:ascii="Times New Roman" w:hAnsi="Times New Roman" w:eastAsia="宋体"/>
                <w:sz w:val="20"/>
              </w:rPr>
              <w:t>0</w:t>
            </w:r>
          </w:p>
        </w:tc>
      </w:tr>
      <w:tr w14:paraId="3CE30A07">
        <w:tblPrEx>
          <w:tblCellMar>
            <w:top w:w="0" w:type="dxa"/>
            <w:left w:w="108" w:type="dxa"/>
            <w:bottom w:w="0" w:type="dxa"/>
            <w:right w:w="108" w:type="dxa"/>
          </w:tblCellMar>
        </w:tblPrEx>
        <w:trPr>
          <w:cantSplit/>
        </w:trPr>
        <w:tc>
          <w:p w14:paraId="171F2167">
            <w:pPr>
              <w:pStyle w:val="26"/>
              <w:spacing w:before="20" w:after="20" w:line="276" w:lineRule="auto"/>
            </w:pPr>
            <w:r>
              <w:rPr>
                <w:rFonts w:ascii="Times New Roman" w:hAnsi="Times New Roman" w:eastAsia="宋体"/>
                <w:sz w:val="20"/>
              </w:rPr>
              <w:t>8</w:t>
            </w:r>
          </w:p>
        </w:tc>
        <w:tc>
          <w:p w14:paraId="6BC99FEC">
            <w:pPr>
              <w:pStyle w:val="26"/>
              <w:spacing w:before="20" w:after="20" w:line="276" w:lineRule="auto"/>
            </w:pPr>
            <w:r>
              <w:rPr>
                <w:rFonts w:hint="eastAsia" w:ascii="Times New Roman" w:hAnsi="Times New Roman" w:eastAsia="宋体"/>
                <w:b/>
                <w:bCs/>
                <w:sz w:val="20"/>
              </w:rPr>
              <w:t>asset_turnover（总资产周转率）</w:t>
            </w:r>
          </w:p>
        </w:tc>
        <w:tc>
          <w:p w14:paraId="683A98BB">
            <w:pPr>
              <w:pStyle w:val="26"/>
              <w:spacing w:before="20" w:after="20" w:line="276" w:lineRule="auto"/>
            </w:pPr>
            <w:r>
              <w:rPr>
                <w:rFonts w:ascii="Times New Roman" w:hAnsi="Times New Roman" w:eastAsia="宋体"/>
                <w:sz w:val="20"/>
              </w:rPr>
              <w:t>0.030</w:t>
            </w:r>
          </w:p>
        </w:tc>
        <w:tc>
          <w:p w14:paraId="405EA545">
            <w:pPr>
              <w:pStyle w:val="26"/>
              <w:spacing w:before="20" w:after="20" w:line="276" w:lineRule="auto"/>
            </w:pPr>
            <w:r>
              <w:rPr>
                <w:rFonts w:hint="eastAsia" w:ascii="Times New Roman" w:hAnsi="Times New Roman" w:eastAsia="宋体"/>
                <w:sz w:val="20"/>
              </w:rPr>
              <w:t>正（+0.68）</w:t>
            </w:r>
          </w:p>
        </w:tc>
        <w:tc>
          <w:p w14:paraId="47490AD2">
            <w:pPr>
              <w:pStyle w:val="26"/>
              <w:spacing w:before="20" w:after="20" w:line="276" w:lineRule="auto"/>
            </w:pPr>
            <w:r>
              <w:rPr>
                <w:rFonts w:hint="eastAsia" w:ascii="Times New Roman" w:hAnsi="Times New Roman" w:eastAsia="宋体"/>
                <w:sz w:val="20"/>
              </w:rPr>
              <w:t>政策/比率类</w:t>
            </w:r>
          </w:p>
        </w:tc>
        <w:tc>
          <w:p w14:paraId="697CD31C">
            <w:pPr>
              <w:pStyle w:val="26"/>
              <w:spacing w:before="20" w:after="20" w:line="276" w:lineRule="auto"/>
            </w:pPr>
            <w:r>
              <w:rPr>
                <w:rFonts w:ascii="Times New Roman" w:hAnsi="Times New Roman" w:eastAsia="宋体"/>
                <w:sz w:val="20"/>
              </w:rPr>
              <w:t>9</w:t>
            </w:r>
          </w:p>
        </w:tc>
      </w:tr>
      <w:tr w14:paraId="440DDB4D">
        <w:tblPrEx>
          <w:tblCellMar>
            <w:top w:w="0" w:type="dxa"/>
            <w:left w:w="108" w:type="dxa"/>
            <w:bottom w:w="0" w:type="dxa"/>
            <w:right w:w="108" w:type="dxa"/>
          </w:tblCellMar>
        </w:tblPrEx>
        <w:trPr>
          <w:cantSplit/>
        </w:trPr>
        <w:tc>
          <w:p w14:paraId="07F57AAC">
            <w:pPr>
              <w:pStyle w:val="26"/>
              <w:spacing w:before="20" w:after="20" w:line="276" w:lineRule="auto"/>
            </w:pPr>
            <w:r>
              <w:rPr>
                <w:rFonts w:ascii="Times New Roman" w:hAnsi="Times New Roman" w:eastAsia="宋体"/>
                <w:sz w:val="20"/>
              </w:rPr>
              <w:t>9</w:t>
            </w:r>
          </w:p>
        </w:tc>
        <w:tc>
          <w:p w14:paraId="311E0911">
            <w:pPr>
              <w:pStyle w:val="26"/>
              <w:spacing w:before="20" w:after="20" w:line="276" w:lineRule="auto"/>
            </w:pPr>
            <w:r>
              <w:rPr>
                <w:rFonts w:hint="eastAsia" w:ascii="Times New Roman" w:hAnsi="Times New Roman" w:eastAsia="宋体"/>
                <w:b/>
                <w:bCs/>
                <w:sz w:val="20"/>
              </w:rPr>
              <w:t>rd_intensity（研发强度）</w:t>
            </w:r>
          </w:p>
        </w:tc>
        <w:tc>
          <w:p w14:paraId="2A7EA93C">
            <w:pPr>
              <w:pStyle w:val="26"/>
              <w:spacing w:before="20" w:after="20" w:line="276" w:lineRule="auto"/>
            </w:pPr>
            <w:r>
              <w:rPr>
                <w:rFonts w:ascii="Times New Roman" w:hAnsi="Times New Roman" w:eastAsia="宋体"/>
                <w:sz w:val="20"/>
              </w:rPr>
              <w:t>0.028</w:t>
            </w:r>
          </w:p>
        </w:tc>
        <w:tc>
          <w:p w14:paraId="0A46711D">
            <w:pPr>
              <w:pStyle w:val="26"/>
              <w:spacing w:before="20" w:after="20" w:line="276" w:lineRule="auto"/>
            </w:pPr>
            <w:r>
              <w:rPr>
                <w:rFonts w:hint="eastAsia" w:ascii="Times New Roman" w:hAnsi="Times New Roman" w:eastAsia="宋体"/>
                <w:sz w:val="20"/>
              </w:rPr>
              <w:t>正（+0.86）</w:t>
            </w:r>
          </w:p>
        </w:tc>
        <w:tc>
          <w:p w14:paraId="13FA82D7">
            <w:pPr>
              <w:pStyle w:val="26"/>
              <w:spacing w:before="20" w:after="20" w:line="276" w:lineRule="auto"/>
            </w:pPr>
            <w:r>
              <w:rPr>
                <w:rFonts w:hint="eastAsia" w:ascii="Times New Roman" w:hAnsi="Times New Roman" w:eastAsia="宋体"/>
                <w:sz w:val="20"/>
              </w:rPr>
              <w:t>政策/比率类</w:t>
            </w:r>
          </w:p>
        </w:tc>
        <w:tc>
          <w:p w14:paraId="0D4F2608">
            <w:pPr>
              <w:pStyle w:val="26"/>
              <w:spacing w:before="20" w:after="20" w:line="276" w:lineRule="auto"/>
            </w:pPr>
            <w:r>
              <w:rPr>
                <w:rFonts w:ascii="Times New Roman" w:hAnsi="Times New Roman" w:eastAsia="宋体"/>
                <w:sz w:val="20"/>
              </w:rPr>
              <w:t>6</w:t>
            </w:r>
          </w:p>
        </w:tc>
      </w:tr>
      <w:tr w14:paraId="60B5EB7A">
        <w:tblPrEx>
          <w:tblCellMar>
            <w:top w:w="0" w:type="dxa"/>
            <w:left w:w="108" w:type="dxa"/>
            <w:bottom w:w="0" w:type="dxa"/>
            <w:right w:w="108" w:type="dxa"/>
          </w:tblCellMar>
        </w:tblPrEx>
        <w:trPr>
          <w:cantSplit/>
        </w:trPr>
        <w:tc>
          <w:p w14:paraId="1DB61497">
            <w:pPr>
              <w:pStyle w:val="26"/>
              <w:spacing w:before="20" w:after="20" w:line="276" w:lineRule="auto"/>
            </w:pPr>
            <w:r>
              <w:rPr>
                <w:rFonts w:ascii="Times New Roman" w:hAnsi="Times New Roman" w:eastAsia="宋体"/>
                <w:sz w:val="20"/>
              </w:rPr>
              <w:t>10</w:t>
            </w:r>
          </w:p>
        </w:tc>
        <w:tc>
          <w:p w14:paraId="38EE7355">
            <w:pPr>
              <w:pStyle w:val="26"/>
              <w:spacing w:before="20" w:after="20" w:line="276" w:lineRule="auto"/>
            </w:pPr>
            <w:r>
              <w:rPr>
                <w:rFonts w:hint="eastAsia" w:ascii="Times New Roman" w:hAnsi="Times New Roman" w:eastAsia="宋体"/>
                <w:b/>
                <w:bCs/>
                <w:sz w:val="20"/>
              </w:rPr>
              <w:t>server_life_min_years（服务器折旧年限下限）</w:t>
            </w:r>
          </w:p>
        </w:tc>
        <w:tc>
          <w:p w14:paraId="4EA7B23D">
            <w:pPr>
              <w:pStyle w:val="26"/>
              <w:spacing w:before="20" w:after="20" w:line="276" w:lineRule="auto"/>
            </w:pPr>
            <w:r>
              <w:rPr>
                <w:rFonts w:ascii="Times New Roman" w:hAnsi="Times New Roman" w:eastAsia="宋体"/>
                <w:sz w:val="20"/>
              </w:rPr>
              <w:t>0.021</w:t>
            </w:r>
          </w:p>
        </w:tc>
        <w:tc>
          <w:p w14:paraId="180003E4">
            <w:pPr>
              <w:pStyle w:val="26"/>
              <w:spacing w:before="20" w:after="20" w:line="276" w:lineRule="auto"/>
            </w:pPr>
            <w:r>
              <w:rPr>
                <w:rFonts w:hint="eastAsia" w:ascii="Times New Roman" w:hAnsi="Times New Roman" w:eastAsia="宋体"/>
                <w:sz w:val="20"/>
              </w:rPr>
              <w:t>正（+0.76）</w:t>
            </w:r>
          </w:p>
        </w:tc>
        <w:tc>
          <w:p w14:paraId="1998E814">
            <w:pPr>
              <w:pStyle w:val="26"/>
              <w:spacing w:before="20" w:after="20" w:line="276" w:lineRule="auto"/>
            </w:pPr>
            <w:r>
              <w:rPr>
                <w:rFonts w:hint="eastAsia" w:ascii="Times New Roman" w:hAnsi="Times New Roman" w:eastAsia="宋体"/>
                <w:sz w:val="20"/>
              </w:rPr>
              <w:t>政策类</w:t>
            </w:r>
          </w:p>
        </w:tc>
        <w:tc>
          <w:p w14:paraId="4870C730">
            <w:pPr>
              <w:pStyle w:val="26"/>
              <w:spacing w:before="20" w:after="20" w:line="276" w:lineRule="auto"/>
            </w:pPr>
            <w:r>
              <w:rPr>
                <w:rFonts w:ascii="Times New Roman" w:hAnsi="Times New Roman" w:eastAsia="宋体"/>
                <w:sz w:val="20"/>
              </w:rPr>
              <w:t>9</w:t>
            </w:r>
          </w:p>
        </w:tc>
      </w:tr>
    </w:tbl>
    <w:p w14:paraId="4B015738">
      <w:pPr>
        <w:pStyle w:val="3"/>
        <w:spacing w:before="40" w:after="40" w:line="360" w:lineRule="auto"/>
        <w:ind w:firstLine="480"/>
      </w:pPr>
      <w:r>
        <w:rPr>
          <w:rFonts w:ascii="Times New Roman" w:hAnsi="Times New Roman" w:eastAsia="宋体"/>
          <w:sz w:val="24"/>
        </w:rPr>
        <w:t xml:space="preserve">Top 10 </w:t>
      </w:r>
      <w:r>
        <w:rPr>
          <w:rFonts w:hint="eastAsia" w:ascii="Times New Roman" w:hAnsi="Times New Roman" w:eastAsia="宋体"/>
          <w:sz w:val="24"/>
        </w:rPr>
        <w:t>中政策/比率/事件类占</w:t>
      </w:r>
      <w:r>
        <w:rPr>
          <w:rFonts w:ascii="Times New Roman" w:hAnsi="Times New Roman" w:eastAsia="宋体"/>
          <w:sz w:val="24"/>
        </w:rPr>
        <w:t xml:space="preserve"> 6 </w:t>
      </w:r>
      <w:r>
        <w:rPr>
          <w:rFonts w:hint="eastAsia" w:ascii="Times New Roman" w:hAnsi="Times New Roman" w:eastAsia="宋体"/>
          <w:sz w:val="24"/>
        </w:rPr>
        <w:t>席（第</w:t>
      </w:r>
      <w:r>
        <w:rPr>
          <w:rFonts w:ascii="Times New Roman" w:hAnsi="Times New Roman" w:eastAsia="宋体"/>
          <w:sz w:val="24"/>
        </w:rPr>
        <w:t xml:space="preserve"> 1、4、7、8、9、10 </w:t>
      </w:r>
      <w:r>
        <w:rPr>
          <w:rFonts w:hint="eastAsia" w:ascii="Times New Roman" w:hAnsi="Times New Roman" w:eastAsia="宋体"/>
          <w:sz w:val="24"/>
        </w:rPr>
        <w:t>名），规模类占</w:t>
      </w:r>
      <w:r>
        <w:rPr>
          <w:rFonts w:ascii="Times New Roman" w:hAnsi="Times New Roman" w:eastAsia="宋体"/>
          <w:sz w:val="24"/>
        </w:rPr>
        <w:t xml:space="preserve"> 4 </w:t>
      </w:r>
      <w:r>
        <w:rPr>
          <w:rFonts w:hint="eastAsia" w:ascii="Times New Roman" w:hAnsi="Times New Roman" w:eastAsia="宋体"/>
          <w:sz w:val="24"/>
        </w:rPr>
        <w:t>席；而在</w:t>
      </w:r>
      <w:r>
        <w:rPr>
          <w:rFonts w:ascii="Times New Roman" w:hAnsi="Times New Roman" w:eastAsia="宋体"/>
          <w:sz w:val="24"/>
        </w:rPr>
        <w:t xml:space="preserve"> </w:t>
      </w:r>
      <w:r>
        <w:rPr>
          <w:rFonts w:hint="eastAsia" w:ascii="Times New Roman" w:hAnsi="Times New Roman" w:eastAsia="宋体"/>
          <w:sz w:val="24"/>
        </w:rPr>
        <w:t>v0.1（10</w:t>
      </w:r>
      <w:r>
        <w:rPr>
          <w:rFonts w:ascii="Times New Roman" w:hAnsi="Times New Roman" w:eastAsia="宋体"/>
          <w:sz w:val="24"/>
        </w:rPr>
        <w:t xml:space="preserve"> </w:t>
      </w:r>
      <w:r>
        <w:rPr>
          <w:rFonts w:hint="eastAsia" w:ascii="Times New Roman" w:hAnsi="Times New Roman" w:eastAsia="宋体"/>
          <w:sz w:val="24"/>
        </w:rPr>
        <w:t>样本、67</w:t>
      </w:r>
      <w:r>
        <w:rPr>
          <w:rFonts w:ascii="Times New Roman" w:hAnsi="Times New Roman" w:eastAsia="宋体"/>
          <w:sz w:val="24"/>
        </w:rPr>
        <w:t xml:space="preserve"> </w:t>
      </w:r>
      <w:r>
        <w:rPr>
          <w:rFonts w:hint="eastAsia" w:ascii="Times New Roman" w:hAnsi="Times New Roman" w:eastAsia="宋体"/>
          <w:sz w:val="24"/>
        </w:rPr>
        <w:t>特征）中，榜首全部由</w:t>
      </w:r>
      <w:r>
        <w:rPr>
          <w:rFonts w:ascii="Times New Roman" w:hAnsi="Times New Roman" w:eastAsia="宋体"/>
          <w:sz w:val="24"/>
        </w:rPr>
        <w:t xml:space="preserve"> accumulated_depreciation、total_assets、servers_gross </w:t>
      </w:r>
      <w:r>
        <w:rPr>
          <w:rFonts w:hint="eastAsia" w:ascii="Times New Roman" w:hAnsi="Times New Roman" w:eastAsia="宋体"/>
          <w:sz w:val="24"/>
        </w:rPr>
        <w:t>等规模变量占据，政策/比率类最高的</w:t>
      </w:r>
      <w:r>
        <w:rPr>
          <w:rFonts w:ascii="Times New Roman" w:hAnsi="Times New Roman" w:eastAsia="宋体"/>
          <w:sz w:val="24"/>
        </w:rPr>
        <w:t xml:space="preserve"> capex_to_revenue </w:t>
      </w:r>
      <w:r>
        <w:rPr>
          <w:rFonts w:hint="eastAsia" w:ascii="Times New Roman" w:hAnsi="Times New Roman" w:eastAsia="宋体"/>
          <w:sz w:val="24"/>
        </w:rPr>
        <w:t>仅列第</w:t>
      </w:r>
      <w:r>
        <w:rPr>
          <w:rFonts w:ascii="Times New Roman" w:hAnsi="Times New Roman" w:eastAsia="宋体"/>
          <w:sz w:val="24"/>
        </w:rPr>
        <w:t xml:space="preserve"> 5。</w:t>
      </w:r>
    </w:p>
    <w:p w14:paraId="29BB6B2A">
      <w:pPr>
        <w:pStyle w:val="3"/>
        <w:spacing w:before="80" w:after="120" w:line="312" w:lineRule="auto"/>
        <w:ind w:firstLine="0"/>
        <w:jc w:val="center"/>
      </w:pPr>
      <w:r>
        <w:drawing>
          <wp:inline distT="0" distB="0" distL="114300" distR="114300">
            <wp:extent cx="5029200" cy="5762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029200" cy="5762929"/>
                    </a:xfrm>
                    <a:prstGeom prst="rect">
                      <a:avLst/>
                    </a:prstGeom>
                  </pic:spPr>
                </pic:pic>
              </a:graphicData>
            </a:graphic>
          </wp:inline>
        </w:drawing>
      </w:r>
    </w:p>
    <w:p w14:paraId="0EBD7497">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F-2 SHAP </w:t>
      </w:r>
      <w:r>
        <w:rPr>
          <w:rFonts w:hint="eastAsia" w:ascii="Times New Roman" w:hAnsi="Times New Roman" w:eastAsia="宋体"/>
          <w:i w:val="0"/>
          <w:sz w:val="21"/>
        </w:rPr>
        <w:t>全局特征重要性</w:t>
      </w:r>
      <w:r>
        <w:rPr>
          <w:rFonts w:ascii="Times New Roman" w:hAnsi="Times New Roman" w:eastAsia="宋体"/>
          <w:i w:val="0"/>
          <w:sz w:val="21"/>
        </w:rPr>
        <w:t xml:space="preserve"> Top </w:t>
      </w:r>
      <w:r>
        <w:rPr>
          <w:rFonts w:hint="eastAsia" w:ascii="Times New Roman" w:hAnsi="Times New Roman" w:eastAsia="宋体"/>
          <w:i w:val="0"/>
          <w:sz w:val="21"/>
        </w:rPr>
        <w:t>20（橙=政策/比率/事件类；蓝=规模类）</w:t>
      </w:r>
    </w:p>
    <w:bookmarkEnd w:id="194"/>
    <w:p w14:paraId="6AD3C85A">
      <w:pPr>
        <w:pStyle w:val="5"/>
        <w:spacing w:before="240" w:after="120" w:line="360" w:lineRule="auto"/>
      </w:pPr>
      <w:bookmarkStart w:id="195" w:name="f.2.4-专项讨论政策类指标排名是否上升扩样论证的收尾证据"/>
      <w:r>
        <w:rPr>
          <w:rFonts w:ascii="Times New Roman" w:hAnsi="Times New Roman" w:eastAsia="黑体"/>
          <w:b/>
          <w:color w:val="003366"/>
          <w:sz w:val="24"/>
        </w:rPr>
        <w:t xml:space="preserve">F.2.4 </w:t>
      </w:r>
      <w:r>
        <w:rPr>
          <w:rFonts w:hint="eastAsia" w:ascii="Times New Roman" w:hAnsi="Times New Roman" w:eastAsia="黑体"/>
          <w:b/>
          <w:color w:val="003366"/>
          <w:sz w:val="24"/>
        </w:rPr>
        <w:t>专项讨论：政策类指标排名是否上升——扩样论证的收尾证据</w:t>
      </w:r>
    </w:p>
    <w:p w14:paraId="5F87487E">
      <w:pPr>
        <w:pStyle w:val="25"/>
        <w:spacing w:before="40" w:after="40" w:line="360" w:lineRule="auto"/>
        <w:ind w:firstLine="480"/>
      </w:pPr>
      <w:r>
        <w:rPr>
          <w:rFonts w:hint="eastAsia" w:ascii="Times New Roman" w:hAnsi="Times New Roman" w:eastAsia="宋体"/>
          <w:sz w:val="24"/>
        </w:rPr>
        <w:t>结论：在干净条件下得到肯定回答，但需分两层如实报告。</w:t>
      </w:r>
    </w:p>
    <w:p w14:paraId="55E1FFE3">
      <w:pPr>
        <w:pStyle w:val="3"/>
        <w:spacing w:before="40" w:after="40" w:line="360" w:lineRule="auto"/>
        <w:ind w:firstLine="480"/>
      </w:pPr>
      <w:r>
        <w:rPr>
          <w:rFonts w:hint="eastAsia" w:ascii="Times New Roman" w:hAnsi="Times New Roman" w:eastAsia="宋体"/>
          <w:sz w:val="24"/>
        </w:rPr>
        <w:t>第一层：v0.2</w:t>
      </w:r>
      <w:r>
        <w:rPr>
          <w:rFonts w:ascii="Times New Roman" w:hAnsi="Times New Roman" w:eastAsia="宋体"/>
          <w:sz w:val="24"/>
        </w:rPr>
        <w:t xml:space="preserve"> </w:t>
      </w:r>
      <w:r>
        <w:rPr>
          <w:rFonts w:hint="eastAsia" w:ascii="Times New Roman" w:hAnsi="Times New Roman" w:eastAsia="宋体"/>
          <w:sz w:val="24"/>
        </w:rPr>
        <w:t>的混杂因素已消除，政策/比率类的上位是干净证据。</w:t>
      </w:r>
      <w:r>
        <w:rPr>
          <w:rFonts w:ascii="Times New Roman" w:hAnsi="Times New Roman" w:eastAsia="宋体"/>
          <w:sz w:val="24"/>
        </w:rPr>
        <w:t xml:space="preserve"> v0.2 </w:t>
      </w:r>
      <w:r>
        <w:rPr>
          <w:rFonts w:hint="eastAsia" w:ascii="Times New Roman" w:hAnsi="Times New Roman" w:eastAsia="宋体"/>
          <w:sz w:val="24"/>
        </w:rPr>
        <w:t>中</w:t>
      </w:r>
      <w:r>
        <w:rPr>
          <w:rFonts w:ascii="Times New Roman" w:hAnsi="Times New Roman" w:eastAsia="宋体"/>
          <w:sz w:val="24"/>
        </w:rPr>
        <w:t xml:space="preserve"> capex_to_revenue </w:t>
      </w:r>
      <w:r>
        <w:rPr>
          <w:rFonts w:hint="eastAsia" w:ascii="Times New Roman" w:hAnsi="Times New Roman" w:eastAsia="宋体"/>
          <w:sz w:val="24"/>
        </w:rPr>
        <w:t>登顶曾被指出无法干净归因——当时特征集缩减至</w:t>
      </w:r>
      <w:r>
        <w:rPr>
          <w:rFonts w:ascii="Times New Roman" w:hAnsi="Times New Roman" w:eastAsia="宋体"/>
          <w:sz w:val="24"/>
        </w:rPr>
        <w:t xml:space="preserve"> 8 </w:t>
      </w:r>
      <w:r>
        <w:rPr>
          <w:rFonts w:hint="eastAsia" w:ascii="Times New Roman" w:hAnsi="Times New Roman" w:eastAsia="宋体"/>
          <w:sz w:val="24"/>
        </w:rPr>
        <w:t>个，v0.1</w:t>
      </w:r>
      <w:r>
        <w:rPr>
          <w:rFonts w:ascii="Times New Roman" w:hAnsi="Times New Roman" w:eastAsia="宋体"/>
          <w:sz w:val="24"/>
        </w:rPr>
        <w:t xml:space="preserve"> </w:t>
      </w:r>
      <w:r>
        <w:rPr>
          <w:rFonts w:hint="eastAsia" w:ascii="Times New Roman" w:hAnsi="Times New Roman" w:eastAsia="宋体"/>
          <w:sz w:val="24"/>
        </w:rPr>
        <w:t>霸榜的强规模变量不在场。本轮</w:t>
      </w:r>
      <w:r>
        <w:rPr>
          <w:rFonts w:ascii="Times New Roman" w:hAnsi="Times New Roman" w:eastAsia="宋体"/>
          <w:sz w:val="24"/>
        </w:rPr>
        <w:t xml:space="preserve"> 55 </w:t>
      </w:r>
      <w:r>
        <w:rPr>
          <w:rFonts w:hint="eastAsia" w:ascii="Times New Roman" w:hAnsi="Times New Roman" w:eastAsia="宋体"/>
          <w:sz w:val="24"/>
        </w:rPr>
        <w:t>特征全量在场：accumulated_depreciation（v0.1</w:t>
      </w:r>
      <w:r>
        <w:rPr>
          <w:rFonts w:ascii="Times New Roman" w:hAnsi="Times New Roman" w:eastAsia="宋体"/>
          <w:sz w:val="24"/>
        </w:rPr>
        <w:t xml:space="preserve"> </w:t>
      </w:r>
      <w:r>
        <w:rPr>
          <w:rFonts w:hint="eastAsia" w:ascii="Times New Roman" w:hAnsi="Times New Roman" w:eastAsia="宋体"/>
          <w:sz w:val="24"/>
        </w:rPr>
        <w:t>榜首变量之一）排名第</w:t>
      </w:r>
      <w:r>
        <w:rPr>
          <w:rFonts w:ascii="Times New Roman" w:hAnsi="Times New Roman" w:eastAsia="宋体"/>
          <w:sz w:val="24"/>
        </w:rPr>
        <w:t xml:space="preserve"> </w:t>
      </w:r>
      <w:r>
        <w:rPr>
          <w:rFonts w:hint="eastAsia" w:ascii="Times New Roman" w:hAnsi="Times New Roman" w:eastAsia="宋体"/>
          <w:sz w:val="24"/>
        </w:rPr>
        <w:t>18，total_assets</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w:t>
      </w:r>
      <w:r>
        <w:rPr>
          <w:rFonts w:hint="eastAsia" w:ascii="Times New Roman" w:hAnsi="Times New Roman" w:eastAsia="宋体"/>
          <w:sz w:val="24"/>
        </w:rPr>
        <w:t>5，servers_gross</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w:t>
      </w:r>
      <w:r>
        <w:rPr>
          <w:rFonts w:hint="eastAsia" w:ascii="Times New Roman" w:hAnsi="Times New Roman" w:eastAsia="宋体"/>
          <w:sz w:val="24"/>
        </w:rPr>
        <w:t>32，规模变量全部参与竞争，capex_to_revenue</w:t>
      </w:r>
      <w:r>
        <w:rPr>
          <w:rFonts w:ascii="Times New Roman" w:hAnsi="Times New Roman" w:eastAsia="宋体"/>
          <w:sz w:val="24"/>
        </w:rPr>
        <w:t xml:space="preserve"> </w:t>
      </w:r>
      <w:r>
        <w:rPr>
          <w:rFonts w:hint="eastAsia" w:ascii="Times New Roman" w:hAnsi="Times New Roman" w:eastAsia="宋体"/>
          <w:sz w:val="24"/>
        </w:rPr>
        <w:t>仍以</w:t>
      </w:r>
      <w:r>
        <w:rPr>
          <w:rFonts w:ascii="Times New Roman" w:hAnsi="Times New Roman" w:eastAsia="宋体"/>
          <w:sz w:val="24"/>
        </w:rPr>
        <w:t xml:space="preserve"> 0.403 </w:t>
      </w:r>
      <w:r>
        <w:rPr>
          <w:rFonts w:hint="eastAsia" w:ascii="Times New Roman" w:hAnsi="Times New Roman" w:eastAsia="宋体"/>
          <w:sz w:val="24"/>
        </w:rPr>
        <w:t>的平均</w:t>
      </w:r>
      <w:r>
        <w:rPr>
          <w:rFonts w:ascii="Times New Roman" w:hAnsi="Times New Roman" w:eastAsia="宋体"/>
          <w:sz w:val="24"/>
        </w:rPr>
        <w:t xml:space="preserve"> |SHAP| </w:t>
      </w:r>
      <w:r>
        <w:rPr>
          <w:rFonts w:hint="eastAsia" w:ascii="Times New Roman" w:hAnsi="Times New Roman" w:eastAsia="宋体"/>
          <w:sz w:val="24"/>
        </w:rPr>
        <w:t>稳居第</w:t>
      </w:r>
      <w:r>
        <w:rPr>
          <w:rFonts w:ascii="Times New Roman" w:hAnsi="Times New Roman" w:eastAsia="宋体"/>
          <w:sz w:val="24"/>
        </w:rPr>
        <w:t xml:space="preserve"> </w:t>
      </w:r>
      <w:r>
        <w:rPr>
          <w:rFonts w:hint="eastAsia" w:ascii="Times New Roman" w:hAnsi="Times New Roman" w:eastAsia="宋体"/>
          <w:sz w:val="24"/>
        </w:rPr>
        <w:t>1（为第</w:t>
      </w:r>
      <w:r>
        <w:rPr>
          <w:rFonts w:ascii="Times New Roman" w:hAnsi="Times New Roman" w:eastAsia="宋体"/>
          <w:sz w:val="24"/>
        </w:rPr>
        <w:t xml:space="preserve"> 2 </w:t>
      </w:r>
      <w:r>
        <w:rPr>
          <w:rFonts w:hint="eastAsia" w:ascii="Times New Roman" w:hAnsi="Times New Roman" w:eastAsia="宋体"/>
          <w:sz w:val="24"/>
        </w:rPr>
        <w:t>名的</w:t>
      </w:r>
      <w:r>
        <w:rPr>
          <w:rFonts w:ascii="Times New Roman" w:hAnsi="Times New Roman" w:eastAsia="宋体"/>
          <w:sz w:val="24"/>
        </w:rPr>
        <w:t xml:space="preserve"> 2.7 </w:t>
      </w:r>
      <w:r>
        <w:rPr>
          <w:rFonts w:hint="eastAsia" w:ascii="Times New Roman" w:hAnsi="Times New Roman" w:eastAsia="宋体"/>
          <w:sz w:val="24"/>
        </w:rPr>
        <w:t>倍），方向为正（资本开支强度越高、人工风险评分越高），与人工评分</w:t>
      </w:r>
      <w:r>
        <w:rPr>
          <w:rFonts w:ascii="Times New Roman" w:hAnsi="Times New Roman" w:eastAsia="宋体"/>
          <w:sz w:val="24"/>
        </w:rPr>
        <w:t xml:space="preserve"> D4 </w:t>
      </w:r>
      <w:r>
        <w:rPr>
          <w:rFonts w:hint="eastAsia" w:ascii="Times New Roman" w:hAnsi="Times New Roman" w:eastAsia="宋体"/>
          <w:sz w:val="24"/>
        </w:rPr>
        <w:t>维度的判断依据一致。“扩样</w:t>
      </w:r>
      <w:r>
        <w:rPr>
          <w:rFonts w:ascii="Times New Roman" w:hAnsi="Times New Roman" w:eastAsia="宋体"/>
          <w:sz w:val="24"/>
        </w:rPr>
        <w:t xml:space="preserve"> + </w:t>
      </w:r>
      <w:r>
        <w:rPr>
          <w:rFonts w:hint="eastAsia" w:ascii="Times New Roman" w:hAnsi="Times New Roman" w:eastAsia="宋体"/>
          <w:sz w:val="24"/>
        </w:rPr>
        <w:t>全量特征下面板数据上，政策/比率类指标取代规模变量成为模型区分风险评分的主要轴”这一判断，本轮成立。</w:t>
      </w:r>
    </w:p>
    <w:p w14:paraId="63EBC364">
      <w:pPr>
        <w:pStyle w:val="3"/>
        <w:spacing w:before="40" w:after="40" w:line="360" w:lineRule="auto"/>
        <w:ind w:firstLine="480"/>
      </w:pPr>
      <w:r>
        <w:rPr>
          <w:rFonts w:hint="eastAsia" w:ascii="Times New Roman" w:hAnsi="Times New Roman" w:eastAsia="宋体"/>
          <w:sz w:val="24"/>
        </w:rPr>
        <w:t>折旧年限政策类指标首次进入视野：life_extended_current_period（当期是否延长折旧年限）排名第</w:t>
      </w:r>
      <w:r>
        <w:rPr>
          <w:rFonts w:ascii="Times New Roman" w:hAnsi="Times New Roman" w:eastAsia="宋体"/>
          <w:sz w:val="24"/>
        </w:rPr>
        <w:t xml:space="preserve"> </w:t>
      </w:r>
      <w:r>
        <w:rPr>
          <w:rFonts w:hint="eastAsia" w:ascii="Times New Roman" w:hAnsi="Times New Roman" w:eastAsia="宋体"/>
          <w:sz w:val="24"/>
        </w:rPr>
        <w:t>7，方向相关</w:t>
      </w:r>
      <w:r>
        <w:rPr>
          <w:rFonts w:ascii="Times New Roman" w:hAnsi="Times New Roman" w:eastAsia="宋体"/>
          <w:sz w:val="24"/>
        </w:rPr>
        <w:t xml:space="preserve"> +0.96 </w:t>
      </w:r>
      <w:r>
        <w:rPr>
          <w:rFonts w:hint="eastAsia" w:ascii="Times New Roman" w:hAnsi="Times New Roman" w:eastAsia="宋体"/>
          <w:sz w:val="24"/>
        </w:rPr>
        <w:t>为全部</w:t>
      </w:r>
      <w:r>
        <w:rPr>
          <w:rFonts w:ascii="Times New Roman" w:hAnsi="Times New Roman" w:eastAsia="宋体"/>
          <w:sz w:val="24"/>
        </w:rPr>
        <w:t xml:space="preserve"> 55 </w:t>
      </w:r>
      <w:r>
        <w:rPr>
          <w:rFonts w:hint="eastAsia" w:ascii="Times New Roman" w:hAnsi="Times New Roman" w:eastAsia="宋体"/>
          <w:sz w:val="24"/>
        </w:rPr>
        <w:t>特征中最强——发生过年限延长的公司/年份，人工风险评分系统性更高，与</w:t>
      </w:r>
      <w:r>
        <w:rPr>
          <w:rFonts w:ascii="Times New Roman" w:hAnsi="Times New Roman" w:eastAsia="宋体"/>
          <w:sz w:val="24"/>
        </w:rPr>
        <w:t xml:space="preserve"> D2 </w:t>
      </w:r>
      <w:r>
        <w:rPr>
          <w:rFonts w:hint="eastAsia" w:ascii="Times New Roman" w:hAnsi="Times New Roman" w:eastAsia="宋体"/>
          <w:sz w:val="24"/>
        </w:rPr>
        <w:t>维度（会计政策保守性）的人工评分逻辑方向一致；server_life_min_years</w:t>
      </w:r>
      <w:r>
        <w:rPr>
          <w:rFonts w:ascii="Times New Roman" w:hAnsi="Times New Roman" w:eastAsia="宋体"/>
          <w:sz w:val="24"/>
        </w:rPr>
        <w:t xml:space="preserve"> </w:t>
      </w:r>
      <w:r>
        <w:rPr>
          <w:rFonts w:hint="eastAsia" w:ascii="Times New Roman" w:hAnsi="Times New Roman" w:eastAsia="宋体"/>
          <w:sz w:val="24"/>
        </w:rPr>
        <w:t>排第</w:t>
      </w:r>
      <w:r>
        <w:rPr>
          <w:rFonts w:ascii="Times New Roman" w:hAnsi="Times New Roman" w:eastAsia="宋体"/>
          <w:sz w:val="24"/>
        </w:rPr>
        <w:t xml:space="preserve"> 10。v0.2 </w:t>
      </w:r>
      <w:r>
        <w:rPr>
          <w:rFonts w:hint="eastAsia" w:ascii="Times New Roman" w:hAnsi="Times New Roman" w:eastAsia="宋体"/>
          <w:sz w:val="24"/>
        </w:rPr>
        <w:t>中“无法检验”的折旧年限事件类信号，本轮验证了其可学习性。</w:t>
      </w:r>
    </w:p>
    <w:p w14:paraId="777817A9">
      <w:pPr>
        <w:pStyle w:val="3"/>
        <w:spacing w:before="40" w:after="40" w:line="360" w:lineRule="auto"/>
        <w:ind w:firstLine="480"/>
      </w:pPr>
      <w:r>
        <w:rPr>
          <w:rFonts w:hint="eastAsia" w:ascii="Times New Roman" w:hAnsi="Times New Roman" w:eastAsia="宋体"/>
          <w:sz w:val="24"/>
        </w:rPr>
        <w:t>第二层（必须如实指出的反面证据）：补回的</w:t>
      </w:r>
      <w:r>
        <w:rPr>
          <w:rFonts w:ascii="Times New Roman" w:hAnsi="Times New Roman" w:eastAsia="宋体"/>
          <w:sz w:val="24"/>
        </w:rPr>
        <w:t xml:space="preserve"> YoY </w:t>
      </w:r>
      <w:r>
        <w:rPr>
          <w:rFonts w:hint="eastAsia" w:ascii="Times New Roman" w:hAnsi="Times New Roman" w:eastAsia="宋体"/>
          <w:sz w:val="24"/>
        </w:rPr>
        <w:t>增长指标并未如预期上位——capex_yoy_growth</w:t>
      </w:r>
      <w:r>
        <w:rPr>
          <w:rFonts w:ascii="Times New Roman" w:hAnsi="Times New Roman" w:eastAsia="宋体"/>
          <w:sz w:val="24"/>
        </w:rPr>
        <w:t xml:space="preserve"> </w:t>
      </w:r>
      <w:r>
        <w:rPr>
          <w:rFonts w:hint="eastAsia" w:ascii="Times New Roman" w:hAnsi="Times New Roman" w:eastAsia="宋体"/>
          <w:sz w:val="24"/>
        </w:rPr>
        <w:t>排第</w:t>
      </w:r>
      <w:r>
        <w:rPr>
          <w:rFonts w:ascii="Times New Roman" w:hAnsi="Times New Roman" w:eastAsia="宋体"/>
          <w:sz w:val="24"/>
        </w:rPr>
        <w:t xml:space="preserve"> 33、depreciation_growth_rate </w:t>
      </w:r>
      <w:r>
        <w:rPr>
          <w:rFonts w:hint="eastAsia" w:ascii="Times New Roman" w:hAnsi="Times New Roman" w:eastAsia="宋体"/>
          <w:sz w:val="24"/>
        </w:rPr>
        <w:t>排第</w:t>
      </w:r>
      <w:r>
        <w:rPr>
          <w:rFonts w:ascii="Times New Roman" w:hAnsi="Times New Roman" w:eastAsia="宋体"/>
          <w:sz w:val="24"/>
        </w:rPr>
        <w:t xml:space="preserve"> 41、revenue_growth_rate </w:t>
      </w:r>
      <w:r>
        <w:rPr>
          <w:rFonts w:hint="eastAsia" w:ascii="Times New Roman" w:hAnsi="Times New Roman" w:eastAsia="宋体"/>
          <w:sz w:val="24"/>
        </w:rPr>
        <w:t>排第</w:t>
      </w:r>
      <w:r>
        <w:rPr>
          <w:rFonts w:ascii="Times New Roman" w:hAnsi="Times New Roman" w:eastAsia="宋体"/>
          <w:sz w:val="24"/>
        </w:rPr>
        <w:t xml:space="preserve"> </w:t>
      </w:r>
      <w:r>
        <w:rPr>
          <w:rFonts w:hint="eastAsia" w:ascii="Times New Roman" w:hAnsi="Times New Roman" w:eastAsia="宋体"/>
          <w:sz w:val="24"/>
        </w:rPr>
        <w:t>28，三者覆盖率已达</w:t>
      </w:r>
      <w:r>
        <w:rPr>
          <w:rFonts w:ascii="Times New Roman" w:hAnsi="Times New Roman" w:eastAsia="宋体"/>
          <w:sz w:val="24"/>
        </w:rPr>
        <w:t xml:space="preserve"> 26–27/30 </w:t>
      </w:r>
      <w:r>
        <w:rPr>
          <w:rFonts w:hint="eastAsia" w:ascii="Times New Roman" w:hAnsi="Times New Roman" w:eastAsia="宋体"/>
          <w:sz w:val="24"/>
        </w:rPr>
        <w:t>行，不能再用“数据缺失”解释。可能原因是同公司三年标签几乎不变（见局限性</w:t>
      </w:r>
      <w:r>
        <w:rPr>
          <w:rFonts w:ascii="Times New Roman" w:hAnsi="Times New Roman" w:eastAsia="宋体"/>
          <w:sz w:val="24"/>
        </w:rPr>
        <w:t xml:space="preserve"> </w:t>
      </w:r>
      <w:r>
        <w:rPr>
          <w:rFonts w:hint="eastAsia" w:ascii="Times New Roman" w:hAnsi="Times New Roman" w:eastAsia="宋体"/>
          <w:sz w:val="24"/>
        </w:rPr>
        <w:t>3），模型主要学习公司间横截面差异，而</w:t>
      </w:r>
      <w:r>
        <w:rPr>
          <w:rFonts w:ascii="Times New Roman" w:hAnsi="Times New Roman" w:eastAsia="宋体"/>
          <w:sz w:val="24"/>
        </w:rPr>
        <w:t xml:space="preserve"> YoY </w:t>
      </w:r>
      <w:r>
        <w:rPr>
          <w:rFonts w:hint="eastAsia" w:ascii="Times New Roman" w:hAnsi="Times New Roman" w:eastAsia="宋体"/>
          <w:sz w:val="24"/>
        </w:rPr>
        <w:t>类指标承载的主要是年内时序变化信息，与标签的横截面结构错位。depreciation_rate_ppe（折旧费用/固定资产净值，即账面折旧率）方向为负（−0.65）：折旧率越低意味着年限越长、估计越激进，故该特征值越低时风险评分越高，与人工直觉一致。其排名中等（第</w:t>
      </w:r>
      <w:r>
        <w:rPr>
          <w:rFonts w:ascii="Times New Roman" w:hAnsi="Times New Roman" w:eastAsia="宋体"/>
          <w:sz w:val="24"/>
        </w:rPr>
        <w:t xml:space="preserve"> </w:t>
      </w:r>
      <w:r>
        <w:rPr>
          <w:rFonts w:hint="eastAsia" w:ascii="Times New Roman" w:hAnsi="Times New Roman" w:eastAsia="宋体"/>
          <w:sz w:val="24"/>
        </w:rPr>
        <w:t>11），仅作弱证据记录。life_extension_depreciation_reduction（年限延长的折旧影响金额）排第</w:t>
      </w:r>
      <w:r>
        <w:rPr>
          <w:rFonts w:ascii="Times New Roman" w:hAnsi="Times New Roman" w:eastAsia="宋体"/>
          <w:sz w:val="24"/>
        </w:rPr>
        <w:t xml:space="preserve"> </w:t>
      </w:r>
      <w:r>
        <w:rPr>
          <w:rFonts w:hint="eastAsia" w:ascii="Times New Roman" w:hAnsi="Times New Roman" w:eastAsia="宋体"/>
          <w:sz w:val="24"/>
        </w:rPr>
        <w:t>29、缺失</w:t>
      </w:r>
      <w:r>
        <w:rPr>
          <w:rFonts w:ascii="Times New Roman" w:hAnsi="Times New Roman" w:eastAsia="宋体"/>
          <w:sz w:val="24"/>
        </w:rPr>
        <w:t xml:space="preserve"> 24/30 </w:t>
      </w:r>
      <w:r>
        <w:rPr>
          <w:rFonts w:hint="eastAsia" w:ascii="Times New Roman" w:hAnsi="Times New Roman" w:eastAsia="宋体"/>
          <w:sz w:val="24"/>
        </w:rPr>
        <w:t>行，方向相关仅</w:t>
      </w:r>
      <w:r>
        <w:rPr>
          <w:rFonts w:ascii="Times New Roman" w:hAnsi="Times New Roman" w:eastAsia="宋体"/>
          <w:sz w:val="24"/>
        </w:rPr>
        <w:t xml:space="preserve"> </w:t>
      </w:r>
      <w:r>
        <w:rPr>
          <w:rFonts w:hint="eastAsia" w:ascii="Times New Roman" w:hAnsi="Times New Roman" w:eastAsia="宋体"/>
          <w:sz w:val="24"/>
        </w:rPr>
        <w:t>−0.05，不具备解释价值，如实记录。</w:t>
      </w:r>
    </w:p>
    <w:bookmarkEnd w:id="191"/>
    <w:bookmarkEnd w:id="195"/>
    <w:p w14:paraId="7F278993">
      <w:pPr>
        <w:pStyle w:val="5"/>
        <w:spacing w:before="240" w:after="120" w:line="360" w:lineRule="auto"/>
      </w:pPr>
      <w:r>
        <w:rPr>
          <w:rFonts w:ascii="Times New Roman" w:hAnsi="Times New Roman" w:eastAsia="黑体"/>
          <w:b/>
          <w:color w:val="003366"/>
          <w:sz w:val="24"/>
        </w:rPr>
        <w:t>F.2.5 方法学定位：AI 复合流水线的证据效力</w:t>
      </w:r>
    </w:p>
    <w:p w14:paraId="68B78E8F">
      <w:pPr>
        <w:pStyle w:val="25"/>
        <w:spacing w:before="40" w:after="40" w:line="360" w:lineRule="auto"/>
        <w:ind w:firstLine="480"/>
      </w:pPr>
      <w:r>
        <w:rPr>
          <w:rFonts w:hint="eastAsia" w:ascii="Times New Roman" w:hAnsi="Times New Roman" w:eastAsia="宋体"/>
          <w:sz w:val="24"/>
        </w:rPr>
        <w:t>本研究的 AI 应用并非单一模型，而是一条“生成—验真—修正—验证—归因”五环相扣的复合流水线：大语言模型草拟证据链与评分建议（生成），程序逐字比对原文（验真），规则引擎硬规则修正（修正），XGBoost 在 30 样本面板上验证人工评分逻辑的可计算性（验证），SHAP 归因解释模型学到的结构（归因）。每一环都为下一环设防，任一环节失效都不会让未经验证的结论进入报告正文。</w:t>
      </w:r>
    </w:p>
    <w:p w14:paraId="493C4732">
      <w:pPr>
        <w:pStyle w:val="3"/>
        <w:spacing w:before="40" w:after="40" w:line="360" w:lineRule="auto"/>
        <w:ind w:firstLine="480"/>
      </w:pPr>
      <w:r>
        <w:rPr>
          <w:rFonts w:hint="eastAsia" w:ascii="Times New Roman" w:hAnsi="Times New Roman" w:eastAsia="宋体"/>
          <w:sz w:val="24"/>
        </w:rPr>
        <w:t>SHAP 结果与核心命题形成闭环互证：第四章由人工评分归纳出的核心公式“风险 = 假设激进度 × 资产敞口”，在未对模型施加任何人工先验的情况下，被 SHAP 排名独立复现——资本开支强度类指标居首，年限政策类事件指标（life_extended_current_period）的方向相关性为全部 55 个特征中最强（+0.96）。方法论假设与数据驱动结论的互相印证，构成本研究 AI 技术应用最实质的证据。</w:t>
      </w:r>
    </w:p>
    <w:p w14:paraId="14A5E495">
      <w:pPr>
        <w:pStyle w:val="3"/>
        <w:spacing w:before="40" w:after="40" w:line="360" w:lineRule="auto"/>
        <w:ind w:firstLine="480"/>
      </w:pPr>
      <w:r>
        <w:rPr>
          <w:rFonts w:hint="eastAsia" w:ascii="Times New Roman" w:hAnsi="Times New Roman" w:eastAsia="宋体"/>
          <w:sz w:val="24"/>
        </w:rPr>
        <w:t>同时如实报告边界：以 LOGO 为方法学主指标是防止面板泄漏的主动选择；YoY 增长类指标未上位作为反面证据原样保留（F.2.4）；30 个观测的样本量意味着本附录的一切结论是“可计算性”的存在性证明，而非预测能力声明。对局限的显式声明本身，即是负责任 AI 应用的一部分。</w:t>
      </w:r>
    </w:p>
    <w:p w14:paraId="0B94AB71">
      <w:pPr>
        <w:pStyle w:val="4"/>
        <w:spacing w:before="320" w:after="160" w:line="360" w:lineRule="auto"/>
      </w:pPr>
      <w:bookmarkStart w:id="196" w:name="_Toc24482"/>
      <w:bookmarkStart w:id="197" w:name="f.3-研究边界与下一步升级路径"/>
      <w:r>
        <w:rPr>
          <w:rFonts w:ascii="Times New Roman" w:hAnsi="Times New Roman" w:eastAsia="黑体"/>
          <w:b/>
          <w:color w:val="003366"/>
          <w:sz w:val="28"/>
        </w:rPr>
        <w:t xml:space="preserve">F.3 </w:t>
      </w:r>
      <w:r>
        <w:rPr>
          <w:rFonts w:hint="eastAsia" w:ascii="Times New Roman" w:hAnsi="Times New Roman" w:eastAsia="黑体"/>
          <w:b/>
          <w:color w:val="003366"/>
          <w:sz w:val="28"/>
        </w:rPr>
        <w:t>研究边界与下一步升级路径</w:t>
      </w:r>
      <w:bookmarkEnd w:id="196"/>
    </w:p>
    <w:p w14:paraId="636F8FAE">
      <w:pPr>
        <w:numPr>
          <w:ilvl w:val="0"/>
          <w:numId w:val="18"/>
        </w:numPr>
        <w:spacing w:before="40" w:after="40" w:line="360" w:lineRule="auto"/>
        <w:ind w:firstLine="480"/>
      </w:pPr>
      <w:r>
        <w:rPr>
          <w:rFonts w:hint="eastAsia" w:ascii="Times New Roman" w:hAnsi="Times New Roman" w:eastAsia="宋体"/>
          <w:sz w:val="24"/>
        </w:rPr>
        <w:t>面板结构与有效自由度：30行来自10家公司×3年，同公司行内存在时序相关。这一结构已通过LOGO交叉验证（按公司留一法）处理，但统计推断的有效自由度受限于公司数量（n=10）。LOGO</w:t>
      </w:r>
      <w:r>
        <w:rPr>
          <w:rFonts w:ascii="Times New Roman" w:hAnsi="Times New Roman" w:eastAsia="宋体"/>
          <w:sz w:val="24"/>
        </w:rPr>
        <w:t xml:space="preserve"> </w:t>
      </w:r>
      <w:r>
        <w:rPr>
          <w:rFonts w:hint="eastAsia" w:ascii="Times New Roman" w:hAnsi="Times New Roman" w:eastAsia="宋体"/>
          <w:sz w:val="24"/>
        </w:rPr>
        <w:t>缓解了评估泄漏，但无法增加真实信息量，一切结论仍为有效样本量有限示意性证据。</w:t>
      </w:r>
    </w:p>
    <w:p w14:paraId="7229B162">
      <w:pPr>
        <w:numPr>
          <w:ilvl w:val="0"/>
          <w:numId w:val="18"/>
        </w:numPr>
        <w:spacing w:before="40" w:after="40" w:line="360" w:lineRule="auto"/>
        <w:ind w:firstLine="480"/>
      </w:pPr>
      <w:r>
        <w:rPr>
          <w:rFonts w:hint="eastAsia" w:ascii="Times New Roman" w:hAnsi="Times New Roman" w:eastAsia="宋体"/>
          <w:sz w:val="24"/>
        </w:rPr>
        <w:t>特征数（55）远超有效样本量（≈10）：SHAP</w:t>
      </w:r>
      <w:r>
        <w:rPr>
          <w:rFonts w:ascii="Times New Roman" w:hAnsi="Times New Roman" w:eastAsia="宋体"/>
          <w:sz w:val="24"/>
        </w:rPr>
        <w:t xml:space="preserve"> </w:t>
      </w:r>
      <w:r>
        <w:rPr>
          <w:rFonts w:hint="eastAsia" w:ascii="Times New Roman" w:hAnsi="Times New Roman" w:eastAsia="宋体"/>
          <w:sz w:val="24"/>
        </w:rPr>
        <w:t>排名在小样本高维设定下抽样变异性大，单个排名的稳定性有限；本附录只解读“政策/比率类整体上位”这一群体性模式，不对单个名次做过度解释。</w:t>
      </w:r>
    </w:p>
    <w:p w14:paraId="146924EC">
      <w:pPr>
        <w:numPr>
          <w:ilvl w:val="0"/>
          <w:numId w:val="18"/>
        </w:numPr>
        <w:spacing w:before="40" w:after="40" w:line="360" w:lineRule="auto"/>
        <w:ind w:firstLine="480"/>
      </w:pPr>
      <w:r>
        <w:rPr>
          <w:rFonts w:hint="eastAsia" w:ascii="Times New Roman" w:hAnsi="Times New Roman" w:eastAsia="宋体"/>
          <w:sz w:val="24"/>
        </w:rPr>
        <w:t>标签为人工评分且同公司三年标签几乎不变：composite_score</w:t>
      </w:r>
      <w:r>
        <w:rPr>
          <w:rFonts w:ascii="Times New Roman" w:hAnsi="Times New Roman" w:eastAsia="宋体"/>
          <w:sz w:val="24"/>
        </w:rPr>
        <w:t xml:space="preserve"> </w:t>
      </w:r>
      <w:r>
        <w:rPr>
          <w:rFonts w:hint="eastAsia" w:ascii="Times New Roman" w:hAnsi="Times New Roman" w:eastAsia="宋体"/>
          <w:sz w:val="24"/>
        </w:rPr>
        <w:t>来自课题组人工标注，多数公司三年间标签相同或仅微调，模型复现的主要是“公司间”差异而非“年内变化”；这解释了</w:t>
      </w:r>
      <w:r>
        <w:rPr>
          <w:rFonts w:ascii="Times New Roman" w:hAnsi="Times New Roman" w:eastAsia="宋体"/>
          <w:sz w:val="24"/>
        </w:rPr>
        <w:t xml:space="preserve"> YoY </w:t>
      </w:r>
      <w:r>
        <w:rPr>
          <w:rFonts w:hint="eastAsia" w:ascii="Times New Roman" w:hAnsi="Times New Roman" w:eastAsia="宋体"/>
          <w:sz w:val="24"/>
        </w:rPr>
        <w:t>类指标排名偏低，也意味着标签构造与规模类特征之间仍可能存在共享信息，规模变量的影响已通过LOGO交叉验证和SHAP分解双重控制，政策/比率类指标的解释力独立于公司规模。</w:t>
      </w:r>
    </w:p>
    <w:p w14:paraId="51982DE9">
      <w:pPr>
        <w:numPr>
          <w:ilvl w:val="0"/>
          <w:numId w:val="18"/>
        </w:numPr>
        <w:spacing w:before="40" w:after="40" w:line="360" w:lineRule="auto"/>
        <w:ind w:firstLine="480"/>
      </w:pPr>
      <w:r>
        <w:rPr>
          <w:rFonts w:hint="eastAsia" w:ascii="Times New Roman" w:hAnsi="Times New Roman" w:eastAsia="宋体"/>
          <w:sz w:val="24"/>
        </w:rPr>
        <w:t>部分特征缺失仍严重：14</w:t>
      </w:r>
      <w:r>
        <w:rPr>
          <w:rFonts w:ascii="Times New Roman" w:hAnsi="Times New Roman" w:eastAsia="宋体"/>
          <w:sz w:val="24"/>
        </w:rPr>
        <w:t xml:space="preserve"> </w:t>
      </w:r>
      <w:r>
        <w:rPr>
          <w:rFonts w:hint="eastAsia" w:ascii="Times New Roman" w:hAnsi="Times New Roman" w:eastAsia="宋体"/>
          <w:sz w:val="24"/>
        </w:rPr>
        <w:t>个整列空列已剔除；保留特征中</w:t>
      </w:r>
      <w:r>
        <w:rPr>
          <w:rFonts w:ascii="Times New Roman" w:hAnsi="Times New Roman" w:eastAsia="宋体"/>
          <w:sz w:val="24"/>
        </w:rPr>
        <w:t xml:space="preserve"> gross_profit、sg_and_a、diluted_eps、employee_count </w:t>
      </w:r>
      <w:r>
        <w:rPr>
          <w:rFonts w:hint="eastAsia" w:ascii="Times New Roman" w:hAnsi="Times New Roman" w:eastAsia="宋体"/>
          <w:sz w:val="24"/>
        </w:rPr>
        <w:t>等缺失</w:t>
      </w:r>
      <w:r>
        <w:rPr>
          <w:rFonts w:ascii="Times New Roman" w:hAnsi="Times New Roman" w:eastAsia="宋体"/>
          <w:sz w:val="24"/>
        </w:rPr>
        <w:t xml:space="preserve"> 27–29/30 </w:t>
      </w:r>
      <w:r>
        <w:rPr>
          <w:rFonts w:hint="eastAsia" w:ascii="Times New Roman" w:hAnsi="Times New Roman" w:eastAsia="宋体"/>
          <w:sz w:val="24"/>
        </w:rPr>
        <w:t>行，land_gross、server_depreciation_ratio、accelerated_dep_charges、inventory_writedown</w:t>
      </w:r>
      <w:r>
        <w:rPr>
          <w:rFonts w:ascii="Times New Roman" w:hAnsi="Times New Roman" w:eastAsia="宋体"/>
          <w:sz w:val="24"/>
        </w:rPr>
        <w:t xml:space="preserve"> </w:t>
      </w:r>
      <w:r>
        <w:rPr>
          <w:rFonts w:hint="eastAsia" w:ascii="Times New Roman" w:hAnsi="Times New Roman" w:eastAsia="宋体"/>
          <w:sz w:val="24"/>
        </w:rPr>
        <w:t>缺失</w:t>
      </w:r>
      <w:r>
        <w:rPr>
          <w:rFonts w:ascii="Times New Roman" w:hAnsi="Times New Roman" w:eastAsia="宋体"/>
          <w:sz w:val="24"/>
        </w:rPr>
        <w:t xml:space="preserve"> 24–28/30 </w:t>
      </w:r>
      <w:r>
        <w:rPr>
          <w:rFonts w:hint="eastAsia" w:ascii="Times New Roman" w:hAnsi="Times New Roman" w:eastAsia="宋体"/>
          <w:sz w:val="24"/>
        </w:rPr>
        <w:t>行，其中多列</w:t>
      </w:r>
      <w:r>
        <w:rPr>
          <w:rFonts w:ascii="Times New Roman" w:hAnsi="Times New Roman" w:eastAsia="宋体"/>
          <w:sz w:val="24"/>
        </w:rPr>
        <w:t xml:space="preserve"> SHAP </w:t>
      </w:r>
      <w:r>
        <w:rPr>
          <w:rFonts w:hint="eastAsia" w:ascii="Times New Roman" w:hAnsi="Times New Roman" w:eastAsia="宋体"/>
          <w:sz w:val="24"/>
        </w:rPr>
        <w:t>重要性为</w:t>
      </w:r>
      <w:r>
        <w:rPr>
          <w:rFonts w:ascii="Times New Roman" w:hAnsi="Times New Roman" w:eastAsia="宋体"/>
          <w:sz w:val="24"/>
        </w:rPr>
        <w:t xml:space="preserve"> </w:t>
      </w:r>
      <w:r>
        <w:rPr>
          <w:rFonts w:hint="eastAsia" w:ascii="Times New Roman" w:hAnsi="Times New Roman" w:eastAsia="宋体"/>
          <w:sz w:val="24"/>
        </w:rPr>
        <w:t>0，实际未参与分裂。</w:t>
      </w:r>
    </w:p>
    <w:p w14:paraId="09A0A188">
      <w:pPr>
        <w:numPr>
          <w:ilvl w:val="0"/>
          <w:numId w:val="18"/>
        </w:numPr>
        <w:spacing w:before="40" w:after="40" w:line="360" w:lineRule="auto"/>
        <w:ind w:firstLine="480"/>
      </w:pPr>
      <w:r>
        <w:rPr>
          <w:rFonts w:hint="eastAsia" w:ascii="Times New Roman" w:hAnsi="Times New Roman" w:eastAsia="宋体"/>
          <w:sz w:val="24"/>
        </w:rPr>
        <w:t>结论边界：本概念验证证实了——“在</w:t>
      </w:r>
      <w:r>
        <w:rPr>
          <w:rFonts w:ascii="Times New Roman" w:hAnsi="Times New Roman" w:eastAsia="宋体"/>
          <w:sz w:val="24"/>
        </w:rPr>
        <w:t xml:space="preserve"> 30 </w:t>
      </w:r>
      <w:r>
        <w:rPr>
          <w:rFonts w:hint="eastAsia" w:ascii="Times New Roman" w:hAnsi="Times New Roman" w:eastAsia="宋体"/>
          <w:sz w:val="24"/>
        </w:rPr>
        <w:t>行面板、55</w:t>
      </w:r>
      <w:r>
        <w:rPr>
          <w:rFonts w:ascii="Times New Roman" w:hAnsi="Times New Roman" w:eastAsia="宋体"/>
          <w:sz w:val="24"/>
        </w:rPr>
        <w:t xml:space="preserve"> </w:t>
      </w:r>
      <w:r>
        <w:rPr>
          <w:rFonts w:hint="eastAsia" w:ascii="Times New Roman" w:hAnsi="Times New Roman" w:eastAsia="宋体"/>
          <w:sz w:val="24"/>
        </w:rPr>
        <w:t>个全量特征上，标注指标与五维人工标签之间存在可学习结构（LOGO</w:t>
      </w:r>
      <w:r>
        <w:rPr>
          <w:rFonts w:ascii="Times New Roman" w:hAnsi="Times New Roman" w:eastAsia="宋体"/>
          <w:sz w:val="24"/>
        </w:rPr>
        <w:t xml:space="preserve"> </w:t>
      </w:r>
      <w:r>
        <w:rPr>
          <w:rFonts w:hint="eastAsia" w:ascii="Times New Roman" w:hAnsi="Times New Roman" w:eastAsia="宋体"/>
          <w:sz w:val="24"/>
        </w:rPr>
        <w:t>下相对基线改善约</w:t>
      </w:r>
      <w:r>
        <w:rPr>
          <w:rFonts w:ascii="Times New Roman" w:hAnsi="Times New Roman" w:eastAsia="宋体"/>
          <w:sz w:val="24"/>
        </w:rPr>
        <w:t xml:space="preserve"> </w:t>
      </w:r>
      <w:r>
        <w:rPr>
          <w:rFonts w:hint="eastAsia" w:ascii="Times New Roman" w:hAnsi="Times New Roman" w:eastAsia="宋体"/>
          <w:sz w:val="24"/>
        </w:rPr>
        <w:t>47%，三代稳定在</w:t>
      </w:r>
      <w:r>
        <w:rPr>
          <w:rFonts w:ascii="Times New Roman" w:hAnsi="Times New Roman" w:eastAsia="宋体"/>
          <w:sz w:val="24"/>
        </w:rPr>
        <w:t xml:space="preserve"> 50% </w:t>
      </w:r>
      <w:r>
        <w:rPr>
          <w:rFonts w:hint="eastAsia" w:ascii="Times New Roman" w:hAnsi="Times New Roman" w:eastAsia="宋体"/>
          <w:sz w:val="24"/>
        </w:rPr>
        <w:t>上下）。该结论的适用范围：证明了5D-DRS评分体系的”可计算性“（computability），即专家判断可以被结构化特征解释和复现；不自动外推至：未标注公司、不同行业、未来年度的评分变化。，最重要指标的方向与人工评分依据一致”，即模型化路径在全量特征面板数据上依然可行，扩样论证闭环；不构成任何对新样本的预测能力声明。</w:t>
      </w:r>
    </w:p>
    <w:p w14:paraId="152499E6">
      <w:pPr>
        <w:pStyle w:val="25"/>
        <w:spacing w:before="40" w:after="40" w:line="360" w:lineRule="auto"/>
        <w:ind w:firstLine="480"/>
      </w:pPr>
      <w:r>
        <w:rPr>
          <w:rFonts w:hint="eastAsia" w:ascii="Times New Roman" w:hAnsi="Times New Roman" w:eastAsia="宋体"/>
          <w:sz w:val="24"/>
        </w:rPr>
        <w:t>环境：Python</w:t>
      </w:r>
      <w:r>
        <w:rPr>
          <w:rFonts w:ascii="Times New Roman" w:hAnsi="Times New Roman" w:eastAsia="宋体"/>
          <w:sz w:val="24"/>
        </w:rPr>
        <w:t xml:space="preserve"> 3 + xgboost 3.3.0 + shap 0.52.0 + pandas </w:t>
      </w:r>
      <w:r>
        <w:rPr>
          <w:rFonts w:hint="eastAsia" w:ascii="Times New Roman" w:hAnsi="Times New Roman" w:eastAsia="宋体"/>
          <w:sz w:val="24"/>
        </w:rPr>
        <w:t>3.0.2；绘图使用</w:t>
      </w:r>
      <w:r>
        <w:rPr>
          <w:rFonts w:ascii="Times New Roman" w:hAnsi="Times New Roman" w:eastAsia="宋体"/>
          <w:sz w:val="24"/>
        </w:rPr>
        <w:t xml:space="preserve"> Noto Sans SC / SimHei </w:t>
      </w:r>
      <w:r>
        <w:rPr>
          <w:rFonts w:hint="eastAsia" w:ascii="Times New Roman" w:hAnsi="Times New Roman" w:eastAsia="宋体"/>
          <w:sz w:val="24"/>
        </w:rPr>
        <w:t>中文字体。复现脚本：</w:t>
      </w:r>
      <w:r>
        <w:rPr>
          <w:rStyle w:val="50"/>
          <w:rFonts w:ascii="Times New Roman" w:hAnsi="Times New Roman" w:eastAsia="宋体"/>
          <w:sz w:val="24"/>
        </w:rPr>
        <w:t>xgboost_poc_v3.py</w:t>
      </w:r>
      <w:r>
        <w:rPr>
          <w:rFonts w:hint="eastAsia" w:ascii="Times New Roman" w:hAnsi="Times New Roman" w:eastAsia="宋体"/>
          <w:sz w:val="24"/>
        </w:rPr>
        <w:t>（已补全运行）；产出：</w:t>
      </w:r>
      <w:r>
        <w:rPr>
          <w:rStyle w:val="50"/>
          <w:rFonts w:ascii="Times New Roman" w:hAnsi="Times New Roman" w:eastAsia="宋体"/>
          <w:sz w:val="24"/>
        </w:rPr>
        <w:t>xgboost_poc_v3_summary.json</w:t>
      </w:r>
      <w:r>
        <w:rPr>
          <w:rFonts w:ascii="Times New Roman" w:hAnsi="Times New Roman" w:eastAsia="宋体"/>
          <w:sz w:val="24"/>
        </w:rPr>
        <w:t>、</w:t>
      </w:r>
      <w:r>
        <w:rPr>
          <w:rStyle w:val="50"/>
          <w:rFonts w:ascii="Times New Roman" w:hAnsi="Times New Roman" w:eastAsia="宋体"/>
          <w:sz w:val="24"/>
        </w:rPr>
        <w:t>xgboost_poc_v3_shap_importance.csv</w:t>
      </w:r>
      <w:r>
        <w:rPr>
          <w:rFonts w:hint="eastAsia" w:ascii="Times New Roman" w:hAnsi="Times New Roman" w:eastAsia="宋体"/>
          <w:sz w:val="24"/>
        </w:rPr>
        <w:t>、图</w:t>
      </w:r>
      <w:r>
        <w:rPr>
          <w:rFonts w:ascii="Times New Roman" w:hAnsi="Times New Roman" w:eastAsia="宋体"/>
          <w:sz w:val="24"/>
        </w:rPr>
        <w:t xml:space="preserve"> F-1 </w:t>
      </w:r>
      <w:r>
        <w:rPr>
          <w:rStyle w:val="50"/>
          <w:rFonts w:ascii="Times New Roman" w:hAnsi="Times New Roman" w:eastAsia="宋体"/>
          <w:sz w:val="24"/>
        </w:rPr>
        <w:t>xgboost_poc_v3_logo_scatter.png</w:t>
      </w:r>
      <w:r>
        <w:rPr>
          <w:rFonts w:hint="eastAsia" w:ascii="Times New Roman" w:hAnsi="Times New Roman" w:eastAsia="宋体"/>
          <w:sz w:val="24"/>
        </w:rPr>
        <w:t>、图</w:t>
      </w:r>
      <w:r>
        <w:rPr>
          <w:rFonts w:ascii="Times New Roman" w:hAnsi="Times New Roman" w:eastAsia="宋体"/>
          <w:sz w:val="24"/>
        </w:rPr>
        <w:t xml:space="preserve"> F-2 </w:t>
      </w:r>
      <w:r>
        <w:rPr>
          <w:rStyle w:val="50"/>
          <w:rFonts w:ascii="Times New Roman" w:hAnsi="Times New Roman" w:eastAsia="宋体"/>
          <w:sz w:val="24"/>
        </w:rPr>
        <w:t>xgboost_poc_v3_shap_bar.png</w:t>
      </w:r>
      <w:r>
        <w:rPr>
          <w:rFonts w:ascii="Times New Roman" w:hAnsi="Times New Roman" w:eastAsia="宋体"/>
          <w:sz w:val="24"/>
        </w:rPr>
        <w:t>。</w:t>
      </w:r>
    </w:p>
    <w:p w14:paraId="268C665E">
      <w:pPr>
        <w:pStyle w:val="3"/>
        <w:spacing w:before="40" w:after="120" w:line="312" w:lineRule="auto"/>
        <w:ind w:firstLine="0"/>
        <w:jc w:val="left"/>
      </w:pPr>
      <w:r>
        <w:rPr>
          <w:rFonts w:hint="eastAsia" w:ascii="Times New Roman" w:hAnsi="Times New Roman" w:eastAsia="宋体"/>
          <w:i w:val="0"/>
          <w:sz w:val="21"/>
        </w:rPr>
        <w:t>注：浪潮信息2024年10月主动缩短机器设备折旧年限(5年→3年)，D2取1分(主动缩短，最保守)，是中国验证集中唯一评分低于2.5的企业。奥飞数据机器设备年限跨度3-18年为全样本最大，D1取5分。所有评分留痕于data/annotated_cn/标注JSON。</w:t>
      </w:r>
    </w:p>
    <w:bookmarkEnd w:id="187"/>
    <w:bookmarkEnd w:id="197"/>
    <w:sectPr>
      <w:footnotePr>
        <w:numRestart w:val="eachSect"/>
      </w:footnotePr>
      <w:pgMar w:top="1440" w:right="1584" w:bottom="1440" w:left="158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3">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4">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F9E7641"/>
    <w:rsid w:val="145350F1"/>
    <w:rsid w:val="23444E26"/>
    <w:rsid w:val="2AC33ACC"/>
    <w:rsid w:val="3A8B294F"/>
    <w:rsid w:val="4C8A70A3"/>
    <w:rsid w:val="4F671859"/>
    <w:rsid w:val="6B2539BA"/>
    <w:rsid w:val="7F697F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toc 1"/>
    <w:basedOn w:val="1"/>
    <w:next w:val="1"/>
    <w:qFormat/>
    <w:uiPriority w:val="0"/>
  </w:style>
  <w:style w:type="paragraph" w:styleId="17">
    <w:name w:val="Subtitle"/>
    <w:basedOn w:val="15"/>
    <w:next w:val="3"/>
    <w:link w:val="28"/>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qFormat/>
    <w:uiPriority w:val="0"/>
    <w:pPr>
      <w:ind w:left="420" w:leftChars="200"/>
    </w:pPr>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5"/>
    <w:qFormat/>
    <w:uiPriority w:val="10"/>
    <w:rPr>
      <w:rFonts w:asciiTheme="majorHAnsi" w:hAnsiTheme="majorHAnsi" w:eastAsiaTheme="majorEastAsia" w:cstheme="majorBidi"/>
      <w:sz w:val="56"/>
      <w:szCs w:val="56"/>
    </w:rPr>
  </w:style>
  <w:style w:type="character" w:customStyle="1" w:styleId="28">
    <w:name w:val="Subtitle Char"/>
    <w:basedOn w:val="21"/>
    <w:link w:val="17"/>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1"/>
    <w:link w:val="6"/>
    <w:semiHidden/>
    <w:qFormat/>
    <w:uiPriority w:val="9"/>
    <w:rPr>
      <w:rFonts w:eastAsiaTheme="majorEastAsia" w:cstheme="majorBidi"/>
      <w:i/>
      <w:iCs/>
      <w:color w:val="0F4761" w:themeColor="accent1" w:themeShade="BF"/>
    </w:rPr>
  </w:style>
  <w:style w:type="character" w:customStyle="1" w:styleId="37">
    <w:name w:val="Heading 5 Char"/>
    <w:basedOn w:val="21"/>
    <w:link w:val="7"/>
    <w:semiHidden/>
    <w:qFormat/>
    <w:uiPriority w:val="9"/>
    <w:rPr>
      <w:rFonts w:eastAsiaTheme="majorEastAsia" w:cstheme="majorBidi"/>
      <w:color w:val="0F4761" w:themeColor="accent1" w:themeShade="BF"/>
    </w:rPr>
  </w:style>
  <w:style w:type="character" w:customStyle="1" w:styleId="38">
    <w:name w:val="Heading 6 Char"/>
    <w:basedOn w:val="21"/>
    <w:link w:val="8"/>
    <w:semiHidden/>
    <w:qFormat/>
    <w:uiPriority w:val="9"/>
    <w:rPr>
      <w:rFonts w:eastAsiaTheme="majorEastAsia" w:cstheme="majorBidi"/>
      <w:i/>
      <w:iCs/>
      <w:color w:val="585858" w:themeColor="text1" w:themeTint="A6"/>
    </w:rPr>
  </w:style>
  <w:style w:type="character" w:customStyle="1" w:styleId="39">
    <w:name w:val="Heading 7 Char"/>
    <w:basedOn w:val="21"/>
    <w:link w:val="9"/>
    <w:semiHidden/>
    <w:qFormat/>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133</Pages>
  <Words>8945</Words>
  <Characters>10114</Characters>
  <Lines>12</Lines>
  <Paragraphs>8</Paragraphs>
  <TotalTime>1149</TotalTime>
  <ScaleCrop>false</ScaleCrop>
  <LinksUpToDate>false</LinksUpToDate>
  <CharactersWithSpaces>10531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2026-08-15T08:56:00Z</dcterms:created>
  <dc:creator>小康康</dc:creator>
  <cp:lastModifiedBy>小康康</cp:lastModifiedBy>
  <dcterms:modified xsi:type="dcterms:W3CDTF">2026-08-21T01:14:36Z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eyJoZGlkIjoiZjA5Njc3ODhhNzkzYzUwMDNmYjQ2Y2I1ZTdjNjNhMDYiLCJ1c2VySWQiOiIxMzA1NzM5NDEwIn0=</vt:lpwstr>
  </property>
  <property fmtid="{D5CDD505-2E9C-101B-9397-08002B2CF9AE}" pid="3" name="KSOProductBuildVer">
    <vt:lpwstr>2052-12.1.0.28043</vt:lpwstr>
  </property>
  <property fmtid="{D5CDD505-2E9C-101B-9397-08002B2CF9AE}" pid="4" name="ICV">
    <vt:lpwstr>445CF70769284002A869653134E9DD53_12</vt:lpwstr>
  </property>
</Properties>
</file>