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D7908">
      <w:pPr>
        <w:pStyle w:val="3"/>
        <w:spacing w:line="360" w:lineRule="auto"/>
        <w:jc w:val="center"/>
        <w:rPr>
          <w:rFonts w:hint="eastAsia" w:ascii="微软雅黑" w:hAnsi="微软雅黑" w:eastAsia="微软雅黑" w:cs="微软雅黑"/>
          <w:b w:val="0"/>
          <w:kern w:val="0"/>
          <w:sz w:val="40"/>
          <w:szCs w:val="40"/>
        </w:rPr>
      </w:pPr>
      <w:r>
        <w:rPr>
          <w:rFonts w:hint="eastAsia" w:ascii="黑体" w:hAnsi="黑体" w:eastAsia="黑体"/>
          <w:color w:val="FF0000"/>
          <w:sz w:val="32"/>
          <w:szCs w:val="36"/>
        </w:rPr>
        <w:t>虎斑乌贼基因组</w:t>
      </w:r>
      <w:r>
        <w:rPr>
          <w:rFonts w:ascii="黑体" w:hAnsi="黑体" w:eastAsia="黑体"/>
          <w:color w:val="FF0000"/>
          <w:sz w:val="32"/>
          <w:szCs w:val="36"/>
        </w:rPr>
        <w:t>DNA甲基化特征及其对温度胁迫的响应</w:t>
      </w:r>
    </w:p>
    <w:p w14:paraId="4E92680E">
      <w:pPr>
        <w:pStyle w:val="3"/>
        <w:spacing w:line="360" w:lineRule="auto"/>
        <w:rPr>
          <w:rFonts w:eastAsia="宋体"/>
          <w:bCs w:val="0"/>
          <w:kern w:val="0"/>
        </w:rPr>
      </w:pPr>
      <w:r>
        <w:rPr>
          <w:rFonts w:hint="eastAsia" w:ascii="微软雅黑" w:hAnsi="微软雅黑" w:eastAsia="微软雅黑" w:cs="微软雅黑"/>
          <w:b w:val="0"/>
          <w:kern w:val="0"/>
          <w:sz w:val="28"/>
          <w:szCs w:val="28"/>
        </w:rPr>
        <w:t>二、论文研究的主要内容、拟采取的技术路线，实施方案与预期效果</w:t>
      </w:r>
    </w:p>
    <w:p w14:paraId="61AEAFE9">
      <w:pPr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（一）课题研究的主要内容</w:t>
      </w:r>
    </w:p>
    <w:p w14:paraId="059F5AC9">
      <w:p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1</w:t>
      </w:r>
      <w:r>
        <w:rPr>
          <w:rFonts w:hint="eastAsia" w:ascii="微软雅黑" w:hAnsi="微软雅黑" w:eastAsia="微软雅黑" w:cs="微软雅黑"/>
          <w:b/>
          <w:bCs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虎斑乌贼基因组 DNA 甲基化基线特征解析</w:t>
      </w:r>
    </w:p>
    <w:p w14:paraId="4D6A7C07">
      <w:pPr>
        <w:rPr>
          <w:rFonts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 xml:space="preserve">1.1基于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WGBS</w:t>
      </w:r>
      <w:r>
        <w:rPr>
          <w:rFonts w:hint="eastAsia" w:ascii="微软雅黑" w:hAnsi="微软雅黑" w:eastAsia="微软雅黑" w:cs="微软雅黑"/>
          <w:color w:val="FF0000"/>
        </w:rPr>
        <w:t>技术的虎斑乌贼甲基化检测体系优化</w:t>
      </w:r>
    </w:p>
    <w:p w14:paraId="0924FC6D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虎斑乌贼不同组织（肌肉 / 心脏 / 胰脏 / 性腺）甲基化水平与模式差异</w:t>
      </w:r>
    </w:p>
    <w:p w14:paraId="6AF499F1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虎斑乌贼甲基化位点（半甲基化 / 全甲基化）基因组分布特征</w:t>
      </w:r>
    </w:p>
    <w:p w14:paraId="44C2A32B">
      <w:p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2 温度胁迫下虎斑乌贼 DNA 甲基化的动态变化规律</w:t>
      </w:r>
    </w:p>
    <w:p w14:paraId="79FA82C2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高低温梯度胁迫对虎斑乌贼整体甲基化水平的影响</w:t>
      </w:r>
      <w:bookmarkStart w:id="0" w:name="_GoBack"/>
      <w:bookmarkEnd w:id="0"/>
    </w:p>
    <w:p w14:paraId="1A773A06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温度胁迫响应型差异甲基化位点（DMS）与区域（DMR）鉴定</w:t>
      </w:r>
    </w:p>
    <w:p w14:paraId="6AF9C13C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甲基化动态变化的时间效应与组织特异性分析</w:t>
      </w:r>
    </w:p>
    <w:p w14:paraId="0A76F876">
      <w:p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 甲基化调控的虎斑乌贼温度适应功能机制</w:t>
      </w:r>
    </w:p>
    <w:p w14:paraId="11267C72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差异甲基化关联基因的 GO/KEGG 功能富集分析</w:t>
      </w:r>
    </w:p>
    <w:p w14:paraId="0C80D006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温度适应关键通路（抗氧化 / 能量代谢 / 应激响应）甲基化调控</w:t>
      </w:r>
    </w:p>
    <w:p w14:paraId="44B928E8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核心差异基因的 BSP 验证及甲基化 - 表达量关联分析</w:t>
      </w:r>
    </w:p>
    <w:p w14:paraId="0E632500">
      <w:pPr>
        <w:rPr>
          <w:rFonts w:ascii="微软雅黑" w:hAnsi="微软雅黑" w:eastAsia="微软雅黑" w:cs="微软雅黑"/>
        </w:rPr>
      </w:pPr>
    </w:p>
    <w:p w14:paraId="0C8F26E0">
      <w:pPr>
        <w:spacing w:line="360" w:lineRule="auto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 xml:space="preserve">（二）、拟采取的的技术路线及实施方案   </w:t>
      </w:r>
    </w:p>
    <w:p w14:paraId="6AD329DA">
      <w:pPr>
        <w:spacing w:line="360" w:lineRule="auto"/>
        <w:rPr>
          <w:rFonts w:ascii="微软雅黑" w:hAnsi="微软雅黑" w:eastAsia="微软雅黑" w:cs="微软雅黑"/>
          <w:b/>
          <w:color w:val="FF0000"/>
          <w:sz w:val="24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</w:rPr>
        <w:t>1 技术路线</w:t>
      </w:r>
    </w:p>
    <w:p w14:paraId="41F97F2A">
      <w:pPr>
        <w:rPr>
          <w:rFonts w:ascii="微软雅黑" w:hAnsi="微软雅黑" w:eastAsia="微软雅黑" w:cs="微软雅黑"/>
        </w:rPr>
      </w:pPr>
      <w:r>
        <w:drawing>
          <wp:inline distT="0" distB="0" distL="114300" distR="114300">
            <wp:extent cx="4095750" cy="39433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488D">
      <w:pPr>
        <w:rPr>
          <w:rFonts w:ascii="微软雅黑" w:hAnsi="微软雅黑" w:eastAsia="微软雅黑" w:cs="微软雅黑"/>
          <w:b/>
          <w:bCs/>
        </w:rPr>
      </w:pPr>
    </w:p>
    <w:p w14:paraId="093BF7FB">
      <w:p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2  实验方案</w:t>
      </w:r>
    </w:p>
    <w:p w14:paraId="5CA518D8">
      <w:pPr>
        <w:rPr>
          <w:rFonts w:ascii="微软雅黑" w:hAnsi="微软雅黑" w:eastAsia="微软雅黑" w:cs="微软雅黑"/>
          <w:b/>
          <w:bCs/>
          <w:color w:val="FF0000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</w:rPr>
        <w:t>2.1 温度胁迫下虎斑乌贼 DNA 甲基化的动态变化规律</w:t>
      </w:r>
    </w:p>
    <w:p w14:paraId="44B70D4E">
      <w:pPr>
        <w:rPr>
          <w:rFonts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 xml:space="preserve">  2.1.1实验设计</w:t>
      </w:r>
    </w:p>
    <w:p w14:paraId="3D864653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本实验以虎斑乌贼为研究对象，探究温度胁迫下基因组 DNA 甲基化响应机制，采用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kern w:val="0"/>
          <w:sz w:val="22"/>
          <w:szCs w:val="22"/>
          <w:lang w:bidi="ar"/>
        </w:rPr>
        <w:t>梯度温度胁迫处理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与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kern w:val="0"/>
          <w:sz w:val="22"/>
          <w:szCs w:val="22"/>
          <w:lang w:bidi="ar"/>
        </w:rPr>
        <w:t>多组学甲基化检测技术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结合的方案，系统解析温度应答表观遗传规律。实验选用规格一致的健康虎斑乌贼幼体与成体，置于循环海水系统暂养适应 7 天，控制水温 24–26℃、盐度 28–30‰、pH 7.8–8.2，持续充氧，每日投喂，实验前禁食 24 小时。</w:t>
      </w:r>
      <w:r>
        <w:rPr>
          <w:rFonts w:hint="eastAsia" w:ascii="微软雅黑" w:hAnsi="微软雅黑" w:eastAsia="微软雅黑" w:cs="微软雅黑"/>
          <w:color w:val="FF0000"/>
          <w:kern w:val="0"/>
          <w:sz w:val="22"/>
          <w:szCs w:val="22"/>
          <w:lang w:bidi="ar"/>
        </w:rPr>
        <w:t>设置 3 个处理组，分别为对照组（CK，25℃适宜温度）、高温胁迫组（HT，32℃）、低温胁迫组（LT，18℃），胁迫时间设 0 h、6 h、24 h、72 h、7 d 五个梯度，覆盖急性与慢性胁迫，保障数据统计可靠性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。样品采集选取肌肉、心脏、胰腺、性腺四种核心组织，无菌解剖后快速分离杂质，液氮速冻并转入 - 80℃超低温冰箱保存，全程避免反复冻融，详细记录样品信息。DNA 提取采用试剂盒法与 CTAB 法，经琼脂糖凝胶电泳与 NanoDrop 检测质控，确保主带清晰、OD260/280 为 1.8–2.0、浓度≥50 ng/μL。整体甲基化水平通过 Dot Blot 与 LC-MS/MS 检测，以 LC-MS/MS 为金标准校正结果。无参全基因组甲基化筛查采用 F-MSAP 技术，经双酶切、荧光 PCR 扩增与毛细管电泳获得甲基化位点数据。全基因组差异甲基化区域挖掘使用 MeDIP-seq，通过免疫共沉淀富集甲基化片段并建库测序，鉴定 DMR。位点精细验证采用 BSP 技术，以单碱基分辨率确认甲基化状态。数据经质控后，开展 PCA、聚类热图、GO 与 KEGG 富集分析，联合转录组数据构建调控网络，筛选温度响应关键基因与通路，明确 DNA 甲基化介导的温度适应机制。</w:t>
      </w:r>
    </w:p>
    <w:p w14:paraId="6344A196">
      <w:pPr>
        <w:widowControl/>
        <w:spacing w:line="240" w:lineRule="atLeast"/>
        <w:ind w:firstLine="240" w:firstLineChars="10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2.1.2 检测指标</w:t>
      </w:r>
    </w:p>
    <w:p w14:paraId="5AF7E39D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琼脂糖凝胶电泳：主带清晰度、DNA 降解程度</w:t>
      </w:r>
    </w:p>
    <w:p w14:paraId="72E3DBFE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NanoDrop 检测：OD260/280 比值（1.8–2.0）、DNA 浓度、总提取量</w:t>
      </w:r>
    </w:p>
    <w:p w14:paraId="2A7B96F0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Dot Blot：甲基化信号灰度值、整体相对甲基化强度</w:t>
      </w:r>
    </w:p>
    <w:p w14:paraId="625A2BCF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LC-MS/MS：5mC 占总胞嘧啶比例</w:t>
      </w:r>
    </w:p>
    <w:p w14:paraId="384F8E00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2.1.3 检测方法</w:t>
      </w:r>
    </w:p>
    <w:p w14:paraId="5F075BC2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2.1.3.1</w:t>
      </w:r>
      <w:r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 xml:space="preserve"> DNA 样品质量检测方法</w:t>
      </w:r>
    </w:p>
    <w:p w14:paraId="3857FF70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琼脂糖凝胶电泳：观察 DNA 主带完整性，判断是否降解。</w:t>
      </w:r>
    </w:p>
    <w:p w14:paraId="22EF3CFD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NanoDrop 微量分光光度计：检测 OD260/280、浓度、总量，判定 DNA 纯度与浓度是否合格。</w:t>
      </w:r>
    </w:p>
    <w:p w14:paraId="4F036C75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2.1.3.</w:t>
      </w:r>
      <w:r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2基因组整体甲基化水平检测方法</w:t>
      </w:r>
    </w:p>
    <w:p w14:paraId="5164A755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Dot Blot（斑点杂交）：DNA 点膜→封闭→5mC 抗体孵育→二抗结合→化学发光显影→ImageJ 灰度定量，获得相对甲基化强度。</w:t>
      </w:r>
    </w:p>
    <w:p w14:paraId="1D745820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LC-MS/MS（液相色谱 - 串联质谱）：酶解 DNA 后测定 5mC / 总胞嘧啶比例，作为整体甲基化绝对定量金标准。</w:t>
      </w:r>
    </w:p>
    <w:p w14:paraId="13657ADA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2.1.3.</w:t>
      </w:r>
      <w:r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3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全基因组甲基化位点与模式检测方法（F-MSAP）</w:t>
      </w:r>
    </w:p>
    <w:p w14:paraId="3726ABA7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双酶切：EcoR I + HpaII / MspI 甲基化敏感内切酶酶切。</w:t>
      </w:r>
    </w:p>
    <w:p w14:paraId="6193F0D2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接头连接、预扩增、选择性荧光 PCR 扩增。</w:t>
      </w:r>
    </w:p>
    <w:p w14:paraId="038A8940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毛细管电泳：获得多态性甲基化条带。</w:t>
      </w:r>
    </w:p>
    <w:p w14:paraId="74C0115F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生物信息学分析：统计全甲基化、半甲基化、非甲基化位点比例，计算甲基化多态性，做 PCA 与聚类热图。</w:t>
      </w:r>
    </w:p>
    <w:p w14:paraId="07676167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2.1.3.4  试剂与仪器</w:t>
      </w:r>
    </w:p>
    <w:p w14:paraId="24105182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采用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超低温冰箱、液氮罐、高速冷冻离心机、NanoDrop 微量分光光度计、琼脂糖凝胶电泳系统、凝胶成像系统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、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PCR 仪、荧光定量 PCR 仪、毛细管电泳系统、核酸纯化仪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、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液相色谱 - 串联质谱（LC-MS/MS）、计算机及生物信息学分析软件（ImageJ、FastQC、GraphPad Prism 等）。</w:t>
      </w:r>
    </w:p>
    <w:p w14:paraId="2113BEB2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0D877DAC">
      <w:pPr>
        <w:rPr>
          <w:rFonts w:ascii="微软雅黑" w:hAnsi="微软雅黑" w:eastAsia="微软雅黑" w:cs="微软雅黑"/>
          <w:b/>
          <w:bCs/>
          <w:color w:val="FF0000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</w:rPr>
        <w:t>2.2  温度胁迫下虎斑乌贼 DNA 甲基化的动态变化规律</w:t>
      </w:r>
    </w:p>
    <w:p w14:paraId="21ECDC25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2.2.1 实验设计</w:t>
      </w:r>
    </w:p>
    <w:p w14:paraId="16C634CF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>同2.1.1</w:t>
      </w:r>
    </w:p>
    <w:p w14:paraId="4CE4B9F9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2.2.2  检测指标</w:t>
      </w:r>
    </w:p>
    <w:p w14:paraId="7DBF57F3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DNA 质量指标：DNA 浓度、纯度（OD260/280）及完整性。</w:t>
      </w:r>
    </w:p>
    <w:p w14:paraId="309E04F5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整体甲基化水平：基因组总甲基化相对强度、5mC 占总胞嘧啶比例。</w:t>
      </w:r>
    </w:p>
    <w:p w14:paraId="3930F243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甲基化位点特征：全甲基化、半甲基化、非甲基化位点数量及比例。</w:t>
      </w:r>
    </w:p>
    <w:p w14:paraId="25CAC437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差异甲基化指标：温度响应型差异甲基化位点（DMS）、差异甲基化区域（DMR）数量与富集水平。</w:t>
      </w:r>
    </w:p>
    <w:p w14:paraId="6ED63D95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组间差异指标：不同温度、时间、组织间的甲基化水平差异及样本聚类差异。</w:t>
      </w:r>
    </w:p>
    <w:p w14:paraId="2C056189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2.2.3  检测方法</w:t>
      </w:r>
    </w:p>
    <w:p w14:paraId="657B8787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用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试剂盒法与 CTAB 法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提取基因组 DNA，通过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琼脂糖凝胶电泳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和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NanoDrop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检测浓度、纯度及完整性。采用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Dot Blot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检测整体甲基化相对强度，以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LC-MS/MS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测定 5mC 占总胞嘧啶比例，获得绝对甲基化水平。利用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F-MSAP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技术进行无参全基因组甲基化筛查，经双酶切、荧光 PCR 扩增与毛细管电泳，统计甲基化位点类型与比例。通过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MeDIP-seq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富集甲基化片段，建库测序后进行 Peak calling，鉴定温度响应型差异甲基化位点（DMS）与区域（DMR）。使用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单因素方差分析、PCA、聚类热图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等方法，比较不同温度、时间、组织间的甲基化差异。</w:t>
      </w:r>
    </w:p>
    <w:p w14:paraId="4F0B402D">
      <w:pPr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 xml:space="preserve">  </w:t>
      </w:r>
    </w:p>
    <w:p w14:paraId="7DA9DB08">
      <w:pPr>
        <w:rPr>
          <w:rFonts w:ascii="微软雅黑" w:hAnsi="微软雅黑" w:eastAsia="微软雅黑" w:cs="微软雅黑"/>
          <w:b/>
          <w:bCs/>
          <w:color w:val="FF0000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</w:rPr>
        <w:t>2.3</w:t>
      </w: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2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</w:rPr>
        <w:t>甲基化调控的虎斑乌贼温度适应功能机制</w:t>
      </w:r>
    </w:p>
    <w:p w14:paraId="7844B631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b/>
          <w:bCs/>
          <w:color w:val="000000"/>
          <w:sz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</w:rPr>
        <w:t>2.3.1  实验设计</w:t>
      </w:r>
    </w:p>
    <w:p w14:paraId="7F0E7267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同2.1.1</w:t>
      </w:r>
    </w:p>
    <w:p w14:paraId="6847DC51">
      <w:pPr>
        <w:widowControl/>
        <w:spacing w:line="240" w:lineRule="atLeast"/>
        <w:ind w:firstLine="48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2.3.2  检测指标</w:t>
      </w:r>
    </w:p>
    <w:p w14:paraId="27DBF5DB">
      <w:pPr>
        <w:widowControl/>
        <w:spacing w:line="240" w:lineRule="atLeast"/>
        <w:ind w:firstLine="720" w:firstLineChars="3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基因功能指标：DMR 关联基因的 GO 功能注释条目数、KEGG 通路富集显著性，重点包括抗氧化、热休克、能量代谢、应激信号通路。</w:t>
      </w:r>
    </w:p>
    <w:p w14:paraId="3C7391A6">
      <w:pPr>
        <w:widowControl/>
        <w:spacing w:line="240" w:lineRule="atLeast"/>
        <w:ind w:firstLine="720" w:firstLineChars="3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甲基化 — 表达关联指标：关键基因启动子区甲基化水平、基因相对表达量、二者相关系数与负调控比例。</w:t>
      </w:r>
    </w:p>
    <w:p w14:paraId="38A764E6">
      <w:pPr>
        <w:widowControl/>
        <w:spacing w:line="240" w:lineRule="atLeast"/>
        <w:ind w:firstLine="480" w:firstLineChars="20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2.3.3  检测方法</w:t>
      </w:r>
    </w:p>
    <w:p w14:paraId="08D68BFF">
      <w:pPr>
        <w:widowControl/>
        <w:spacing w:line="240" w:lineRule="atLeast"/>
        <w:ind w:firstLine="720" w:firstLineChars="3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基因功能富集分析：对 DMR 关联基因进行 GO 功能注释与 KEGG 通路富集分析，筛选温度适应核心通路与关键基因。</w:t>
      </w:r>
    </w:p>
    <w:p w14:paraId="29C57135">
      <w:pPr>
        <w:widowControl/>
        <w:spacing w:line="240" w:lineRule="atLeast"/>
        <w:ind w:firstLine="720" w:firstLineChars="3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甲基化与表达关联分析：结合转录组数据，计算基因甲基化水平与表达量的相关性，鉴定甲基化负调控基因。</w:t>
      </w:r>
    </w:p>
    <w:p w14:paraId="1694C13E">
      <w:pPr>
        <w:widowControl/>
        <w:spacing w:line="240" w:lineRule="atLeast"/>
        <w:ind w:firstLine="720" w:firstLineChars="3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位点特异性甲基化验证：采用 BSP 法，经亚硫酸氢盐转化、巢式 PCR、TA 克隆与测序，检测核心基因单碱基甲基化率。</w:t>
      </w:r>
    </w:p>
    <w:p w14:paraId="63C629D5">
      <w:pPr>
        <w:widowControl/>
        <w:spacing w:line="240" w:lineRule="atLeast"/>
        <w:ind w:firstLine="720" w:firstLineChars="300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  <w:t>统计分析：使用 GraphPad Prism、BiQ Analyzer 等软件进行数据统计、差异分析与结果可视化。</w:t>
      </w:r>
    </w:p>
    <w:p w14:paraId="443FC711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4"/>
          <w:lang w:bidi="ar"/>
        </w:rPr>
      </w:pPr>
    </w:p>
    <w:p w14:paraId="5DC4A639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3  拟解决的关键技术和难点</w:t>
      </w:r>
    </w:p>
    <w:p w14:paraId="5C29CABF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3.1 拟解决的关键技术</w:t>
      </w:r>
    </w:p>
    <w:p w14:paraId="4A53ECC2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（1）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建立适配虎斑乌贼的DNA 甲基化检测技术体系，整合 F-MSAP、MeDIP-seq、BSP 三种技术，形成无参物种从筛查到验证的完整流程。</w:t>
      </w:r>
    </w:p>
    <w:p w14:paraId="10AEB37C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（2）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优化虎斑乌贼高多糖、高蛋白组织的DNA 提取、酶切与建库技术，保证甲基化实验稳定性。</w:t>
      </w:r>
    </w:p>
    <w:p w14:paraId="192849D5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（3）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构建甲基化组与转录组联合分析技术，实现差异甲基化区域（DMR）与温度适应基因的精准关联。</w:t>
      </w:r>
    </w:p>
    <w:p w14:paraId="39A5232E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（4）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建立关键基因甲基化位点单碱基分辨率验证技术，完成核心基因功能的表观调控验证。</w:t>
      </w:r>
    </w:p>
    <w:p w14:paraId="0F437B66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3.2  难点</w:t>
      </w:r>
    </w:p>
    <w:p w14:paraId="2AE1A9CF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FF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FF"/>
          <w:kern w:val="0"/>
          <w:sz w:val="22"/>
          <w:szCs w:val="22"/>
          <w:lang w:bidi="ar"/>
        </w:rPr>
        <w:t>（1）</w:t>
      </w:r>
      <w:r>
        <w:rPr>
          <w:rFonts w:ascii="微软雅黑" w:hAnsi="微软雅黑" w:eastAsia="微软雅黑" w:cs="微软雅黑"/>
          <w:color w:val="0000FF"/>
          <w:kern w:val="0"/>
          <w:sz w:val="22"/>
          <w:szCs w:val="22"/>
          <w:lang w:bidi="ar"/>
        </w:rPr>
        <w:t>乌贼组织易降解、样本珍贵，需严格控制采样与保存，保证核酸质量与实验重复性。</w:t>
      </w:r>
    </w:p>
    <w:p w14:paraId="2E3C350E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（2）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温度胁迫下甲基化动态变化快，需准确区分瞬时应激与适应性甲基化修饰。</w:t>
      </w:r>
    </w:p>
    <w:p w14:paraId="56CC1F2B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（3）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  <w:t>多组学数据维度高，建立 “温度 — 甲基化 — 基因表达 — 表型” 的因果调控链是机制阐释的主要难点。</w:t>
      </w:r>
    </w:p>
    <w:p w14:paraId="6FD4A097">
      <w:pPr>
        <w:widowControl/>
        <w:spacing w:line="240" w:lineRule="atLeast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lang w:bidi="ar"/>
        </w:rPr>
        <w:t>4  预期达到的目标</w:t>
      </w:r>
    </w:p>
    <w:p w14:paraId="4B21B73E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（1）建立虎斑乌贼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稳定可重复的 DNA 甲基化检测技术体系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（DNA 提取→F-MSAP→MeDIP-seq→BSP）。</w:t>
      </w:r>
    </w:p>
    <w:p w14:paraId="677F9F10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（2）明确虎斑乌贼不同组织、不同温度胁迫下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整体甲基化水平变化规律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（高温降、低温升）。</w:t>
      </w:r>
    </w:p>
    <w:p w14:paraId="260604FA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（3）筛选到</w:t>
      </w:r>
      <w:r>
        <w:rPr>
          <w:rStyle w:val="6"/>
          <w:rFonts w:hint="eastAsia" w:ascii="微软雅黑" w:hAnsi="微软雅黑" w:eastAsia="微软雅黑" w:cs="微软雅黑"/>
          <w:b w:val="0"/>
          <w:color w:val="000000"/>
          <w:sz w:val="22"/>
          <w:szCs w:val="22"/>
        </w:rPr>
        <w:t>温度响应关键 DMR/DMS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及核心基因（HSPs、SOD、代谢酶类）。</w:t>
      </w:r>
    </w:p>
    <w:p w14:paraId="4FF9AE54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>（4）阐明 DNA 甲基化介导的虎斑乌贼温度适应表观调控机制。</w:t>
      </w:r>
    </w:p>
    <w:p w14:paraId="38A1BF9B">
      <w:pPr>
        <w:widowControl/>
        <w:spacing w:line="240" w:lineRule="atLeast"/>
        <w:ind w:left="-360" w:firstLine="400" w:firstLineChars="200"/>
        <w:jc w:val="left"/>
        <w:rPr>
          <w:rFonts w:ascii="微软雅黑" w:hAnsi="微软雅黑" w:eastAsia="微软雅黑" w:cs="微软雅黑"/>
          <w:color w:val="000000"/>
          <w:sz w:val="20"/>
          <w:szCs w:val="20"/>
        </w:rPr>
      </w:pPr>
    </w:p>
    <w:p w14:paraId="30407726">
      <w:pPr>
        <w:widowControl/>
        <w:spacing w:line="240" w:lineRule="atLeast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3427BE7A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73C327B5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20D73F58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7CA5DEB8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025E2B30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71AB8B1B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5D046D44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0DE0AE2F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7F870ACD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7AB6507B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3F3A822F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42A11685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38E9D72A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7DF040D8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04F48F77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35307869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1F88261E">
      <w:pPr>
        <w:widowControl/>
        <w:spacing w:line="240" w:lineRule="atLeast"/>
        <w:ind w:firstLine="440" w:firstLineChars="200"/>
        <w:jc w:val="left"/>
        <w:rPr>
          <w:rFonts w:ascii="微软雅黑" w:hAnsi="微软雅黑" w:eastAsia="微软雅黑" w:cs="微软雅黑"/>
          <w:color w:val="000000"/>
          <w:kern w:val="0"/>
          <w:sz w:val="22"/>
          <w:szCs w:val="22"/>
          <w:lang w:bidi="ar"/>
        </w:rPr>
      </w:pPr>
    </w:p>
    <w:p w14:paraId="452B1BCC">
      <w:pPr>
        <w:rPr>
          <w:rFonts w:ascii="微软雅黑" w:hAnsi="微软雅黑" w:eastAsia="微软雅黑" w:cs="微软雅黑"/>
          <w:b/>
          <w:bCs/>
        </w:rPr>
      </w:pPr>
    </w:p>
    <w:p w14:paraId="21D64537">
      <w:pPr>
        <w:rPr>
          <w:rFonts w:ascii="微软雅黑" w:hAnsi="微软雅黑" w:eastAsia="微软雅黑" w:cs="微软雅黑"/>
          <w:b/>
          <w:bCs/>
        </w:rPr>
      </w:pPr>
    </w:p>
    <w:p w14:paraId="342A1C3C">
      <w:pPr>
        <w:rPr>
          <w:rFonts w:ascii="微软雅黑" w:hAnsi="微软雅黑" w:eastAsia="微软雅黑" w:cs="微软雅黑"/>
          <w:b/>
          <w:bCs/>
        </w:rPr>
      </w:pPr>
    </w:p>
    <w:p w14:paraId="4E89E7B0">
      <w:pPr>
        <w:rPr>
          <w:rFonts w:ascii="微软雅黑" w:hAnsi="微软雅黑" w:eastAsia="微软雅黑" w:cs="微软雅黑"/>
          <w:b/>
          <w:bCs/>
        </w:rPr>
      </w:pPr>
    </w:p>
    <w:p w14:paraId="1B8A2621">
      <w:pPr>
        <w:rPr>
          <w:rFonts w:ascii="微软雅黑" w:hAnsi="微软雅黑" w:eastAsia="微软雅黑" w:cs="微软雅黑"/>
          <w:b/>
          <w:bCs/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731"/>
    <w:rsid w:val="001B741B"/>
    <w:rsid w:val="003F0731"/>
    <w:rsid w:val="00714904"/>
    <w:rsid w:val="1B573D48"/>
    <w:rsid w:val="2A0D391D"/>
    <w:rsid w:val="2E451A36"/>
    <w:rsid w:val="63B81FEA"/>
    <w:rsid w:val="6762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line="300" w:lineRule="auto"/>
    </w:pPr>
    <w:rPr>
      <w:rFonts w:eastAsia="仿宋_GB2312"/>
      <w:b/>
      <w:bCs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2645</Words>
  <Characters>3169</Characters>
  <Lines>24</Lines>
  <Paragraphs>6</Paragraphs>
  <TotalTime>127</TotalTime>
  <ScaleCrop>false</ScaleCrop>
  <LinksUpToDate>false</LinksUpToDate>
  <CharactersWithSpaces>3398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2026-04-20T13:29:00Z</dcterms:created>
  <dc:creator>Administrator</dc:creator>
  <cp:lastModifiedBy>小志</cp:lastModifiedBy>
  <dcterms:modified xsi:type="dcterms:W3CDTF">2026-04-29T11:56:07Z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eyJoZGlkIjoiYmJlY2Q4OGY2NzFhODA0MDU4ZGE1ZjFmYTBjMzJiOGQiLCJ1c2VySWQiOiI4OTQzNjY3ODMifQ==</vt:lpwstr>
  </property>
  <property fmtid="{D5CDD505-2E9C-101B-9397-08002B2CF9AE}" pid="4" name="ICV">
    <vt:lpwstr>706A986B8BA74EDA8E7A3C126A509F7A_13</vt:lpwstr>
  </property>
</Properties>
</file>