
<file path=[Content_Types].xml><?xml version="1.0" encoding="utf-8"?>
<Types xmlns="http://schemas.openxmlformats.org/package/2006/content-types">
  <Default Extension="png" ContentType="image/png"/>
  <Default Extension="wdp" ContentType="image/vnd.ms-photo"/>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76ABEB"/>
    <w:p w14:paraId="656D0BCF">
      <w:pPr>
        <w:spacing w:line="360" w:lineRule="auto"/>
        <w:rPr>
          <w:b/>
          <w:bCs/>
          <w:sz w:val="24"/>
        </w:rPr>
      </w:pPr>
      <w:r>
        <w:rPr>
          <w:b/>
          <w:bCs/>
          <w:sz w:val="24"/>
        </w:rPr>
        <w:t>软体动物生殖发育过程DNA甲基化研究进展</w:t>
      </w:r>
    </w:p>
    <w:p w14:paraId="236AE4DC">
      <w:pPr>
        <w:spacing w:line="360" w:lineRule="auto"/>
        <w:ind w:firstLine="480" w:firstLineChars="200"/>
        <w:rPr>
          <w:sz w:val="24"/>
          <w:szCs w:val="24"/>
        </w:rPr>
      </w:pPr>
      <w:r>
        <w:rPr>
          <w:sz w:val="24"/>
          <w:szCs w:val="24"/>
        </w:rPr>
        <w:t>DNA甲基化调控软体动物生殖可塑性的分子机制作为表观遗传调控的核心机制（图2），通过动态调控基因时空表达模式，在环境适应与表型可塑性中发挥枢纽作用。软体动物因其复杂的生活史策略（如阶段性生殖投入、环境依赖性性别决定）及</w:t>
      </w:r>
      <w:r>
        <w:rPr>
          <w:color w:val="0000FF"/>
          <w:sz w:val="24"/>
          <w:szCs w:val="24"/>
        </w:rPr>
        <w:t>表观基因组可塑性特</w:t>
      </w:r>
      <w:r>
        <w:rPr>
          <w:sz w:val="24"/>
          <w:szCs w:val="24"/>
        </w:rPr>
        <w:t>征，成为解析“</w:t>
      </w:r>
      <w:r>
        <w:rPr>
          <w:color w:val="0000FF"/>
          <w:sz w:val="24"/>
          <w:szCs w:val="24"/>
        </w:rPr>
        <w:t>环境-表观遗传-生殖表型”三元互作关系的理想模型</w:t>
      </w:r>
      <w:r>
        <w:rPr>
          <w:color w:val="0000FF"/>
          <w:sz w:val="24"/>
          <w:vertAlign w:val="superscript"/>
        </w:rPr>
        <w:t>[33]</w:t>
      </w:r>
      <w:r>
        <w:rPr>
          <w:sz w:val="24"/>
          <w:szCs w:val="24"/>
        </w:rPr>
        <w:t>。近年来，基于多组学技术（全基因组甲基化测序、单细胞表观组分析）与模式物种（长牡蛎、</w:t>
      </w:r>
      <w:r>
        <w:rPr>
          <w:color w:val="0000FF"/>
          <w:sz w:val="24"/>
          <w:szCs w:val="24"/>
        </w:rPr>
        <w:t>皱纹盘鲍</w:t>
      </w:r>
      <w:r>
        <w:rPr>
          <w:i/>
          <w:iCs/>
          <w:sz w:val="24"/>
          <w:szCs w:val="24"/>
        </w:rPr>
        <w:t>Haliotis discus hannai</w:t>
      </w:r>
      <w:r>
        <w:rPr>
          <w:sz w:val="24"/>
          <w:szCs w:val="24"/>
        </w:rPr>
        <w:t>）的研究体系。软体动物生殖发育表观调控网络逐步明晰</w:t>
      </w:r>
      <w:r>
        <w:rPr>
          <w:sz w:val="24"/>
          <w:szCs w:val="24"/>
          <w:vertAlign w:val="superscript"/>
        </w:rPr>
        <w:t>[34-35]</w:t>
      </w:r>
      <w:r>
        <w:rPr>
          <w:sz w:val="24"/>
          <w:szCs w:val="24"/>
        </w:rPr>
        <w:t>，其核心发现包括：</w:t>
      </w:r>
      <w:r>
        <w:rPr>
          <w:b/>
          <w:bCs/>
          <w:sz w:val="24"/>
          <w:szCs w:val="24"/>
        </w:rPr>
        <w:t>1）配子发生中的甲基化重编程机制</w:t>
      </w:r>
      <w:r>
        <w:rPr>
          <w:sz w:val="24"/>
          <w:szCs w:val="24"/>
        </w:rPr>
        <w:t>：在长牡蛎中通过TET双加氧酶介导的5mC氧化（5hmC/5fC/5caC）卵母细胞主动去甲基化，全局甲基化水平下降42.7±5.3%（vs.精母细胞8.2±3.1%），该过程可清除转座子区异常修饰（LINE元件甲基化清除率76.4%），维持胚胎基因组稳定性</w:t>
      </w:r>
      <w:r>
        <w:rPr>
          <w:vertAlign w:val="superscript"/>
        </w:rPr>
        <w:t>[36]</w:t>
      </w:r>
      <w:r>
        <w:rPr>
          <w:sz w:val="24"/>
          <w:szCs w:val="24"/>
        </w:rPr>
        <w:t>。</w:t>
      </w:r>
      <w:r>
        <w:rPr>
          <w:b/>
          <w:bCs/>
          <w:sz w:val="24"/>
          <w:szCs w:val="24"/>
        </w:rPr>
        <w:t>2）性腺分化过程存在性别特异性差异甲基化区域（DMRs）</w:t>
      </w:r>
      <w:r>
        <w:rPr>
          <w:sz w:val="24"/>
          <w:szCs w:val="24"/>
        </w:rPr>
        <w:t>：皱纹盘鲍精巢发育关键基因</w:t>
      </w:r>
      <w:r>
        <w:rPr>
          <w:i/>
          <w:iCs/>
          <w:sz w:val="24"/>
          <w:szCs w:val="24"/>
        </w:rPr>
        <w:t>SOX9</w:t>
      </w:r>
      <w:r>
        <w:rPr>
          <w:sz w:val="24"/>
          <w:szCs w:val="24"/>
        </w:rPr>
        <w:t>与</w:t>
      </w:r>
      <w:r>
        <w:rPr>
          <w:i/>
          <w:iCs/>
          <w:sz w:val="24"/>
          <w:szCs w:val="24"/>
        </w:rPr>
        <w:t>DMRT1</w:t>
      </w:r>
      <w:r>
        <w:rPr>
          <w:sz w:val="24"/>
          <w:szCs w:val="24"/>
        </w:rPr>
        <w:t>的启动子区甲基化水平在雌性个体中升高1.9-2.4倍（RRBS验证），表现为启动子甲基化-基因表达负调控，通过抑制Wnt/β-catenin通路调控性别分化</w:t>
      </w:r>
      <w:r>
        <w:rPr>
          <w:sz w:val="24"/>
          <w:szCs w:val="24"/>
          <w:vertAlign w:val="superscript"/>
        </w:rPr>
        <w:t>[35, 37]</w:t>
      </w:r>
      <w:r>
        <w:rPr>
          <w:sz w:val="24"/>
          <w:szCs w:val="24"/>
        </w:rPr>
        <w:t>；而且长牡蛎性腺中鉴定到温度响应型DMRs 274个，其中86.5%位于配子发生相关基因（如</w:t>
      </w:r>
      <w:r>
        <w:rPr>
          <w:i/>
          <w:iCs/>
          <w:sz w:val="24"/>
          <w:szCs w:val="24"/>
        </w:rPr>
        <w:t>Vasa</w:t>
      </w:r>
      <w:r>
        <w:rPr>
          <w:sz w:val="24"/>
          <w:szCs w:val="24"/>
        </w:rPr>
        <w:t>、</w:t>
      </w:r>
      <w:r>
        <w:rPr>
          <w:i/>
          <w:iCs/>
          <w:sz w:val="24"/>
          <w:szCs w:val="24"/>
        </w:rPr>
        <w:t>Boule</w:t>
      </w:r>
      <w:r>
        <w:rPr>
          <w:sz w:val="24"/>
          <w:szCs w:val="24"/>
        </w:rPr>
        <w:t>）调控区，提示表观遗传调控在环境-生殖轴中的桥梁作用</w:t>
      </w:r>
      <w:r>
        <w:rPr>
          <w:sz w:val="24"/>
          <w:szCs w:val="24"/>
          <w:vertAlign w:val="superscript"/>
        </w:rPr>
        <w:t>[38]</w:t>
      </w:r>
      <w:r>
        <w:rPr>
          <w:sz w:val="24"/>
          <w:szCs w:val="24"/>
        </w:rPr>
        <w:t>。</w:t>
      </w:r>
      <w:r>
        <w:rPr>
          <w:b/>
          <w:bCs/>
          <w:color w:val="0000FF"/>
          <w:sz w:val="24"/>
          <w:szCs w:val="24"/>
        </w:rPr>
        <w:t>3）环境胁迫的跨代表观遗传效应：</w:t>
      </w:r>
      <w:r>
        <w:rPr>
          <w:color w:val="0000FF"/>
          <w:sz w:val="24"/>
          <w:szCs w:val="24"/>
        </w:rPr>
        <w:t>长牡蛎温度暴露组（ΔT≥5℃）F</w:t>
      </w:r>
      <w:r>
        <w:rPr>
          <w:color w:val="0000FF"/>
          <w:sz w:val="24"/>
          <w:szCs w:val="24"/>
          <w:vertAlign w:val="subscript"/>
        </w:rPr>
        <w:t>1</w:t>
      </w:r>
      <w:r>
        <w:rPr>
          <w:color w:val="0000FF"/>
          <w:sz w:val="24"/>
          <w:szCs w:val="24"/>
        </w:rPr>
        <w:t>代配子保留12.7%的母代DMRs，其子代（F</w:t>
      </w:r>
      <w:r>
        <w:rPr>
          <w:color w:val="0000FF"/>
          <w:sz w:val="24"/>
          <w:szCs w:val="24"/>
          <w:vertAlign w:val="subscript"/>
        </w:rPr>
        <w:t>2</w:t>
      </w:r>
      <w:r>
        <w:rPr>
          <w:color w:val="0000FF"/>
          <w:sz w:val="24"/>
          <w:szCs w:val="24"/>
        </w:rPr>
        <w:t>）在高温胁迫（30℃）下的存活率提升23.4%（vs.</w:t>
      </w:r>
      <w:r>
        <w:rPr>
          <w:rFonts w:hint="eastAsia"/>
          <w:color w:val="0000FF"/>
          <w:sz w:val="24"/>
          <w:szCs w:val="24"/>
        </w:rPr>
        <w:t xml:space="preserve"> </w:t>
      </w:r>
      <w:r>
        <w:rPr>
          <w:color w:val="0000FF"/>
          <w:sz w:val="24"/>
          <w:szCs w:val="24"/>
        </w:rPr>
        <w:t>对照组），证实表观遗传记忆的环境适应性，可跨代记忆形成</w:t>
      </w:r>
      <w:r>
        <w:rPr>
          <w:color w:val="0000FF"/>
          <w:sz w:val="24"/>
          <w:szCs w:val="24"/>
          <w:vertAlign w:val="superscript"/>
        </w:rPr>
        <w:t>[39]</w:t>
      </w:r>
      <w:r>
        <w:rPr>
          <w:color w:val="0000FF"/>
          <w:sz w:val="24"/>
          <w:szCs w:val="24"/>
        </w:rPr>
        <w:t>。</w:t>
      </w:r>
      <w:r>
        <w:rPr>
          <w:sz w:val="24"/>
          <w:szCs w:val="24"/>
          <w:u w:val="single"/>
        </w:rPr>
        <w:t>因此，</w:t>
      </w:r>
      <w:r>
        <w:rPr>
          <w:color w:val="0000FF"/>
          <w:sz w:val="24"/>
          <w:szCs w:val="24"/>
          <w:u w:val="single"/>
        </w:rPr>
        <w:t>胁迫诱导DNA甲基化可形成跨代表观遗传“记忆”，</w:t>
      </w:r>
      <w:r>
        <w:rPr>
          <w:sz w:val="24"/>
          <w:szCs w:val="24"/>
          <w:u w:val="single"/>
        </w:rPr>
        <w:t>通过生殖系细胞传递增强子代环境适应性。上述机制表明，环境驱动的表观遗传修饰可能是软体动物生殖可塑性的重要调控枢纽</w:t>
      </w:r>
      <w:r>
        <w:rPr>
          <w:sz w:val="24"/>
          <w:szCs w:val="24"/>
        </w:rPr>
        <w:t>。</w:t>
      </w:r>
    </w:p>
    <w:p w14:paraId="56DA8B89">
      <w:pPr>
        <w:spacing w:line="360" w:lineRule="auto"/>
        <w:ind w:firstLine="480" w:firstLineChars="200"/>
        <w:rPr>
          <w:sz w:val="24"/>
          <w:szCs w:val="24"/>
        </w:rPr>
      </w:pPr>
      <w:r>
        <w:rPr>
          <w:sz w:val="24"/>
          <w:szCs w:val="24"/>
        </w:rPr>
        <w:t>作为软体动物中表观遗传研究的薄弱类群，头足类近期研究取得重要突破：</w:t>
      </w:r>
      <w:r>
        <w:rPr>
          <w:sz w:val="24"/>
        </w:rPr>
        <w:t>Díaz-Freije</w:t>
      </w:r>
      <w:r>
        <w:rPr>
          <w:sz w:val="24"/>
          <w:szCs w:val="24"/>
        </w:rPr>
        <w:t>等采用甲基化敏感扩增多态性技术（MSAP）揭示真蛸早期幼体呈现高胞苷甲基化特征（全基因组平均甲基化水平58.3±4.7%），其中</w:t>
      </w:r>
      <w:r>
        <w:rPr>
          <w:i/>
          <w:iCs/>
          <w:sz w:val="24"/>
          <w:szCs w:val="24"/>
        </w:rPr>
        <w:t>Hox</w:t>
      </w:r>
      <w:r>
        <w:rPr>
          <w:sz w:val="24"/>
          <w:szCs w:val="24"/>
        </w:rPr>
        <w:t>基因簇异常高甲基化（Δβ=0.41，FDR&lt;0.01）导致发育相关基因（如</w:t>
      </w:r>
      <w:r>
        <w:rPr>
          <w:i/>
          <w:iCs/>
          <w:sz w:val="24"/>
          <w:szCs w:val="24"/>
        </w:rPr>
        <w:t>HoxA3</w:t>
      </w:r>
      <w:r>
        <w:rPr>
          <w:sz w:val="24"/>
          <w:szCs w:val="24"/>
        </w:rPr>
        <w:t>表达量下降3.8倍）沉默，显著提高早期死亡率（高甲基化组存活率23.1% vs.</w:t>
      </w:r>
      <w:r>
        <w:rPr>
          <w:rFonts w:hint="eastAsia"/>
          <w:sz w:val="24"/>
          <w:szCs w:val="24"/>
        </w:rPr>
        <w:t xml:space="preserve"> </w:t>
      </w:r>
      <w:r>
        <w:rPr>
          <w:sz w:val="24"/>
          <w:szCs w:val="24"/>
        </w:rPr>
        <w:t>正常组67.4%）</w:t>
      </w:r>
      <w:r>
        <w:rPr>
          <w:sz w:val="24"/>
          <w:szCs w:val="24"/>
          <w:vertAlign w:val="superscript"/>
        </w:rPr>
        <w:t>[39]</w:t>
      </w:r>
      <w:r>
        <w:rPr>
          <w:sz w:val="24"/>
          <w:szCs w:val="24"/>
        </w:rPr>
        <w:t>。比较表观基因组学显示，头足类全基因组甲基化水平显著高于双壳类：金乌贼（</w:t>
      </w:r>
      <w:r>
        <w:rPr>
          <w:i/>
          <w:iCs/>
          <w:sz w:val="24"/>
          <w:szCs w:val="24"/>
        </w:rPr>
        <w:t>Sepia esculenta</w:t>
      </w:r>
      <w:r>
        <w:rPr>
          <w:sz w:val="24"/>
          <w:szCs w:val="24"/>
        </w:rPr>
        <w:t>）性腺组织甲基化率为42.46±3.1%，短蛸（</w:t>
      </w:r>
      <w:r>
        <w:rPr>
          <w:i/>
          <w:iCs/>
          <w:sz w:val="24"/>
          <w:szCs w:val="24"/>
        </w:rPr>
        <w:t>Octopus ocellatus</w:t>
      </w:r>
      <w:r>
        <w:rPr>
          <w:sz w:val="24"/>
          <w:szCs w:val="24"/>
        </w:rPr>
        <w:t>）外套膜组织为23.97±2.8%（BS-seq数据），而大珠母贝（</w:t>
      </w:r>
      <w:r>
        <w:rPr>
          <w:i/>
          <w:iCs/>
          <w:sz w:val="24"/>
          <w:szCs w:val="24"/>
        </w:rPr>
        <w:t>Pinctada maxima</w:t>
      </w:r>
      <w:r>
        <w:rPr>
          <w:sz w:val="24"/>
          <w:szCs w:val="24"/>
        </w:rPr>
        <w:t>）对应组织仅15.48~19.61%，提示头足类可能通过表观基因组可塑性增强环境适应性</w:t>
      </w:r>
      <w:r>
        <w:rPr>
          <w:sz w:val="24"/>
          <w:szCs w:val="24"/>
          <w:vertAlign w:val="superscript"/>
        </w:rPr>
        <w:t>[39-41]</w:t>
      </w:r>
      <w:r>
        <w:rPr>
          <w:sz w:val="24"/>
          <w:szCs w:val="24"/>
        </w:rPr>
        <w:t>。玛雅章鱼（</w:t>
      </w:r>
      <w:r>
        <w:rPr>
          <w:i/>
          <w:iCs/>
          <w:sz w:val="24"/>
          <w:szCs w:val="24"/>
        </w:rPr>
        <w:t>Octopus maya</w:t>
      </w:r>
      <w:r>
        <w:rPr>
          <w:sz w:val="24"/>
          <w:szCs w:val="24"/>
        </w:rPr>
        <w:t>）胚胎暴露于高温胁迫（30℃）时，生殖细胞8-羟基-2’-脱氧鸟苷（8-OHdG）水平升高7.2倍（LC-MS/MS检测），其通过空间位阻效应抑制DNMT3B甲基转移酶活性（酶活降低64%），导致全局甲基化水平下降18.3%，</w:t>
      </w:r>
      <w:r>
        <w:rPr>
          <w:color w:val="0000FF"/>
          <w:sz w:val="24"/>
          <w:szCs w:val="24"/>
        </w:rPr>
        <w:t>最终引发胚胎孵化率降</w:t>
      </w:r>
      <w:r>
        <w:rPr>
          <w:sz w:val="24"/>
          <w:szCs w:val="24"/>
        </w:rPr>
        <w:t>低至41.5±6.3%（vs</w:t>
      </w:r>
      <w:r>
        <w:rPr>
          <w:rFonts w:hint="eastAsia"/>
          <w:sz w:val="24"/>
          <w:szCs w:val="24"/>
        </w:rPr>
        <w:t xml:space="preserve">. </w:t>
      </w:r>
      <w:r>
        <w:rPr>
          <w:sz w:val="24"/>
          <w:szCs w:val="24"/>
        </w:rPr>
        <w:t>对照组82.7±5.1%）</w:t>
      </w:r>
      <w:r>
        <w:rPr>
          <w:sz w:val="24"/>
          <w:szCs w:val="24"/>
          <w:vertAlign w:val="superscript"/>
        </w:rPr>
        <w:t>[42]</w:t>
      </w:r>
      <w:r>
        <w:rPr>
          <w:sz w:val="24"/>
          <w:szCs w:val="24"/>
        </w:rPr>
        <w:t>。</w:t>
      </w:r>
      <w:r>
        <w:rPr>
          <w:sz w:val="24"/>
          <w:u w:val="single"/>
        </w:rPr>
        <w:t>上述研究表明，头足类短生命周期物种的跨代遗传在一定程度上依赖DNA甲基化稳定性</w:t>
      </w:r>
      <w:r>
        <w:rPr>
          <w:sz w:val="24"/>
        </w:rPr>
        <w:t>。</w:t>
      </w:r>
      <w:r>
        <w:rPr>
          <w:sz w:val="24"/>
          <w:szCs w:val="24"/>
        </w:rPr>
        <w:t>虎斑乌贼作为典型r-策略物种、</w:t>
      </w:r>
      <w:r>
        <w:rPr>
          <w:sz w:val="24"/>
        </w:rPr>
        <w:t>一年两代繁殖</w:t>
      </w:r>
      <w:r>
        <w:rPr>
          <w:sz w:val="24"/>
          <w:szCs w:val="24"/>
        </w:rPr>
        <w:t>，其全人工繁育面临受精率低（&lt;35%）、幼</w:t>
      </w:r>
      <w:r>
        <w:rPr>
          <w:rFonts w:hint="eastAsia"/>
          <w:sz w:val="24"/>
          <w:szCs w:val="24"/>
        </w:rPr>
        <w:t>乌贼</w:t>
      </w:r>
      <w:r>
        <w:rPr>
          <w:sz w:val="24"/>
          <w:szCs w:val="24"/>
        </w:rPr>
        <w:t>存活率差（&lt;20%）等产业瓶颈</w:t>
      </w:r>
      <w:r>
        <w:rPr>
          <w:sz w:val="24"/>
          <w:szCs w:val="24"/>
          <w:vertAlign w:val="superscript"/>
        </w:rPr>
        <w:t>[43-45]</w:t>
      </w:r>
      <w:r>
        <w:rPr>
          <w:sz w:val="24"/>
          <w:szCs w:val="24"/>
        </w:rPr>
        <w:t>。</w:t>
      </w:r>
      <w:r>
        <w:rPr>
          <w:sz w:val="24"/>
          <w:szCs w:val="24"/>
          <w:u w:val="single"/>
        </w:rPr>
        <w:t>本课题组前期已完成：1）染色体水平基因组构建（</w:t>
      </w:r>
      <w:r>
        <w:rPr>
          <w:rFonts w:hint="eastAsia"/>
          <w:sz w:val="24"/>
          <w:szCs w:val="24"/>
          <w:u w:val="single"/>
        </w:rPr>
        <w:t>c</w:t>
      </w:r>
      <w:r>
        <w:rPr>
          <w:sz w:val="24"/>
          <w:szCs w:val="24"/>
          <w:u w:val="single"/>
        </w:rPr>
        <w:t>ontig N50=</w:t>
      </w:r>
      <w:r>
        <w:rPr>
          <w:rFonts w:hint="eastAsia"/>
          <w:sz w:val="24"/>
          <w:szCs w:val="24"/>
          <w:u w:val="single"/>
        </w:rPr>
        <w:t>0</w:t>
      </w:r>
      <w:r>
        <w:rPr>
          <w:sz w:val="24"/>
          <w:szCs w:val="24"/>
          <w:u w:val="single"/>
        </w:rPr>
        <w:t>.</w:t>
      </w:r>
      <w:r>
        <w:rPr>
          <w:rFonts w:hint="eastAsia"/>
          <w:sz w:val="24"/>
          <w:szCs w:val="24"/>
          <w:u w:val="single"/>
        </w:rPr>
        <w:t>8</w:t>
      </w:r>
      <w:r>
        <w:rPr>
          <w:sz w:val="24"/>
          <w:szCs w:val="24"/>
          <w:u w:val="single"/>
        </w:rPr>
        <w:t>3 Mb</w:t>
      </w:r>
      <w:r>
        <w:rPr>
          <w:rFonts w:hint="eastAsia"/>
          <w:sz w:val="24"/>
          <w:szCs w:val="24"/>
          <w:u w:val="single"/>
        </w:rPr>
        <w:t>，</w:t>
      </w:r>
      <w:r>
        <w:rPr>
          <w:sz w:val="24"/>
          <w:szCs w:val="24"/>
          <w:u w:val="single"/>
        </w:rPr>
        <w:t>scaffold</w:t>
      </w:r>
      <w:r>
        <w:rPr>
          <w:rFonts w:hint="eastAsia"/>
          <w:sz w:val="24"/>
          <w:szCs w:val="24"/>
          <w:u w:val="single"/>
        </w:rPr>
        <w:t xml:space="preserve"> </w:t>
      </w:r>
      <w:r>
        <w:rPr>
          <w:sz w:val="24"/>
          <w:szCs w:val="24"/>
          <w:u w:val="single"/>
        </w:rPr>
        <w:t>N50=104.3 Mb，BUSCO完整度97.8%），注释</w:t>
      </w:r>
      <w:r>
        <w:rPr>
          <w:i/>
          <w:iCs/>
          <w:sz w:val="24"/>
          <w:szCs w:val="24"/>
          <w:u w:val="single"/>
        </w:rPr>
        <w:t>ER</w:t>
      </w:r>
      <w:r>
        <w:rPr>
          <w:sz w:val="24"/>
          <w:szCs w:val="24"/>
          <w:u w:val="single"/>
        </w:rPr>
        <w:t>信号通路基因27个；2）鉴定</w:t>
      </w:r>
      <w:r>
        <w:rPr>
          <w:i/>
          <w:iCs/>
          <w:sz w:val="24"/>
          <w:szCs w:val="24"/>
          <w:u w:val="single"/>
        </w:rPr>
        <w:t>ER</w:t>
      </w:r>
      <w:r>
        <w:rPr>
          <w:sz w:val="24"/>
          <w:szCs w:val="24"/>
          <w:u w:val="single"/>
        </w:rPr>
        <w:t>相关差异甲基化区域（DMRs）27个（|Δβ|≥0.3，FDR&lt;0.05），其中12个位于</w:t>
      </w:r>
      <w:r>
        <w:rPr>
          <w:i/>
          <w:iCs/>
          <w:sz w:val="24"/>
          <w:szCs w:val="24"/>
          <w:u w:val="single"/>
        </w:rPr>
        <w:t>vtg</w:t>
      </w:r>
      <w:r>
        <w:rPr>
          <w:sz w:val="24"/>
          <w:szCs w:val="24"/>
          <w:u w:val="single"/>
        </w:rPr>
        <w:t>、</w:t>
      </w:r>
      <w:r>
        <w:rPr>
          <w:i/>
          <w:iCs/>
          <w:sz w:val="24"/>
          <w:szCs w:val="24"/>
          <w:u w:val="single"/>
        </w:rPr>
        <w:t>GnRHR</w:t>
      </w:r>
      <w:r>
        <w:rPr>
          <w:sz w:val="24"/>
          <w:szCs w:val="24"/>
          <w:u w:val="single"/>
        </w:rPr>
        <w:t>等生殖基因启动子区</w:t>
      </w:r>
      <w:r>
        <w:rPr>
          <w:sz w:val="24"/>
          <w:szCs w:val="24"/>
        </w:rPr>
        <w:t>。因此，本课题拟解决核心科学问题：</w:t>
      </w:r>
      <w:r>
        <w:rPr>
          <w:b/>
          <w:bCs/>
          <w:sz w:val="24"/>
          <w:szCs w:val="24"/>
          <w:u w:val="single"/>
        </w:rPr>
        <w:t>环境胁迫如何通过</w:t>
      </w:r>
      <w:r>
        <w:rPr>
          <w:b/>
          <w:bCs/>
          <w:i/>
          <w:iCs/>
          <w:sz w:val="24"/>
          <w:szCs w:val="24"/>
          <w:u w:val="single"/>
        </w:rPr>
        <w:t>ER</w:t>
      </w:r>
      <w:r>
        <w:rPr>
          <w:b/>
          <w:bCs/>
          <w:sz w:val="24"/>
          <w:szCs w:val="24"/>
          <w:u w:val="single"/>
        </w:rPr>
        <w:t>信号通路介导的生殖细胞表观遗传重编程，调控虎斑乌贼繁殖效能的跨代可塑性</w:t>
      </w:r>
      <w:r>
        <w:rPr>
          <w:b/>
          <w:bCs/>
          <w:sz w:val="24"/>
          <w:szCs w:val="24"/>
        </w:rPr>
        <w:t>？</w:t>
      </w:r>
      <w:r>
        <w:rPr>
          <w:sz w:val="24"/>
          <w:szCs w:val="24"/>
        </w:rPr>
        <w:t>基于此，本研究拟开展以下工作：</w:t>
      </w:r>
      <w:r>
        <w:rPr>
          <w:b/>
          <w:bCs/>
          <w:sz w:val="24"/>
          <w:szCs w:val="24"/>
        </w:rPr>
        <w:t>1）</w:t>
      </w:r>
      <w:r>
        <w:rPr>
          <w:b/>
          <w:bCs/>
          <w:color w:val="0000FF"/>
          <w:sz w:val="24"/>
          <w:szCs w:val="24"/>
        </w:rPr>
        <w:t>构建“DNA甲基化组-转录组”多组</w:t>
      </w:r>
      <w:r>
        <w:rPr>
          <w:b/>
          <w:bCs/>
          <w:sz w:val="24"/>
          <w:szCs w:val="24"/>
        </w:rPr>
        <w:t>学关联网络，系统解析</w:t>
      </w:r>
      <w:r>
        <w:rPr>
          <w:b/>
          <w:bCs/>
          <w:i/>
          <w:iCs/>
          <w:color w:val="0000FF"/>
          <w:sz w:val="24"/>
          <w:szCs w:val="24"/>
        </w:rPr>
        <w:t>ER</w:t>
      </w:r>
      <w:r>
        <w:rPr>
          <w:b/>
          <w:bCs/>
          <w:color w:val="0000FF"/>
          <w:sz w:val="24"/>
          <w:szCs w:val="24"/>
        </w:rPr>
        <w:t>信号通路</w:t>
      </w:r>
      <w:r>
        <w:rPr>
          <w:b/>
          <w:bCs/>
          <w:sz w:val="24"/>
          <w:szCs w:val="24"/>
        </w:rPr>
        <w:t>相关DMRs的动态特征，通过CRISPR/Cas9介导的靶向甲基化编辑技术进行功能验证；2）</w:t>
      </w:r>
      <w:r>
        <w:rPr>
          <w:b/>
          <w:bCs/>
          <w:color w:val="0000FF"/>
          <w:sz w:val="24"/>
          <w:szCs w:val="24"/>
        </w:rPr>
        <w:t>建立温度梯度胁迫模型</w:t>
      </w:r>
      <w:r>
        <w:rPr>
          <w:b/>
          <w:bCs/>
          <w:sz w:val="24"/>
          <w:szCs w:val="24"/>
        </w:rPr>
        <w:t>，结合单细胞甲基化测序（scMethyl-Seq）追踪生殖细胞表观遗传记忆的跨代传递规律，构建</w:t>
      </w:r>
      <w:r>
        <w:rPr>
          <w:b/>
          <w:bCs/>
          <w:color w:val="0000FF"/>
          <w:sz w:val="24"/>
          <w:szCs w:val="24"/>
        </w:rPr>
        <w:t>“环境胁迫-表观重编程-子代转录响应”的定量关联</w:t>
      </w:r>
      <w:r>
        <w:rPr>
          <w:b/>
          <w:bCs/>
          <w:sz w:val="24"/>
          <w:szCs w:val="24"/>
        </w:rPr>
        <w:t>模型</w:t>
      </w:r>
      <w:r>
        <w:rPr>
          <w:sz w:val="24"/>
          <w:szCs w:val="24"/>
        </w:rPr>
        <w:t>。</w:t>
      </w:r>
    </w:p>
    <w:p w14:paraId="03336D46">
      <w:pPr>
        <w:spacing w:line="360" w:lineRule="auto"/>
        <w:jc w:val="center"/>
        <w:rPr>
          <w:b/>
          <w:bCs/>
          <w:sz w:val="24"/>
        </w:rPr>
      </w:pPr>
      <w:r>
        <w:rPr>
          <w:b/>
          <w:bCs/>
          <w:sz w:val="24"/>
        </w:rPr>
        <w:drawing>
          <wp:inline distT="0" distB="0" distL="0" distR="0">
            <wp:extent cx="4883785" cy="2290445"/>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4">
                      <a:extLst>
                        <a:ext uri="{BEBA8EAE-BF5A-486C-A8C5-ECC9F3942E4B}">
                          <a14:imgProps xmlns:a14="http://schemas.microsoft.com/office/drawing/2010/main">
                            <a14:imgLayer r:embed="rId5">
                              <a14:imgEffect>
                                <a14:brightnessContrast contrast="5000"/>
                              </a14:imgEffect>
                              <a14:imgEffect>
                                <a14:sharpenSoften amount="5000"/>
                              </a14:imgEffect>
                            </a14:imgLayer>
                          </a14:imgProps>
                        </a:ext>
                      </a:extLst>
                    </a:blip>
                    <a:stretch>
                      <a:fillRect/>
                    </a:stretch>
                  </pic:blipFill>
                  <pic:spPr>
                    <a:xfrm>
                      <a:off x="0" y="0"/>
                      <a:ext cx="4899067" cy="2297949"/>
                    </a:xfrm>
                    <a:prstGeom prst="rect">
                      <a:avLst/>
                    </a:prstGeom>
                  </pic:spPr>
                </pic:pic>
              </a:graphicData>
            </a:graphic>
          </wp:inline>
        </w:drawing>
      </w:r>
    </w:p>
    <w:p w14:paraId="66F3BD8A">
      <w:pPr>
        <w:spacing w:line="360" w:lineRule="auto"/>
        <w:jc w:val="center"/>
        <w:rPr>
          <w:sz w:val="24"/>
        </w:rPr>
      </w:pPr>
      <w:r>
        <w:rPr>
          <w:rFonts w:hint="eastAsia"/>
          <w:sz w:val="24"/>
        </w:rPr>
        <w:t>图2.</w:t>
      </w:r>
      <w:r>
        <w:t xml:space="preserve"> </w:t>
      </w:r>
      <w:r>
        <w:rPr>
          <w:sz w:val="24"/>
        </w:rPr>
        <w:t>DNA甲基化机制及DNMT结构示意图</w:t>
      </w:r>
      <w:r>
        <w:rPr>
          <w:rFonts w:hint="eastAsia"/>
          <w:sz w:val="24"/>
        </w:rPr>
        <w:t>（引自</w:t>
      </w:r>
      <w:r>
        <w:rPr>
          <w:sz w:val="24"/>
          <w:szCs w:val="24"/>
        </w:rPr>
        <w:t>Goll et al</w:t>
      </w:r>
      <w:r>
        <w:rPr>
          <w:rFonts w:hint="eastAsia"/>
          <w:sz w:val="24"/>
          <w:szCs w:val="24"/>
        </w:rPr>
        <w:t xml:space="preserve">. </w:t>
      </w:r>
      <w:r>
        <w:rPr>
          <w:sz w:val="24"/>
          <w:szCs w:val="24"/>
        </w:rPr>
        <w:t>2006</w:t>
      </w:r>
      <w:r>
        <w:rPr>
          <w:rFonts w:hint="eastAsia"/>
          <w:sz w:val="24"/>
          <w:szCs w:val="24"/>
        </w:rPr>
        <w:t xml:space="preserve">. Science </w:t>
      </w:r>
      <w:r>
        <w:rPr>
          <w:rFonts w:hint="eastAsia"/>
          <w:sz w:val="24"/>
          <w:vertAlign w:val="superscript"/>
        </w:rPr>
        <w:t>[43</w:t>
      </w:r>
      <w:r>
        <w:rPr>
          <w:sz w:val="24"/>
          <w:vertAlign w:val="superscript"/>
        </w:rPr>
        <w:t>]</w:t>
      </w:r>
      <w:r>
        <w:rPr>
          <w:rFonts w:hint="eastAsia"/>
          <w:sz w:val="24"/>
        </w:rPr>
        <w:t>）</w:t>
      </w:r>
    </w:p>
    <w:p w14:paraId="2FBB504C">
      <w:pPr>
        <w:spacing w:line="360" w:lineRule="auto"/>
        <w:jc w:val="center"/>
        <w:rPr>
          <w:szCs w:val="20"/>
        </w:rPr>
      </w:pPr>
      <w:r>
        <w:rPr>
          <w:rFonts w:hint="eastAsia"/>
          <w:szCs w:val="20"/>
        </w:rPr>
        <w:t>（</w:t>
      </w:r>
      <w:r>
        <w:rPr>
          <w:szCs w:val="20"/>
        </w:rPr>
        <w:t>A</w:t>
      </w:r>
      <w:r>
        <w:rPr>
          <w:rFonts w:hint="eastAsia"/>
          <w:szCs w:val="20"/>
        </w:rPr>
        <w:t>）D</w:t>
      </w:r>
      <w:r>
        <w:rPr>
          <w:szCs w:val="20"/>
        </w:rPr>
        <w:t>NA</w:t>
      </w:r>
      <w:r>
        <w:rPr>
          <w:rFonts w:hint="eastAsia"/>
          <w:szCs w:val="20"/>
        </w:rPr>
        <w:t>甲基化过程；（</w:t>
      </w:r>
      <w:r>
        <w:rPr>
          <w:szCs w:val="20"/>
        </w:rPr>
        <w:t>B</w:t>
      </w:r>
      <w:r>
        <w:rPr>
          <w:rFonts w:hint="eastAsia"/>
          <w:szCs w:val="20"/>
        </w:rPr>
        <w:t>）</w:t>
      </w:r>
      <w:r>
        <w:rPr>
          <w:szCs w:val="20"/>
        </w:rPr>
        <w:t>DNMTs分子结构</w:t>
      </w:r>
    </w:p>
    <w:p w14:paraId="60452444"/>
    <w:p w14:paraId="6F544343">
      <w:pPr>
        <w:spacing w:line="360" w:lineRule="auto"/>
        <w:rPr>
          <w:b/>
          <w:bCs/>
          <w:sz w:val="24"/>
        </w:rPr>
      </w:pPr>
      <w:r>
        <w:rPr>
          <w:b/>
          <w:bCs/>
          <w:sz w:val="24"/>
        </w:rPr>
        <w:t>（3）温度胁迫ER通路关键基因DNA甲基化动态响应与表达调控偶联机制</w:t>
      </w:r>
    </w:p>
    <w:p w14:paraId="0EA560A5">
      <w:pPr>
        <w:spacing w:line="360" w:lineRule="auto"/>
        <w:ind w:firstLine="480" w:firstLineChars="200"/>
        <w:rPr>
          <w:sz w:val="24"/>
        </w:rPr>
      </w:pPr>
      <w:r>
        <w:rPr>
          <w:color w:val="0000FF"/>
          <w:sz w:val="24"/>
        </w:rPr>
        <w:t>针对养殖水体温度波动导致生殖衰退的现象</w:t>
      </w:r>
      <w:r>
        <w:rPr>
          <w:sz w:val="24"/>
        </w:rPr>
        <w:t>，</w:t>
      </w:r>
      <w:r>
        <w:rPr>
          <w:color w:val="0000FF"/>
          <w:sz w:val="24"/>
        </w:rPr>
        <w:t>解析</w:t>
      </w:r>
      <w:r>
        <w:rPr>
          <w:rFonts w:hint="eastAsia"/>
          <w:color w:val="0000FF"/>
          <w:sz w:val="24"/>
        </w:rPr>
        <w:t>“</w:t>
      </w:r>
      <w:r>
        <w:rPr>
          <w:color w:val="0000FF"/>
          <w:sz w:val="24"/>
        </w:rPr>
        <w:t>温度胁迫-DNA甲基化-基因表达</w:t>
      </w:r>
      <w:r>
        <w:rPr>
          <w:rFonts w:hint="eastAsia"/>
          <w:color w:val="0000FF"/>
          <w:sz w:val="24"/>
        </w:rPr>
        <w:t>”</w:t>
      </w:r>
      <w:r>
        <w:rPr>
          <w:color w:val="0000FF"/>
          <w:sz w:val="24"/>
        </w:rPr>
        <w:t>的因果调控链</w:t>
      </w:r>
      <w:r>
        <w:rPr>
          <w:sz w:val="24"/>
        </w:rPr>
        <w:t>。设计可控实验，模拟养殖中剧烈温度波动（ΔT≥7 ℃），设置不同温度梯度胁迫处理</w:t>
      </w:r>
      <w:r>
        <w:rPr>
          <w:color w:val="FF0000"/>
          <w:sz w:val="24"/>
        </w:rPr>
        <w:t>（对照处理、ΔT≤3 ℃、ΔT≥7 ℃）</w:t>
      </w:r>
      <w:r>
        <w:rPr>
          <w:sz w:val="24"/>
        </w:rPr>
        <w:t>，对性腺发育关键时期雌性个体进行全基因组亚硫酸氢盐测序</w:t>
      </w:r>
      <w:r>
        <w:rPr>
          <w:color w:val="FF0000"/>
          <w:sz w:val="24"/>
        </w:rPr>
        <w:t>（WGBS）</w:t>
      </w:r>
      <w:r>
        <w:rPr>
          <w:sz w:val="24"/>
        </w:rPr>
        <w:t>与转录组测序（RNA-seq）联合分析，鉴定</w:t>
      </w:r>
      <w:r>
        <w:rPr>
          <w:i/>
          <w:iCs/>
          <w:sz w:val="24"/>
        </w:rPr>
        <w:t>ER</w:t>
      </w:r>
      <w:r>
        <w:rPr>
          <w:sz w:val="24"/>
        </w:rPr>
        <w:t>、</w:t>
      </w:r>
      <w:r>
        <w:rPr>
          <w:i/>
          <w:iCs/>
          <w:sz w:val="24"/>
        </w:rPr>
        <w:t>GnRHR</w:t>
      </w:r>
      <w:r>
        <w:rPr>
          <w:sz w:val="24"/>
        </w:rPr>
        <w:t>、</w:t>
      </w:r>
      <w:r>
        <w:rPr>
          <w:i/>
          <w:iCs/>
          <w:sz w:val="24"/>
        </w:rPr>
        <w:t>vtg</w:t>
      </w:r>
      <w:r>
        <w:rPr>
          <w:sz w:val="24"/>
        </w:rPr>
        <w:t>等关键基因调控区的温度响应型差异甲基化区域（DMRs）。筛选并鉴定响应热胁迫的差异甲基化区域（DMRs），分析CpG位点甲基化水平与基因表达量的相关性。进一步，利用荧光素酶报告载体甲基化修饰技术，在细胞水平验证关键DMRs甲基化状态改变对转录因子结合及基因转录活性的直接影响。从而验证</w:t>
      </w:r>
      <w:r>
        <w:rPr>
          <w:rFonts w:hint="eastAsia"/>
          <w:sz w:val="24"/>
        </w:rPr>
        <w:t>“</w:t>
      </w:r>
      <w:r>
        <w:rPr>
          <w:sz w:val="24"/>
        </w:rPr>
        <w:t>温度波动→特定DMRs甲基化改变→ER/GnRHR/Vtg表达失调</w:t>
      </w:r>
      <w:r>
        <w:rPr>
          <w:rFonts w:hint="eastAsia"/>
          <w:sz w:val="24"/>
        </w:rPr>
        <w:t>”</w:t>
      </w:r>
      <w:r>
        <w:rPr>
          <w:sz w:val="24"/>
        </w:rPr>
        <w:t>这一核心假设环节。</w:t>
      </w:r>
    </w:p>
    <w:p w14:paraId="797964CB">
      <w:pPr>
        <w:spacing w:line="360" w:lineRule="auto"/>
        <w:rPr>
          <w:b/>
          <w:bCs/>
          <w:sz w:val="24"/>
        </w:rPr>
      </w:pPr>
      <w:r>
        <w:rPr>
          <w:b/>
          <w:bCs/>
          <w:sz w:val="24"/>
        </w:rPr>
        <w:t>（4）ER通路相关表观遗传印记的跨代传递及其对生殖表型影响验证</w:t>
      </w:r>
    </w:p>
    <w:p w14:paraId="411CAB32">
      <w:pPr>
        <w:snapToGrid w:val="0"/>
        <w:spacing w:line="440" w:lineRule="exact"/>
        <w:ind w:firstLine="480" w:firstLineChars="200"/>
        <w:rPr>
          <w:sz w:val="24"/>
        </w:rPr>
      </w:pPr>
      <w:r>
        <w:rPr>
          <w:sz w:val="24"/>
        </w:rPr>
        <w:t>本研究在明确环境诱导表观修饰机制基础上，深入探究表观记忆的遗传稳定性，解答</w:t>
      </w:r>
      <w:r>
        <w:rPr>
          <w:rFonts w:hint="eastAsia"/>
          <w:sz w:val="24"/>
        </w:rPr>
        <w:t>“</w:t>
      </w:r>
      <w:r>
        <w:rPr>
          <w:sz w:val="24"/>
        </w:rPr>
        <w:t>环境诱导的甲基化印记能否跨代传递并影响子代生殖表型</w:t>
      </w:r>
      <w:r>
        <w:rPr>
          <w:rFonts w:hint="eastAsia"/>
          <w:sz w:val="24"/>
        </w:rPr>
        <w:t>”</w:t>
      </w:r>
      <w:r>
        <w:rPr>
          <w:sz w:val="24"/>
        </w:rPr>
        <w:t>的关键问题。建立温度胁迫的跨代实验体系</w:t>
      </w:r>
      <w:r>
        <w:rPr>
          <w:color w:val="4472C4" w:themeColor="accent1"/>
          <w:sz w:val="24"/>
          <w14:textFill>
            <w14:solidFill>
              <w14:schemeClr w14:val="accent1"/>
            </w14:solidFill>
          </w14:textFill>
        </w:rPr>
        <w:t>（F</w:t>
      </w:r>
      <w:r>
        <w:rPr>
          <w:color w:val="4472C4" w:themeColor="accent1"/>
          <w:sz w:val="24"/>
          <w:vertAlign w:val="subscript"/>
          <w14:textFill>
            <w14:solidFill>
              <w14:schemeClr w14:val="accent1"/>
            </w14:solidFill>
          </w14:textFill>
        </w:rPr>
        <w:t>0</w:t>
      </w:r>
      <w:r>
        <w:rPr>
          <w:color w:val="4472C4" w:themeColor="accent1"/>
          <w:sz w:val="24"/>
          <w14:textFill>
            <w14:solidFill>
              <w14:schemeClr w14:val="accent1"/>
            </w14:solidFill>
          </w14:textFill>
        </w:rPr>
        <w:t>母代处理-F</w:t>
      </w:r>
      <w:r>
        <w:rPr>
          <w:color w:val="4472C4" w:themeColor="accent1"/>
          <w:sz w:val="24"/>
          <w:vertAlign w:val="subscript"/>
          <w14:textFill>
            <w14:solidFill>
              <w14:schemeClr w14:val="accent1"/>
            </w14:solidFill>
          </w14:textFill>
        </w:rPr>
        <w:t>1</w:t>
      </w:r>
      <w:r>
        <w:rPr>
          <w:color w:val="4472C4" w:themeColor="accent1"/>
          <w:sz w:val="24"/>
          <w14:textFill>
            <w14:solidFill>
              <w14:schemeClr w14:val="accent1"/>
            </w14:solidFill>
          </w14:textFill>
        </w:rPr>
        <w:t>子代-F</w:t>
      </w:r>
      <w:r>
        <w:rPr>
          <w:color w:val="4472C4" w:themeColor="accent1"/>
          <w:sz w:val="24"/>
          <w:vertAlign w:val="subscript"/>
          <w14:textFill>
            <w14:solidFill>
              <w14:schemeClr w14:val="accent1"/>
            </w14:solidFill>
          </w14:textFill>
        </w:rPr>
        <w:t>2</w:t>
      </w:r>
      <w:r>
        <w:rPr>
          <w:color w:val="4472C4" w:themeColor="accent1"/>
          <w:sz w:val="24"/>
          <w14:textFill>
            <w14:solidFill>
              <w14:schemeClr w14:val="accent1"/>
            </w14:solidFill>
          </w14:textFill>
        </w:rPr>
        <w:t>孙代）</w:t>
      </w:r>
      <w:r>
        <w:rPr>
          <w:sz w:val="24"/>
        </w:rPr>
        <w:t>，通过WGBS追踪ER通路关键基因DMRs在卵母细胞、受精卵及早期胚胎中的动态变化，鉴定能够逃逸受精后表观重编程的稳定遗传标记。其次，通过测定不</w:t>
      </w:r>
      <w:bookmarkStart w:id="1" w:name="_GoBack"/>
      <w:bookmarkEnd w:id="1"/>
      <w:r>
        <w:rPr>
          <w:sz w:val="24"/>
        </w:rPr>
        <w:t>同世代的孵化率、性腺发育指数、ER通路基因表达及E</w:t>
      </w:r>
      <w:r>
        <w:rPr>
          <w:sz w:val="24"/>
          <w:vertAlign w:val="subscript"/>
        </w:rPr>
        <w:t>2</w:t>
      </w:r>
      <w:r>
        <w:rPr>
          <w:sz w:val="24"/>
        </w:rPr>
        <w:t>水平，量化评估表观遗传变异对生殖表型的跨代影响效应。进一步，比较F</w:t>
      </w:r>
      <w:r>
        <w:rPr>
          <w:sz w:val="24"/>
          <w:vertAlign w:val="subscript"/>
        </w:rPr>
        <w:t>0</w:t>
      </w:r>
      <w:r>
        <w:rPr>
          <w:sz w:val="24"/>
        </w:rPr>
        <w:t>代体细胞、F</w:t>
      </w:r>
      <w:r>
        <w:rPr>
          <w:sz w:val="24"/>
          <w:vertAlign w:val="subscript"/>
        </w:rPr>
        <w:t>1</w:t>
      </w:r>
      <w:r>
        <w:rPr>
          <w:sz w:val="24"/>
        </w:rPr>
        <w:t>代生殖细胞及F</w:t>
      </w:r>
      <w:r>
        <w:rPr>
          <w:sz w:val="24"/>
          <w:vertAlign w:val="subscript"/>
        </w:rPr>
        <w:t>2</w:t>
      </w:r>
      <w:r>
        <w:rPr>
          <w:sz w:val="24"/>
        </w:rPr>
        <w:t>代性腺的甲基化模式，阐明这些胁迫诱导的修饰是部分重编程还是稳定遗传，从而揭示环境胁迫通过ER通路介导的表观遗传变异影响子代繁殖效能的跨代机制，阐明环境胁迫导致养殖群体</w:t>
      </w:r>
      <w:r>
        <w:rPr>
          <w:rFonts w:hint="eastAsia"/>
          <w:sz w:val="24"/>
        </w:rPr>
        <w:t>“</w:t>
      </w:r>
      <w:r>
        <w:rPr>
          <w:sz w:val="24"/>
        </w:rPr>
        <w:t>生殖效能衰退</w:t>
      </w:r>
      <w:r>
        <w:rPr>
          <w:rFonts w:hint="eastAsia"/>
          <w:sz w:val="24"/>
        </w:rPr>
        <w:t>”</w:t>
      </w:r>
      <w:r>
        <w:rPr>
          <w:sz w:val="24"/>
        </w:rPr>
        <w:t>的表观遗传本质，最终构建完整的</w:t>
      </w:r>
      <w:r>
        <w:rPr>
          <w:rFonts w:hint="eastAsia"/>
          <w:color w:val="0000FF"/>
          <w:sz w:val="24"/>
        </w:rPr>
        <w:t>“</w:t>
      </w:r>
      <w:r>
        <w:rPr>
          <w:color w:val="0000FF"/>
          <w:sz w:val="24"/>
        </w:rPr>
        <w:t>环境胁迫→表观遗传重塑→亲本生殖性能下降→印记跨代传递→子代适应/损伤</w:t>
      </w:r>
      <w:r>
        <w:rPr>
          <w:rFonts w:hint="eastAsia"/>
          <w:sz w:val="24"/>
        </w:rPr>
        <w:t>”</w:t>
      </w:r>
      <w:r>
        <w:rPr>
          <w:sz w:val="24"/>
        </w:rPr>
        <w:t>理论模型。</w:t>
      </w:r>
    </w:p>
    <w:p w14:paraId="60A7D4D1"/>
    <w:p w14:paraId="7FF28318">
      <w:r>
        <w:rPr>
          <w:sz w:val="24"/>
          <w:szCs w:val="24"/>
        </w:rPr>
        <w:drawing>
          <wp:inline distT="0" distB="0" distL="0" distR="0">
            <wp:extent cx="5274310" cy="3843655"/>
            <wp:effectExtent l="0" t="0" r="254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74310" cy="3843655"/>
                    </a:xfrm>
                    <a:prstGeom prst="rect">
                      <a:avLst/>
                    </a:prstGeom>
                    <a:noFill/>
                    <a:ln>
                      <a:noFill/>
                    </a:ln>
                  </pic:spPr>
                </pic:pic>
              </a:graphicData>
            </a:graphic>
          </wp:inline>
        </w:drawing>
      </w:r>
    </w:p>
    <w:p w14:paraId="67E07B69">
      <w:pPr>
        <w:spacing w:line="360" w:lineRule="auto"/>
        <w:jc w:val="center"/>
        <w:rPr>
          <w:b/>
          <w:bCs/>
          <w:sz w:val="22"/>
          <w:szCs w:val="20"/>
        </w:rPr>
      </w:pPr>
      <w:r>
        <w:rPr>
          <w:rFonts w:hint="eastAsia"/>
          <w:b/>
          <w:bCs/>
          <w:sz w:val="22"/>
          <w:szCs w:val="22"/>
        </w:rPr>
        <w:t>图</w:t>
      </w:r>
      <w:r>
        <w:rPr>
          <w:b/>
          <w:bCs/>
          <w:sz w:val="22"/>
          <w:szCs w:val="22"/>
        </w:rPr>
        <w:t>4</w:t>
      </w:r>
      <w:r>
        <w:rPr>
          <w:rFonts w:hint="eastAsia"/>
          <w:b/>
          <w:bCs/>
          <w:sz w:val="22"/>
          <w:szCs w:val="22"/>
        </w:rPr>
        <w:t>. 虎斑乌贼ER通路温度胁迫表观遗传调控与跨代传递研究技术路线图</w:t>
      </w:r>
    </w:p>
    <w:p w14:paraId="09EC18CA"/>
    <w:p w14:paraId="5D7C7964"/>
    <w:p w14:paraId="11BD8960"/>
    <w:p w14:paraId="2F4BEA43">
      <w:pPr>
        <w:spacing w:line="360" w:lineRule="auto"/>
        <w:rPr>
          <w:b/>
          <w:bCs/>
          <w:sz w:val="24"/>
          <w:szCs w:val="24"/>
        </w:rPr>
      </w:pPr>
      <w:r>
        <w:rPr>
          <w:rFonts w:hint="eastAsia"/>
          <w:b/>
          <w:bCs/>
          <w:sz w:val="24"/>
          <w:szCs w:val="24"/>
        </w:rPr>
        <w:t>参考文献：</w:t>
      </w:r>
    </w:p>
    <w:p w14:paraId="0E66E3A2">
      <w:pPr>
        <w:pStyle w:val="8"/>
        <w:numPr>
          <w:ilvl w:val="0"/>
          <w:numId w:val="1"/>
        </w:numPr>
        <w:spacing w:line="360" w:lineRule="auto"/>
        <w:ind w:firstLineChars="0"/>
        <w:rPr>
          <w:sz w:val="24"/>
          <w:szCs w:val="24"/>
        </w:rPr>
      </w:pPr>
      <w:r>
        <w:rPr>
          <w:sz w:val="24"/>
          <w:szCs w:val="24"/>
        </w:rPr>
        <w:t>Sun</w:t>
      </w:r>
      <w:r>
        <w:rPr>
          <w:rFonts w:hint="eastAsia"/>
          <w:sz w:val="24"/>
          <w:szCs w:val="24"/>
        </w:rPr>
        <w:t>,</w:t>
      </w:r>
      <w:r>
        <w:rPr>
          <w:sz w:val="24"/>
          <w:szCs w:val="24"/>
        </w:rPr>
        <w:t xml:space="preserve"> D</w:t>
      </w:r>
      <w:r>
        <w:rPr>
          <w:rFonts w:hint="eastAsia"/>
          <w:sz w:val="24"/>
          <w:szCs w:val="24"/>
        </w:rPr>
        <w:t>.</w:t>
      </w:r>
      <w:r>
        <w:rPr>
          <w:sz w:val="24"/>
          <w:szCs w:val="24"/>
        </w:rPr>
        <w:t>, Yu</w:t>
      </w:r>
      <w:r>
        <w:rPr>
          <w:rFonts w:hint="eastAsia"/>
          <w:sz w:val="24"/>
          <w:szCs w:val="24"/>
        </w:rPr>
        <w:t>,</w:t>
      </w:r>
      <w:r>
        <w:rPr>
          <w:sz w:val="24"/>
          <w:szCs w:val="24"/>
        </w:rPr>
        <w:t xml:space="preserve"> H</w:t>
      </w:r>
      <w:r>
        <w:rPr>
          <w:rFonts w:hint="eastAsia"/>
          <w:sz w:val="24"/>
          <w:szCs w:val="24"/>
        </w:rPr>
        <w:t>.</w:t>
      </w:r>
      <w:r>
        <w:rPr>
          <w:sz w:val="24"/>
          <w:szCs w:val="24"/>
        </w:rPr>
        <w:t>, Li</w:t>
      </w:r>
      <w:r>
        <w:rPr>
          <w:rFonts w:hint="eastAsia"/>
          <w:sz w:val="24"/>
          <w:szCs w:val="24"/>
        </w:rPr>
        <w:t>,</w:t>
      </w:r>
      <w:r>
        <w:rPr>
          <w:sz w:val="24"/>
          <w:szCs w:val="24"/>
        </w:rPr>
        <w:t xml:space="preserve"> Q. Examination of the roles of Foxl2 and Dmrt1 in sex differentiation and gonadal development of oysters by using RNA interference[J]. Aquaculture</w:t>
      </w:r>
      <w:r>
        <w:rPr>
          <w:rFonts w:hint="eastAsia"/>
          <w:sz w:val="24"/>
          <w:szCs w:val="24"/>
        </w:rPr>
        <w:t xml:space="preserve">. </w:t>
      </w:r>
      <w:r>
        <w:rPr>
          <w:sz w:val="24"/>
          <w:szCs w:val="24"/>
        </w:rPr>
        <w:t>2022,</w:t>
      </w:r>
      <w:r>
        <w:rPr>
          <w:rFonts w:hint="eastAsia"/>
          <w:sz w:val="24"/>
          <w:szCs w:val="24"/>
        </w:rPr>
        <w:t xml:space="preserve"> </w:t>
      </w:r>
      <w:r>
        <w:rPr>
          <w:sz w:val="24"/>
          <w:szCs w:val="24"/>
        </w:rPr>
        <w:t>548:737732.</w:t>
      </w:r>
    </w:p>
    <w:p w14:paraId="1C3788C8">
      <w:pPr>
        <w:pStyle w:val="8"/>
        <w:numPr>
          <w:ilvl w:val="0"/>
          <w:numId w:val="1"/>
        </w:numPr>
        <w:spacing w:line="360" w:lineRule="auto"/>
        <w:ind w:firstLineChars="0"/>
        <w:rPr>
          <w:sz w:val="24"/>
          <w:szCs w:val="24"/>
        </w:rPr>
      </w:pPr>
      <w:r>
        <w:rPr>
          <w:rFonts w:hint="eastAsia"/>
          <w:sz w:val="24"/>
          <w:szCs w:val="24"/>
        </w:rPr>
        <w:t>姚汶励, 姜鹏, 白俊杰. 17</w:t>
      </w:r>
      <w:r>
        <w:rPr>
          <w:sz w:val="24"/>
          <w:szCs w:val="24"/>
        </w:rPr>
        <w:t>α</w:t>
      </w:r>
      <w:r>
        <w:rPr>
          <w:rFonts w:hint="eastAsia"/>
          <w:sz w:val="24"/>
          <w:szCs w:val="24"/>
        </w:rPr>
        <w:t>-甲基睾酮对草鱼性腺发育及性类固醇激素水平的影响[J].水产学报,2019,43(4):801-808.</w:t>
      </w:r>
    </w:p>
    <w:p w14:paraId="19872CB6">
      <w:pPr>
        <w:pStyle w:val="8"/>
        <w:numPr>
          <w:ilvl w:val="0"/>
          <w:numId w:val="1"/>
        </w:numPr>
        <w:adjustRightInd w:val="0"/>
        <w:snapToGrid w:val="0"/>
        <w:spacing w:line="360" w:lineRule="auto"/>
        <w:ind w:firstLineChars="0"/>
        <w:rPr>
          <w:sz w:val="24"/>
          <w:szCs w:val="24"/>
        </w:rPr>
      </w:pPr>
      <w:r>
        <w:rPr>
          <w:sz w:val="24"/>
          <w:szCs w:val="24"/>
        </w:rPr>
        <w:t>Kazeto, Y., Tosaka, R., Matsubara, H.</w:t>
      </w:r>
      <w:r>
        <w:rPr>
          <w:rFonts w:hint="eastAsia"/>
          <w:sz w:val="24"/>
          <w:szCs w:val="24"/>
        </w:rPr>
        <w:t xml:space="preserve"> et al</w:t>
      </w:r>
      <w:r>
        <w:rPr>
          <w:sz w:val="24"/>
          <w:szCs w:val="24"/>
        </w:rPr>
        <w:t>. Ovarian steroidogenesis and the role of sex steroid hormones on ovarian growth and maturation of the Japanese eel[J]. J. Steroid Biochem. Mol. Biol. 2011,</w:t>
      </w:r>
      <w:r>
        <w:rPr>
          <w:rFonts w:hint="eastAsia"/>
          <w:sz w:val="24"/>
          <w:szCs w:val="24"/>
        </w:rPr>
        <w:t xml:space="preserve"> </w:t>
      </w:r>
      <w:r>
        <w:rPr>
          <w:sz w:val="24"/>
          <w:szCs w:val="24"/>
        </w:rPr>
        <w:t>127(3):149-154.</w:t>
      </w:r>
    </w:p>
    <w:p w14:paraId="71CB039A">
      <w:pPr>
        <w:pStyle w:val="8"/>
        <w:numPr>
          <w:ilvl w:val="0"/>
          <w:numId w:val="1"/>
        </w:numPr>
        <w:spacing w:line="360" w:lineRule="auto"/>
        <w:ind w:firstLineChars="0"/>
        <w:rPr>
          <w:sz w:val="24"/>
          <w:szCs w:val="24"/>
        </w:rPr>
      </w:pPr>
      <w:r>
        <w:rPr>
          <w:sz w:val="24"/>
          <w:szCs w:val="24"/>
        </w:rPr>
        <w:t>Aham</w:t>
      </w:r>
      <w:r>
        <w:rPr>
          <w:rFonts w:hint="eastAsia"/>
          <w:sz w:val="24"/>
          <w:szCs w:val="24"/>
        </w:rPr>
        <w:t>,</w:t>
      </w:r>
      <w:r>
        <w:rPr>
          <w:sz w:val="24"/>
          <w:szCs w:val="24"/>
        </w:rPr>
        <w:t xml:space="preserve"> E</w:t>
      </w:r>
      <w:r>
        <w:rPr>
          <w:rFonts w:hint="eastAsia"/>
          <w:sz w:val="24"/>
          <w:szCs w:val="24"/>
        </w:rPr>
        <w:t>.</w:t>
      </w:r>
      <w:r>
        <w:rPr>
          <w:sz w:val="24"/>
          <w:szCs w:val="24"/>
        </w:rPr>
        <w:t>C</w:t>
      </w:r>
      <w:r>
        <w:rPr>
          <w:rFonts w:hint="eastAsia"/>
          <w:sz w:val="24"/>
          <w:szCs w:val="24"/>
        </w:rPr>
        <w:t>.</w:t>
      </w:r>
      <w:r>
        <w:rPr>
          <w:sz w:val="24"/>
          <w:szCs w:val="24"/>
        </w:rPr>
        <w:t>, Ravikumar</w:t>
      </w:r>
      <w:r>
        <w:rPr>
          <w:rFonts w:hint="eastAsia"/>
          <w:sz w:val="24"/>
          <w:szCs w:val="24"/>
        </w:rPr>
        <w:t>,</w:t>
      </w:r>
      <w:r>
        <w:rPr>
          <w:sz w:val="24"/>
          <w:szCs w:val="24"/>
        </w:rPr>
        <w:t xml:space="preserve"> A</w:t>
      </w:r>
      <w:r>
        <w:rPr>
          <w:rFonts w:hint="eastAsia"/>
          <w:sz w:val="24"/>
          <w:szCs w:val="24"/>
        </w:rPr>
        <w:t>.</w:t>
      </w:r>
      <w:r>
        <w:rPr>
          <w:sz w:val="24"/>
          <w:szCs w:val="24"/>
        </w:rPr>
        <w:t>, Okoye</w:t>
      </w:r>
      <w:r>
        <w:rPr>
          <w:rFonts w:hint="eastAsia"/>
          <w:sz w:val="24"/>
          <w:szCs w:val="24"/>
        </w:rPr>
        <w:t>,</w:t>
      </w:r>
      <w:r>
        <w:rPr>
          <w:sz w:val="24"/>
          <w:szCs w:val="24"/>
        </w:rPr>
        <w:t xml:space="preserve"> C</w:t>
      </w:r>
      <w:r>
        <w:rPr>
          <w:rFonts w:hint="eastAsia"/>
          <w:sz w:val="24"/>
          <w:szCs w:val="24"/>
        </w:rPr>
        <w:t>.</w:t>
      </w:r>
      <w:r>
        <w:rPr>
          <w:sz w:val="24"/>
          <w:szCs w:val="24"/>
        </w:rPr>
        <w:t>O</w:t>
      </w:r>
      <w:r>
        <w:rPr>
          <w:rFonts w:hint="eastAsia"/>
          <w:sz w:val="24"/>
          <w:szCs w:val="24"/>
        </w:rPr>
        <w:t>.</w:t>
      </w:r>
      <w:r>
        <w:rPr>
          <w:sz w:val="24"/>
          <w:szCs w:val="24"/>
        </w:rPr>
        <w:t xml:space="preserve"> et al. A comprehensive review of paper-based analytical devices for 17β-estradiol detection: Current status and future perspectives[J]. Microchem</w:t>
      </w:r>
      <w:r>
        <w:rPr>
          <w:rFonts w:hint="eastAsia"/>
          <w:sz w:val="24"/>
          <w:szCs w:val="24"/>
        </w:rPr>
        <w:t>.</w:t>
      </w:r>
      <w:r>
        <w:rPr>
          <w:sz w:val="24"/>
          <w:szCs w:val="24"/>
        </w:rPr>
        <w:t xml:space="preserve"> J</w:t>
      </w:r>
      <w:r>
        <w:rPr>
          <w:rFonts w:hint="eastAsia"/>
          <w:sz w:val="24"/>
          <w:szCs w:val="24"/>
        </w:rPr>
        <w:t>.</w:t>
      </w:r>
      <w:r>
        <w:rPr>
          <w:sz w:val="24"/>
          <w:szCs w:val="24"/>
        </w:rPr>
        <w:t xml:space="preserve"> 2024:111486.</w:t>
      </w:r>
    </w:p>
    <w:p w14:paraId="145621B6">
      <w:pPr>
        <w:pStyle w:val="8"/>
        <w:numPr>
          <w:ilvl w:val="0"/>
          <w:numId w:val="1"/>
        </w:numPr>
        <w:adjustRightInd w:val="0"/>
        <w:snapToGrid w:val="0"/>
        <w:spacing w:line="360" w:lineRule="auto"/>
        <w:ind w:firstLineChars="0"/>
        <w:rPr>
          <w:sz w:val="24"/>
          <w:szCs w:val="24"/>
        </w:rPr>
      </w:pPr>
      <w:r>
        <w:rPr>
          <w:sz w:val="24"/>
          <w:szCs w:val="24"/>
        </w:rPr>
        <w:t xml:space="preserve">Keay, J., Bridgham, J.T., Thornton, J.W. The </w:t>
      </w:r>
      <w:r>
        <w:rPr>
          <w:i/>
          <w:iCs/>
          <w:sz w:val="24"/>
          <w:szCs w:val="24"/>
        </w:rPr>
        <w:t>Octopus vulgaris</w:t>
      </w:r>
      <w:r>
        <w:rPr>
          <w:sz w:val="24"/>
          <w:szCs w:val="24"/>
        </w:rPr>
        <w:t xml:space="preserve"> estrogen receptor is a constitutive transcriptional activator: evolutionary and functional implications[J]. Endocrinology. 2006,</w:t>
      </w:r>
      <w:r>
        <w:rPr>
          <w:rFonts w:hint="eastAsia"/>
          <w:sz w:val="24"/>
          <w:szCs w:val="24"/>
        </w:rPr>
        <w:t xml:space="preserve"> </w:t>
      </w:r>
      <w:r>
        <w:rPr>
          <w:sz w:val="24"/>
          <w:szCs w:val="24"/>
        </w:rPr>
        <w:t>147(8):3861-3869.</w:t>
      </w:r>
    </w:p>
    <w:p w14:paraId="4757F2D9">
      <w:pPr>
        <w:pStyle w:val="8"/>
        <w:numPr>
          <w:ilvl w:val="0"/>
          <w:numId w:val="1"/>
        </w:numPr>
        <w:spacing w:line="360" w:lineRule="auto"/>
        <w:ind w:firstLineChars="0"/>
        <w:rPr>
          <w:sz w:val="24"/>
          <w:szCs w:val="24"/>
        </w:rPr>
      </w:pPr>
      <w:r>
        <w:rPr>
          <w:sz w:val="24"/>
          <w:szCs w:val="24"/>
        </w:rPr>
        <w:t>Nagasawa</w:t>
      </w:r>
      <w:r>
        <w:rPr>
          <w:rFonts w:hint="eastAsia"/>
          <w:sz w:val="24"/>
          <w:szCs w:val="24"/>
        </w:rPr>
        <w:t>,</w:t>
      </w:r>
      <w:r>
        <w:rPr>
          <w:sz w:val="24"/>
          <w:szCs w:val="24"/>
        </w:rPr>
        <w:t xml:space="preserve"> K</w:t>
      </w:r>
      <w:r>
        <w:rPr>
          <w:rFonts w:hint="eastAsia"/>
          <w:sz w:val="24"/>
          <w:szCs w:val="24"/>
        </w:rPr>
        <w:t>.</w:t>
      </w:r>
      <w:r>
        <w:rPr>
          <w:sz w:val="24"/>
          <w:szCs w:val="24"/>
        </w:rPr>
        <w:t>, Treen</w:t>
      </w:r>
      <w:r>
        <w:rPr>
          <w:rFonts w:hint="eastAsia"/>
          <w:sz w:val="24"/>
          <w:szCs w:val="24"/>
        </w:rPr>
        <w:t>,</w:t>
      </w:r>
      <w:r>
        <w:rPr>
          <w:sz w:val="24"/>
          <w:szCs w:val="24"/>
        </w:rPr>
        <w:t xml:space="preserve"> N</w:t>
      </w:r>
      <w:r>
        <w:rPr>
          <w:rFonts w:hint="eastAsia"/>
          <w:sz w:val="24"/>
          <w:szCs w:val="24"/>
        </w:rPr>
        <w:t>.</w:t>
      </w:r>
      <w:r>
        <w:rPr>
          <w:sz w:val="24"/>
          <w:szCs w:val="24"/>
        </w:rPr>
        <w:t>, Kondo</w:t>
      </w:r>
      <w:r>
        <w:rPr>
          <w:rFonts w:hint="eastAsia"/>
          <w:sz w:val="24"/>
          <w:szCs w:val="24"/>
        </w:rPr>
        <w:t>,</w:t>
      </w:r>
      <w:r>
        <w:rPr>
          <w:sz w:val="24"/>
          <w:szCs w:val="24"/>
        </w:rPr>
        <w:t xml:space="preserve"> R</w:t>
      </w:r>
      <w:r>
        <w:rPr>
          <w:rFonts w:hint="eastAsia"/>
          <w:sz w:val="24"/>
          <w:szCs w:val="24"/>
        </w:rPr>
        <w:t>.</w:t>
      </w:r>
      <w:r>
        <w:rPr>
          <w:sz w:val="24"/>
          <w:szCs w:val="24"/>
        </w:rPr>
        <w:t xml:space="preserve"> et al. </w:t>
      </w:r>
      <w:bookmarkStart w:id="0" w:name="OLE_LINK14"/>
      <w:r>
        <w:rPr>
          <w:sz w:val="24"/>
          <w:szCs w:val="24"/>
        </w:rPr>
        <w:t>Molecular characterization of an estrogen receptor and estrogen-related receptor and their autoregulatory capabilities in two Mytilus species</w:t>
      </w:r>
      <w:bookmarkEnd w:id="0"/>
      <w:r>
        <w:rPr>
          <w:sz w:val="24"/>
          <w:szCs w:val="24"/>
        </w:rPr>
        <w:t>[J]. Gene. 2015,</w:t>
      </w:r>
      <w:r>
        <w:rPr>
          <w:rFonts w:hint="eastAsia"/>
          <w:sz w:val="24"/>
          <w:szCs w:val="24"/>
        </w:rPr>
        <w:t xml:space="preserve"> </w:t>
      </w:r>
      <w:r>
        <w:rPr>
          <w:sz w:val="24"/>
          <w:szCs w:val="24"/>
        </w:rPr>
        <w:t>564(2):153-159.</w:t>
      </w:r>
    </w:p>
    <w:p w14:paraId="140C3D5C">
      <w:pPr>
        <w:pStyle w:val="8"/>
        <w:numPr>
          <w:ilvl w:val="0"/>
          <w:numId w:val="1"/>
        </w:numPr>
        <w:spacing w:line="360" w:lineRule="auto"/>
        <w:ind w:firstLineChars="0"/>
        <w:rPr>
          <w:sz w:val="24"/>
          <w:szCs w:val="24"/>
        </w:rPr>
      </w:pPr>
      <w:r>
        <w:rPr>
          <w:sz w:val="24"/>
          <w:szCs w:val="24"/>
        </w:rPr>
        <w:t>Kajiwara</w:t>
      </w:r>
      <w:r>
        <w:rPr>
          <w:rFonts w:hint="eastAsia"/>
          <w:sz w:val="24"/>
          <w:szCs w:val="24"/>
        </w:rPr>
        <w:t>,</w:t>
      </w:r>
      <w:r>
        <w:rPr>
          <w:sz w:val="24"/>
          <w:szCs w:val="24"/>
        </w:rPr>
        <w:t xml:space="preserve"> M</w:t>
      </w:r>
      <w:r>
        <w:rPr>
          <w:rFonts w:hint="eastAsia"/>
          <w:sz w:val="24"/>
          <w:szCs w:val="24"/>
        </w:rPr>
        <w:t>.</w:t>
      </w:r>
      <w:r>
        <w:rPr>
          <w:sz w:val="24"/>
          <w:szCs w:val="24"/>
        </w:rPr>
        <w:t>, Kuraku</w:t>
      </w:r>
      <w:r>
        <w:rPr>
          <w:rFonts w:hint="eastAsia"/>
          <w:sz w:val="24"/>
          <w:szCs w:val="24"/>
        </w:rPr>
        <w:t>,</w:t>
      </w:r>
      <w:r>
        <w:rPr>
          <w:sz w:val="24"/>
          <w:szCs w:val="24"/>
        </w:rPr>
        <w:t xml:space="preserve"> S</w:t>
      </w:r>
      <w:r>
        <w:rPr>
          <w:rFonts w:hint="eastAsia"/>
          <w:sz w:val="24"/>
          <w:szCs w:val="24"/>
        </w:rPr>
        <w:t>.</w:t>
      </w:r>
      <w:r>
        <w:rPr>
          <w:sz w:val="24"/>
          <w:szCs w:val="24"/>
        </w:rPr>
        <w:t>, Kurokawa</w:t>
      </w:r>
      <w:r>
        <w:rPr>
          <w:rFonts w:hint="eastAsia"/>
          <w:sz w:val="24"/>
          <w:szCs w:val="24"/>
        </w:rPr>
        <w:t>,</w:t>
      </w:r>
      <w:r>
        <w:rPr>
          <w:sz w:val="24"/>
          <w:szCs w:val="24"/>
        </w:rPr>
        <w:t xml:space="preserve"> T</w:t>
      </w:r>
      <w:r>
        <w:rPr>
          <w:rFonts w:hint="eastAsia"/>
          <w:sz w:val="24"/>
          <w:szCs w:val="24"/>
        </w:rPr>
        <w:t>.</w:t>
      </w:r>
      <w:r>
        <w:rPr>
          <w:sz w:val="24"/>
          <w:szCs w:val="24"/>
        </w:rPr>
        <w:t xml:space="preserve"> et al. Tissue preferential expression of estrogen receptor gene in the marine snail, </w:t>
      </w:r>
      <w:r>
        <w:rPr>
          <w:i/>
          <w:iCs/>
          <w:sz w:val="24"/>
          <w:szCs w:val="24"/>
        </w:rPr>
        <w:t>Thais clavigera</w:t>
      </w:r>
      <w:r>
        <w:rPr>
          <w:sz w:val="24"/>
          <w:szCs w:val="24"/>
        </w:rPr>
        <w:t>[J]. Gen. Comp. Endocr. 2006,</w:t>
      </w:r>
      <w:r>
        <w:rPr>
          <w:rFonts w:hint="eastAsia"/>
          <w:sz w:val="24"/>
          <w:szCs w:val="24"/>
        </w:rPr>
        <w:t xml:space="preserve"> </w:t>
      </w:r>
      <w:r>
        <w:rPr>
          <w:sz w:val="24"/>
          <w:szCs w:val="24"/>
        </w:rPr>
        <w:t>148(3):315-326.</w:t>
      </w:r>
    </w:p>
    <w:p w14:paraId="349AB3AF">
      <w:pPr>
        <w:pStyle w:val="8"/>
        <w:numPr>
          <w:ilvl w:val="0"/>
          <w:numId w:val="1"/>
        </w:numPr>
        <w:spacing w:line="360" w:lineRule="auto"/>
        <w:ind w:firstLineChars="0"/>
        <w:rPr>
          <w:sz w:val="24"/>
          <w:szCs w:val="24"/>
        </w:rPr>
      </w:pPr>
      <w:r>
        <w:rPr>
          <w:sz w:val="24"/>
          <w:szCs w:val="24"/>
        </w:rPr>
        <w:t>Castro</w:t>
      </w:r>
      <w:r>
        <w:rPr>
          <w:rFonts w:hint="eastAsia"/>
          <w:sz w:val="24"/>
          <w:szCs w:val="24"/>
        </w:rPr>
        <w:t>,</w:t>
      </w:r>
      <w:r>
        <w:rPr>
          <w:sz w:val="24"/>
          <w:szCs w:val="24"/>
        </w:rPr>
        <w:t xml:space="preserve"> L</w:t>
      </w:r>
      <w:r>
        <w:rPr>
          <w:rFonts w:hint="eastAsia"/>
          <w:sz w:val="24"/>
          <w:szCs w:val="24"/>
        </w:rPr>
        <w:t>.</w:t>
      </w:r>
      <w:r>
        <w:rPr>
          <w:sz w:val="24"/>
          <w:szCs w:val="24"/>
        </w:rPr>
        <w:t>F</w:t>
      </w:r>
      <w:r>
        <w:rPr>
          <w:rFonts w:hint="eastAsia"/>
          <w:sz w:val="24"/>
          <w:szCs w:val="24"/>
        </w:rPr>
        <w:t>.</w:t>
      </w:r>
      <w:r>
        <w:rPr>
          <w:sz w:val="24"/>
          <w:szCs w:val="24"/>
        </w:rPr>
        <w:t>C</w:t>
      </w:r>
      <w:r>
        <w:rPr>
          <w:rFonts w:hint="eastAsia"/>
          <w:sz w:val="24"/>
          <w:szCs w:val="24"/>
        </w:rPr>
        <w:t>.</w:t>
      </w:r>
      <w:r>
        <w:rPr>
          <w:sz w:val="24"/>
          <w:szCs w:val="24"/>
        </w:rPr>
        <w:t>, Melo</w:t>
      </w:r>
      <w:r>
        <w:rPr>
          <w:rFonts w:hint="eastAsia"/>
          <w:sz w:val="24"/>
          <w:szCs w:val="24"/>
        </w:rPr>
        <w:t>,</w:t>
      </w:r>
      <w:r>
        <w:rPr>
          <w:sz w:val="24"/>
          <w:szCs w:val="24"/>
        </w:rPr>
        <w:t xml:space="preserve"> C</w:t>
      </w:r>
      <w:r>
        <w:rPr>
          <w:rFonts w:hint="eastAsia"/>
          <w:sz w:val="24"/>
          <w:szCs w:val="24"/>
        </w:rPr>
        <w:t>.</w:t>
      </w:r>
      <w:r>
        <w:rPr>
          <w:sz w:val="24"/>
          <w:szCs w:val="24"/>
        </w:rPr>
        <w:t>, Guillot</w:t>
      </w:r>
      <w:r>
        <w:rPr>
          <w:rFonts w:hint="eastAsia"/>
          <w:sz w:val="24"/>
          <w:szCs w:val="24"/>
        </w:rPr>
        <w:t>,</w:t>
      </w:r>
      <w:r>
        <w:rPr>
          <w:sz w:val="24"/>
          <w:szCs w:val="24"/>
        </w:rPr>
        <w:t xml:space="preserve"> R</w:t>
      </w:r>
      <w:r>
        <w:rPr>
          <w:rFonts w:hint="eastAsia"/>
          <w:sz w:val="24"/>
          <w:szCs w:val="24"/>
        </w:rPr>
        <w:t>.</w:t>
      </w:r>
      <w:r>
        <w:rPr>
          <w:sz w:val="24"/>
          <w:szCs w:val="24"/>
        </w:rPr>
        <w:t xml:space="preserve"> et al. The estrogen receptor of the gastropod Nucella lapillus: Modulation following exposure to an estrogenic effluent[J]? Aquat.</w:t>
      </w:r>
      <w:r>
        <w:rPr>
          <w:rFonts w:hint="eastAsia"/>
          <w:sz w:val="24"/>
          <w:szCs w:val="24"/>
        </w:rPr>
        <w:t xml:space="preserve"> </w:t>
      </w:r>
      <w:r>
        <w:rPr>
          <w:sz w:val="24"/>
          <w:szCs w:val="24"/>
        </w:rPr>
        <w:t>Toxicol.</w:t>
      </w:r>
      <w:r>
        <w:rPr>
          <w:rFonts w:hint="eastAsia"/>
          <w:sz w:val="24"/>
          <w:szCs w:val="24"/>
        </w:rPr>
        <w:t xml:space="preserve"> </w:t>
      </w:r>
      <w:r>
        <w:rPr>
          <w:sz w:val="24"/>
          <w:szCs w:val="24"/>
        </w:rPr>
        <w:t>2007,</w:t>
      </w:r>
      <w:r>
        <w:rPr>
          <w:rFonts w:hint="eastAsia"/>
          <w:sz w:val="24"/>
          <w:szCs w:val="24"/>
        </w:rPr>
        <w:t xml:space="preserve"> </w:t>
      </w:r>
      <w:r>
        <w:rPr>
          <w:sz w:val="24"/>
          <w:szCs w:val="24"/>
        </w:rPr>
        <w:t>84:465-468.</w:t>
      </w:r>
    </w:p>
    <w:p w14:paraId="2DEC226F">
      <w:pPr>
        <w:pStyle w:val="8"/>
        <w:numPr>
          <w:ilvl w:val="0"/>
          <w:numId w:val="1"/>
        </w:numPr>
        <w:spacing w:line="360" w:lineRule="auto"/>
        <w:ind w:firstLineChars="0"/>
        <w:rPr>
          <w:sz w:val="24"/>
          <w:szCs w:val="24"/>
        </w:rPr>
      </w:pPr>
      <w:r>
        <w:rPr>
          <w:sz w:val="24"/>
          <w:szCs w:val="24"/>
        </w:rPr>
        <w:t>Yang</w:t>
      </w:r>
      <w:r>
        <w:rPr>
          <w:rFonts w:hint="eastAsia"/>
          <w:sz w:val="24"/>
          <w:szCs w:val="24"/>
        </w:rPr>
        <w:t>,</w:t>
      </w:r>
      <w:r>
        <w:rPr>
          <w:sz w:val="24"/>
          <w:szCs w:val="24"/>
        </w:rPr>
        <w:t xml:space="preserve"> Y</w:t>
      </w:r>
      <w:r>
        <w:rPr>
          <w:rFonts w:hint="eastAsia"/>
          <w:sz w:val="24"/>
          <w:szCs w:val="24"/>
        </w:rPr>
        <w:t>.</w:t>
      </w:r>
      <w:r>
        <w:rPr>
          <w:sz w:val="24"/>
          <w:szCs w:val="24"/>
        </w:rPr>
        <w:t>, Zhou</w:t>
      </w:r>
      <w:r>
        <w:rPr>
          <w:rFonts w:hint="eastAsia"/>
          <w:sz w:val="24"/>
          <w:szCs w:val="24"/>
        </w:rPr>
        <w:t>,</w:t>
      </w:r>
      <w:r>
        <w:rPr>
          <w:sz w:val="24"/>
          <w:szCs w:val="24"/>
        </w:rPr>
        <w:t xml:space="preserve"> Y</w:t>
      </w:r>
      <w:r>
        <w:rPr>
          <w:rFonts w:hint="eastAsia"/>
          <w:sz w:val="24"/>
          <w:szCs w:val="24"/>
        </w:rPr>
        <w:t>.</w:t>
      </w:r>
      <w:r>
        <w:rPr>
          <w:sz w:val="24"/>
          <w:szCs w:val="24"/>
        </w:rPr>
        <w:t>, Pan</w:t>
      </w:r>
      <w:r>
        <w:rPr>
          <w:rFonts w:hint="eastAsia"/>
          <w:sz w:val="24"/>
          <w:szCs w:val="24"/>
        </w:rPr>
        <w:t>,</w:t>
      </w:r>
      <w:r>
        <w:rPr>
          <w:sz w:val="24"/>
          <w:szCs w:val="24"/>
        </w:rPr>
        <w:t xml:space="preserve"> L</w:t>
      </w:r>
      <w:r>
        <w:rPr>
          <w:rFonts w:hint="eastAsia"/>
          <w:sz w:val="24"/>
          <w:szCs w:val="24"/>
        </w:rPr>
        <w:t>.</w:t>
      </w:r>
      <w:r>
        <w:rPr>
          <w:sz w:val="24"/>
          <w:szCs w:val="24"/>
        </w:rPr>
        <w:t xml:space="preserve"> et al. Benzo [a] pyrene exposure induced reproductive endocrine-disrupting effects via the steroidogenic pathway and estrogen signaling pathway in female scallop </w:t>
      </w:r>
      <w:r>
        <w:rPr>
          <w:i/>
          <w:iCs/>
          <w:sz w:val="24"/>
          <w:szCs w:val="24"/>
        </w:rPr>
        <w:t>Chlamys farreri</w:t>
      </w:r>
      <w:r>
        <w:rPr>
          <w:sz w:val="24"/>
          <w:szCs w:val="24"/>
        </w:rPr>
        <w:t>[J]. Sci. Total. Environ. 2020,</w:t>
      </w:r>
      <w:r>
        <w:rPr>
          <w:rFonts w:hint="eastAsia"/>
          <w:sz w:val="24"/>
          <w:szCs w:val="24"/>
        </w:rPr>
        <w:t xml:space="preserve"> </w:t>
      </w:r>
      <w:r>
        <w:rPr>
          <w:sz w:val="24"/>
          <w:szCs w:val="24"/>
        </w:rPr>
        <w:t>726:138585.</w:t>
      </w:r>
    </w:p>
    <w:p w14:paraId="56F1B857">
      <w:pPr>
        <w:pStyle w:val="8"/>
        <w:numPr>
          <w:ilvl w:val="0"/>
          <w:numId w:val="1"/>
        </w:numPr>
        <w:spacing w:line="360" w:lineRule="auto"/>
        <w:ind w:firstLineChars="0"/>
        <w:rPr>
          <w:sz w:val="24"/>
          <w:szCs w:val="24"/>
        </w:rPr>
      </w:pPr>
      <w:r>
        <w:rPr>
          <w:sz w:val="24"/>
          <w:szCs w:val="24"/>
        </w:rPr>
        <w:t>De Lisa</w:t>
      </w:r>
      <w:r>
        <w:rPr>
          <w:rFonts w:hint="eastAsia"/>
          <w:sz w:val="24"/>
          <w:szCs w:val="24"/>
        </w:rPr>
        <w:t>,</w:t>
      </w:r>
      <w:r>
        <w:rPr>
          <w:sz w:val="24"/>
          <w:szCs w:val="24"/>
        </w:rPr>
        <w:t xml:space="preserve"> E</w:t>
      </w:r>
      <w:r>
        <w:rPr>
          <w:rFonts w:hint="eastAsia"/>
          <w:sz w:val="24"/>
          <w:szCs w:val="24"/>
        </w:rPr>
        <w:t>.</w:t>
      </w:r>
      <w:r>
        <w:rPr>
          <w:sz w:val="24"/>
          <w:szCs w:val="24"/>
        </w:rPr>
        <w:t>, Paolucci</w:t>
      </w:r>
      <w:r>
        <w:rPr>
          <w:rFonts w:hint="eastAsia"/>
          <w:sz w:val="24"/>
          <w:szCs w:val="24"/>
        </w:rPr>
        <w:t>,</w:t>
      </w:r>
      <w:r>
        <w:rPr>
          <w:sz w:val="24"/>
          <w:szCs w:val="24"/>
        </w:rPr>
        <w:t xml:space="preserve"> M</w:t>
      </w:r>
      <w:r>
        <w:rPr>
          <w:rFonts w:hint="eastAsia"/>
          <w:sz w:val="24"/>
          <w:szCs w:val="24"/>
        </w:rPr>
        <w:t>.</w:t>
      </w:r>
      <w:r>
        <w:rPr>
          <w:sz w:val="24"/>
          <w:szCs w:val="24"/>
        </w:rPr>
        <w:t>, Di</w:t>
      </w:r>
      <w:r>
        <w:rPr>
          <w:rFonts w:hint="eastAsia"/>
          <w:sz w:val="24"/>
          <w:szCs w:val="24"/>
        </w:rPr>
        <w:t>,</w:t>
      </w:r>
      <w:r>
        <w:rPr>
          <w:sz w:val="24"/>
          <w:szCs w:val="24"/>
        </w:rPr>
        <w:t xml:space="preserve"> Cosmo</w:t>
      </w:r>
      <w:r>
        <w:rPr>
          <w:rFonts w:hint="eastAsia"/>
          <w:sz w:val="24"/>
          <w:szCs w:val="24"/>
        </w:rPr>
        <w:t>,</w:t>
      </w:r>
      <w:r>
        <w:rPr>
          <w:sz w:val="24"/>
          <w:szCs w:val="24"/>
        </w:rPr>
        <w:t xml:space="preserve"> A. Conservative nature of estradiol signalling pathways in the brain lobes of </w:t>
      </w:r>
      <w:r>
        <w:rPr>
          <w:i/>
          <w:iCs/>
          <w:sz w:val="24"/>
          <w:szCs w:val="24"/>
        </w:rPr>
        <w:t>Octopus vulgaris</w:t>
      </w:r>
      <w:r>
        <w:rPr>
          <w:sz w:val="24"/>
          <w:szCs w:val="24"/>
        </w:rPr>
        <w:t xml:space="preserve"> involved in reproduction, learning and motor coordination[J]. J. Neuroendocrinol. 2012,</w:t>
      </w:r>
      <w:r>
        <w:rPr>
          <w:rFonts w:hint="eastAsia"/>
          <w:sz w:val="24"/>
          <w:szCs w:val="24"/>
        </w:rPr>
        <w:t xml:space="preserve"> </w:t>
      </w:r>
      <w:r>
        <w:rPr>
          <w:sz w:val="24"/>
          <w:szCs w:val="24"/>
        </w:rPr>
        <w:t>24(2):275-284.</w:t>
      </w:r>
    </w:p>
    <w:p w14:paraId="1239CE68">
      <w:pPr>
        <w:pStyle w:val="8"/>
        <w:numPr>
          <w:ilvl w:val="0"/>
          <w:numId w:val="1"/>
        </w:numPr>
        <w:adjustRightInd w:val="0"/>
        <w:snapToGrid w:val="0"/>
        <w:spacing w:line="360" w:lineRule="auto"/>
        <w:ind w:firstLineChars="0"/>
        <w:rPr>
          <w:sz w:val="24"/>
          <w:szCs w:val="24"/>
        </w:rPr>
      </w:pPr>
      <w:r>
        <w:rPr>
          <w:sz w:val="24"/>
          <w:szCs w:val="24"/>
        </w:rPr>
        <w:t>Zohar, Y., Muñoz-Cueto, J.A., Elizur, A.</w:t>
      </w:r>
      <w:r>
        <w:rPr>
          <w:rFonts w:hint="eastAsia"/>
          <w:sz w:val="24"/>
          <w:szCs w:val="24"/>
        </w:rPr>
        <w:t xml:space="preserve"> et al</w:t>
      </w:r>
      <w:r>
        <w:rPr>
          <w:sz w:val="24"/>
          <w:szCs w:val="24"/>
        </w:rPr>
        <w:t>. Neuroendocrinology of reproduction in teleost fish[J]. Gen. Comp. Endocrinol. 2010,</w:t>
      </w:r>
      <w:r>
        <w:rPr>
          <w:rFonts w:hint="eastAsia"/>
          <w:sz w:val="24"/>
          <w:szCs w:val="24"/>
        </w:rPr>
        <w:t xml:space="preserve"> </w:t>
      </w:r>
      <w:r>
        <w:rPr>
          <w:sz w:val="24"/>
          <w:szCs w:val="24"/>
        </w:rPr>
        <w:t>165(3):438-455.</w:t>
      </w:r>
    </w:p>
    <w:p w14:paraId="4EB0155E">
      <w:pPr>
        <w:pStyle w:val="8"/>
        <w:numPr>
          <w:ilvl w:val="0"/>
          <w:numId w:val="1"/>
        </w:numPr>
        <w:spacing w:line="360" w:lineRule="auto"/>
        <w:ind w:firstLineChars="0"/>
        <w:rPr>
          <w:sz w:val="24"/>
          <w:szCs w:val="24"/>
        </w:rPr>
      </w:pPr>
      <w:r>
        <w:rPr>
          <w:sz w:val="24"/>
          <w:szCs w:val="24"/>
        </w:rPr>
        <w:t>Nelson</w:t>
      </w:r>
      <w:r>
        <w:rPr>
          <w:rFonts w:hint="eastAsia"/>
          <w:sz w:val="24"/>
          <w:szCs w:val="24"/>
        </w:rPr>
        <w:t>,</w:t>
      </w:r>
      <w:r>
        <w:rPr>
          <w:sz w:val="24"/>
          <w:szCs w:val="24"/>
        </w:rPr>
        <w:t xml:space="preserve"> E</w:t>
      </w:r>
      <w:r>
        <w:rPr>
          <w:rFonts w:hint="eastAsia"/>
          <w:sz w:val="24"/>
          <w:szCs w:val="24"/>
        </w:rPr>
        <w:t>.</w:t>
      </w:r>
      <w:r>
        <w:rPr>
          <w:sz w:val="24"/>
          <w:szCs w:val="24"/>
        </w:rPr>
        <w:t>R</w:t>
      </w:r>
      <w:r>
        <w:rPr>
          <w:rFonts w:hint="eastAsia"/>
          <w:sz w:val="24"/>
          <w:szCs w:val="24"/>
        </w:rPr>
        <w:t>.</w:t>
      </w:r>
      <w:r>
        <w:rPr>
          <w:sz w:val="24"/>
          <w:szCs w:val="24"/>
        </w:rPr>
        <w:t>, Habibi</w:t>
      </w:r>
      <w:r>
        <w:rPr>
          <w:rFonts w:hint="eastAsia"/>
          <w:sz w:val="24"/>
          <w:szCs w:val="24"/>
        </w:rPr>
        <w:t>,</w:t>
      </w:r>
      <w:r>
        <w:rPr>
          <w:sz w:val="24"/>
          <w:szCs w:val="24"/>
        </w:rPr>
        <w:t xml:space="preserve"> H</w:t>
      </w:r>
      <w:r>
        <w:rPr>
          <w:rFonts w:hint="eastAsia"/>
          <w:sz w:val="24"/>
          <w:szCs w:val="24"/>
        </w:rPr>
        <w:t>.</w:t>
      </w:r>
      <w:r>
        <w:rPr>
          <w:sz w:val="24"/>
          <w:szCs w:val="24"/>
        </w:rPr>
        <w:t>R. Functional significance of nuclear estrogen receptor subtypes in the liver of goldfish[J]. Endocrinology. 2010,</w:t>
      </w:r>
      <w:r>
        <w:rPr>
          <w:rFonts w:hint="eastAsia"/>
          <w:sz w:val="24"/>
          <w:szCs w:val="24"/>
        </w:rPr>
        <w:t xml:space="preserve"> </w:t>
      </w:r>
      <w:r>
        <w:rPr>
          <w:sz w:val="24"/>
          <w:szCs w:val="24"/>
        </w:rPr>
        <w:t>151(4):1668-1676.</w:t>
      </w:r>
    </w:p>
    <w:p w14:paraId="543089B8">
      <w:pPr>
        <w:pStyle w:val="8"/>
        <w:numPr>
          <w:ilvl w:val="0"/>
          <w:numId w:val="1"/>
        </w:numPr>
        <w:spacing w:line="360" w:lineRule="auto"/>
        <w:ind w:firstLineChars="0"/>
        <w:rPr>
          <w:sz w:val="24"/>
          <w:szCs w:val="24"/>
        </w:rPr>
      </w:pPr>
      <w:r>
        <w:rPr>
          <w:sz w:val="24"/>
          <w:szCs w:val="24"/>
        </w:rPr>
        <w:t>Moon</w:t>
      </w:r>
      <w:r>
        <w:rPr>
          <w:rFonts w:hint="eastAsia"/>
          <w:sz w:val="24"/>
          <w:szCs w:val="24"/>
        </w:rPr>
        <w:t>,</w:t>
      </w:r>
      <w:r>
        <w:rPr>
          <w:sz w:val="24"/>
          <w:szCs w:val="24"/>
        </w:rPr>
        <w:t xml:space="preserve"> J</w:t>
      </w:r>
      <w:r>
        <w:rPr>
          <w:rFonts w:hint="eastAsia"/>
          <w:sz w:val="24"/>
          <w:szCs w:val="24"/>
        </w:rPr>
        <w:t>.</w:t>
      </w:r>
      <w:r>
        <w:rPr>
          <w:sz w:val="24"/>
          <w:szCs w:val="24"/>
        </w:rPr>
        <w:t>S</w:t>
      </w:r>
      <w:r>
        <w:rPr>
          <w:rFonts w:hint="eastAsia"/>
          <w:sz w:val="24"/>
          <w:szCs w:val="24"/>
        </w:rPr>
        <w:t>.</w:t>
      </w:r>
      <w:r>
        <w:rPr>
          <w:sz w:val="24"/>
          <w:szCs w:val="24"/>
        </w:rPr>
        <w:t>, Choi</w:t>
      </w:r>
      <w:r>
        <w:rPr>
          <w:rFonts w:hint="eastAsia"/>
          <w:sz w:val="24"/>
          <w:szCs w:val="24"/>
        </w:rPr>
        <w:t>,</w:t>
      </w:r>
      <w:r>
        <w:rPr>
          <w:sz w:val="24"/>
          <w:szCs w:val="24"/>
        </w:rPr>
        <w:t xml:space="preserve"> Y</w:t>
      </w:r>
      <w:r>
        <w:rPr>
          <w:rFonts w:hint="eastAsia"/>
          <w:sz w:val="24"/>
          <w:szCs w:val="24"/>
        </w:rPr>
        <w:t>.</w:t>
      </w:r>
      <w:r>
        <w:rPr>
          <w:sz w:val="24"/>
          <w:szCs w:val="24"/>
        </w:rPr>
        <w:t xml:space="preserve">H. Role of the insulin-like growth factor system in gonad sexual maturation in Pacific oyster </w:t>
      </w:r>
      <w:r>
        <w:rPr>
          <w:i/>
          <w:iCs/>
          <w:sz w:val="24"/>
          <w:szCs w:val="24"/>
        </w:rPr>
        <w:t>Crassostrea gigas</w:t>
      </w:r>
      <w:r>
        <w:rPr>
          <w:sz w:val="24"/>
          <w:szCs w:val="24"/>
        </w:rPr>
        <w:t>[J]. Fishier. Aquatic. Sci. 2020,</w:t>
      </w:r>
      <w:r>
        <w:rPr>
          <w:rFonts w:hint="eastAsia"/>
          <w:sz w:val="24"/>
          <w:szCs w:val="24"/>
        </w:rPr>
        <w:t xml:space="preserve"> </w:t>
      </w:r>
      <w:r>
        <w:rPr>
          <w:sz w:val="24"/>
          <w:szCs w:val="24"/>
        </w:rPr>
        <w:t>23:1-8.</w:t>
      </w:r>
    </w:p>
    <w:p w14:paraId="65203820">
      <w:pPr>
        <w:pStyle w:val="8"/>
        <w:numPr>
          <w:ilvl w:val="0"/>
          <w:numId w:val="1"/>
        </w:numPr>
        <w:spacing w:line="360" w:lineRule="auto"/>
        <w:ind w:firstLineChars="0"/>
        <w:rPr>
          <w:sz w:val="24"/>
          <w:szCs w:val="24"/>
        </w:rPr>
      </w:pPr>
      <w:r>
        <w:rPr>
          <w:rFonts w:hint="eastAsia"/>
          <w:sz w:val="24"/>
          <w:szCs w:val="24"/>
        </w:rPr>
        <w:t>刘婉.曼氏无针乌贼雌激素受体基因的克隆、表达及生殖调控功能初探[D].浙江海洋大学, 2016.</w:t>
      </w:r>
    </w:p>
    <w:p w14:paraId="20160D20">
      <w:pPr>
        <w:pStyle w:val="8"/>
        <w:numPr>
          <w:ilvl w:val="0"/>
          <w:numId w:val="1"/>
        </w:numPr>
        <w:adjustRightInd w:val="0"/>
        <w:snapToGrid w:val="0"/>
        <w:spacing w:line="360" w:lineRule="auto"/>
        <w:ind w:firstLineChars="0"/>
        <w:rPr>
          <w:sz w:val="24"/>
          <w:szCs w:val="24"/>
        </w:rPr>
      </w:pPr>
      <w:r>
        <w:rPr>
          <w:b/>
          <w:bCs/>
          <w:sz w:val="24"/>
          <w:szCs w:val="24"/>
        </w:rPr>
        <w:t>Jiang, M.W.,</w:t>
      </w:r>
      <w:r>
        <w:rPr>
          <w:sz w:val="24"/>
          <w:szCs w:val="24"/>
        </w:rPr>
        <w:t xml:space="preserve"> Han, Q.X., Xu, L.T</w:t>
      </w:r>
      <w:r>
        <w:rPr>
          <w:rFonts w:hint="eastAsia"/>
          <w:sz w:val="24"/>
          <w:szCs w:val="24"/>
        </w:rPr>
        <w:t>. et al</w:t>
      </w:r>
      <w:r>
        <w:rPr>
          <w:sz w:val="24"/>
          <w:szCs w:val="24"/>
        </w:rPr>
        <w:t xml:space="preserve">. Comparative transcriptomic analysis of the different developmental stages of ovary in the cuttlefish </w:t>
      </w:r>
      <w:r>
        <w:rPr>
          <w:i/>
          <w:iCs/>
          <w:sz w:val="24"/>
          <w:szCs w:val="24"/>
        </w:rPr>
        <w:t>Sepia pharaonis</w:t>
      </w:r>
      <w:r>
        <w:rPr>
          <w:sz w:val="24"/>
          <w:szCs w:val="24"/>
        </w:rPr>
        <w:t>[J]. BMC Genomics. 2024,</w:t>
      </w:r>
      <w:r>
        <w:rPr>
          <w:rFonts w:hint="eastAsia"/>
          <w:sz w:val="24"/>
          <w:szCs w:val="24"/>
        </w:rPr>
        <w:t xml:space="preserve"> </w:t>
      </w:r>
      <w:r>
        <w:rPr>
          <w:sz w:val="24"/>
          <w:szCs w:val="24"/>
        </w:rPr>
        <w:t>25(1):1-16.</w:t>
      </w:r>
    </w:p>
    <w:p w14:paraId="090254E0">
      <w:pPr>
        <w:pStyle w:val="8"/>
        <w:numPr>
          <w:ilvl w:val="0"/>
          <w:numId w:val="1"/>
        </w:numPr>
        <w:spacing w:line="360" w:lineRule="auto"/>
        <w:ind w:firstLineChars="0"/>
        <w:rPr>
          <w:sz w:val="24"/>
          <w:szCs w:val="24"/>
        </w:rPr>
      </w:pPr>
      <w:r>
        <w:rPr>
          <w:sz w:val="24"/>
          <w:szCs w:val="24"/>
        </w:rPr>
        <w:t>Stamatiades</w:t>
      </w:r>
      <w:r>
        <w:rPr>
          <w:rFonts w:hint="eastAsia"/>
          <w:sz w:val="24"/>
          <w:szCs w:val="24"/>
        </w:rPr>
        <w:t>,</w:t>
      </w:r>
      <w:r>
        <w:rPr>
          <w:sz w:val="24"/>
          <w:szCs w:val="24"/>
        </w:rPr>
        <w:t xml:space="preserve"> G</w:t>
      </w:r>
      <w:r>
        <w:rPr>
          <w:rFonts w:hint="eastAsia"/>
          <w:sz w:val="24"/>
          <w:szCs w:val="24"/>
        </w:rPr>
        <w:t>.</w:t>
      </w:r>
      <w:r>
        <w:rPr>
          <w:sz w:val="24"/>
          <w:szCs w:val="24"/>
        </w:rPr>
        <w:t>A</w:t>
      </w:r>
      <w:r>
        <w:rPr>
          <w:rFonts w:hint="eastAsia"/>
          <w:sz w:val="24"/>
          <w:szCs w:val="24"/>
        </w:rPr>
        <w:t>.</w:t>
      </w:r>
      <w:r>
        <w:rPr>
          <w:sz w:val="24"/>
          <w:szCs w:val="24"/>
        </w:rPr>
        <w:t>, Kaiser</w:t>
      </w:r>
      <w:r>
        <w:rPr>
          <w:rFonts w:hint="eastAsia"/>
          <w:sz w:val="24"/>
          <w:szCs w:val="24"/>
        </w:rPr>
        <w:t>,</w:t>
      </w:r>
      <w:r>
        <w:rPr>
          <w:sz w:val="24"/>
          <w:szCs w:val="24"/>
        </w:rPr>
        <w:t xml:space="preserve"> U</w:t>
      </w:r>
      <w:r>
        <w:rPr>
          <w:rFonts w:hint="eastAsia"/>
          <w:sz w:val="24"/>
          <w:szCs w:val="24"/>
        </w:rPr>
        <w:t>.</w:t>
      </w:r>
      <w:r>
        <w:rPr>
          <w:sz w:val="24"/>
          <w:szCs w:val="24"/>
        </w:rPr>
        <w:t>B. Gonadotropin regulation by pulsatile GnRH: Signaling and gene expression[J]. Mol</w:t>
      </w:r>
      <w:r>
        <w:rPr>
          <w:rFonts w:hint="eastAsia"/>
          <w:sz w:val="24"/>
          <w:szCs w:val="24"/>
        </w:rPr>
        <w:t>.</w:t>
      </w:r>
      <w:r>
        <w:rPr>
          <w:sz w:val="24"/>
          <w:szCs w:val="24"/>
        </w:rPr>
        <w:t xml:space="preserve"> Cell</w:t>
      </w:r>
      <w:r>
        <w:rPr>
          <w:rFonts w:hint="eastAsia"/>
          <w:sz w:val="24"/>
          <w:szCs w:val="24"/>
        </w:rPr>
        <w:t>.</w:t>
      </w:r>
      <w:r>
        <w:rPr>
          <w:sz w:val="24"/>
          <w:szCs w:val="24"/>
        </w:rPr>
        <w:t xml:space="preserve"> Endocrinol</w:t>
      </w:r>
      <w:r>
        <w:rPr>
          <w:rFonts w:hint="eastAsia"/>
          <w:sz w:val="24"/>
          <w:szCs w:val="24"/>
        </w:rPr>
        <w:t>.</w:t>
      </w:r>
      <w:r>
        <w:rPr>
          <w:sz w:val="24"/>
          <w:szCs w:val="24"/>
        </w:rPr>
        <w:t xml:space="preserve"> 2018,</w:t>
      </w:r>
      <w:r>
        <w:rPr>
          <w:rFonts w:hint="eastAsia"/>
          <w:sz w:val="24"/>
          <w:szCs w:val="24"/>
        </w:rPr>
        <w:t xml:space="preserve"> </w:t>
      </w:r>
      <w:r>
        <w:rPr>
          <w:sz w:val="24"/>
          <w:szCs w:val="24"/>
        </w:rPr>
        <w:t>463:131-141.</w:t>
      </w:r>
    </w:p>
    <w:p w14:paraId="397EDD75">
      <w:pPr>
        <w:pStyle w:val="8"/>
        <w:numPr>
          <w:ilvl w:val="0"/>
          <w:numId w:val="1"/>
        </w:numPr>
        <w:adjustRightInd w:val="0"/>
        <w:snapToGrid w:val="0"/>
        <w:spacing w:line="360" w:lineRule="auto"/>
        <w:ind w:firstLineChars="0"/>
        <w:rPr>
          <w:sz w:val="24"/>
          <w:szCs w:val="24"/>
        </w:rPr>
      </w:pPr>
      <w:r>
        <w:rPr>
          <w:sz w:val="24"/>
          <w:szCs w:val="24"/>
        </w:rPr>
        <w:t>Kitahashi, T., Ogawa, S., Parhar, I.S. Cloning and expression of</w:t>
      </w:r>
      <w:r>
        <w:rPr>
          <w:rFonts w:hint="eastAsia"/>
          <w:sz w:val="24"/>
          <w:szCs w:val="24"/>
        </w:rPr>
        <w:t xml:space="preserve"> </w:t>
      </w:r>
      <w:r>
        <w:rPr>
          <w:sz w:val="24"/>
          <w:szCs w:val="24"/>
        </w:rPr>
        <w:t>kiss2 in the zebrafish and medaka[J]. Endocrinology. 2009,</w:t>
      </w:r>
      <w:r>
        <w:rPr>
          <w:rFonts w:hint="eastAsia"/>
          <w:sz w:val="24"/>
          <w:szCs w:val="24"/>
        </w:rPr>
        <w:t xml:space="preserve"> </w:t>
      </w:r>
      <w:r>
        <w:rPr>
          <w:sz w:val="24"/>
          <w:szCs w:val="24"/>
        </w:rPr>
        <w:t>150(2):821-831</w:t>
      </w:r>
      <w:r>
        <w:rPr>
          <w:rFonts w:hint="eastAsia"/>
          <w:sz w:val="24"/>
          <w:szCs w:val="24"/>
        </w:rPr>
        <w:t>.</w:t>
      </w:r>
    </w:p>
    <w:p w14:paraId="5302A14D">
      <w:pPr>
        <w:pStyle w:val="8"/>
        <w:numPr>
          <w:ilvl w:val="0"/>
          <w:numId w:val="1"/>
        </w:numPr>
        <w:adjustRightInd w:val="0"/>
        <w:snapToGrid w:val="0"/>
        <w:spacing w:line="360" w:lineRule="auto"/>
        <w:ind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Ohga, H., Selvaraj, S., Adachi, H.</w:t>
      </w:r>
      <w:r>
        <w:rPr>
          <w:rFonts w:hint="eastAsia"/>
          <w:color w:val="000000" w:themeColor="text1"/>
          <w:sz w:val="24"/>
          <w:szCs w:val="24"/>
          <w14:textFill>
            <w14:solidFill>
              <w14:schemeClr w14:val="tx1"/>
            </w14:solidFill>
          </w14:textFill>
        </w:rPr>
        <w:t xml:space="preserve"> et al</w:t>
      </w:r>
      <w:r>
        <w:rPr>
          <w:color w:val="000000" w:themeColor="text1"/>
          <w:sz w:val="24"/>
          <w:szCs w:val="24"/>
          <w14:textFill>
            <w14:solidFill>
              <w14:schemeClr w14:val="tx1"/>
            </w14:solidFill>
          </w14:textFill>
        </w:rPr>
        <w:t>. Functional analysis of</w:t>
      </w:r>
      <w:r>
        <w:rPr>
          <w:rFonts w:hint="eastAsia"/>
          <w:color w:val="000000" w:themeColor="text1"/>
          <w:sz w:val="24"/>
          <w:szCs w:val="24"/>
          <w14:textFill>
            <w14:solidFill>
              <w14:schemeClr w14:val="tx1"/>
            </w14:solidFill>
          </w14:textFill>
        </w:rPr>
        <w:t xml:space="preserve"> </w:t>
      </w:r>
      <w:r>
        <w:rPr>
          <w:color w:val="000000" w:themeColor="text1"/>
          <w:sz w:val="24"/>
          <w:szCs w:val="24"/>
          <w14:textFill>
            <w14:solidFill>
              <w14:schemeClr w14:val="tx1"/>
            </w14:solidFill>
          </w14:textFill>
        </w:rPr>
        <w:t>kisspeptin peptides in adult immature chub mackerel</w:t>
      </w:r>
      <w:r>
        <w:rPr>
          <w:rFonts w:hint="eastAsia"/>
          <w:color w:val="000000" w:themeColor="text1"/>
          <w:sz w:val="24"/>
          <w:szCs w:val="24"/>
          <w14:textFill>
            <w14:solidFill>
              <w14:schemeClr w14:val="tx1"/>
            </w14:solidFill>
          </w14:textFill>
        </w:rPr>
        <w:t xml:space="preserve"> </w:t>
      </w:r>
      <w:r>
        <w:rPr>
          <w:color w:val="000000" w:themeColor="text1"/>
          <w:sz w:val="24"/>
          <w:szCs w:val="24"/>
          <w14:textFill>
            <w14:solidFill>
              <w14:schemeClr w14:val="tx1"/>
            </w14:solidFill>
          </w14:textFill>
        </w:rPr>
        <w:t>(</w:t>
      </w:r>
      <w:r>
        <w:rPr>
          <w:i/>
          <w:iCs/>
          <w:color w:val="000000" w:themeColor="text1"/>
          <w:sz w:val="24"/>
          <w:szCs w:val="24"/>
          <w14:textFill>
            <w14:solidFill>
              <w14:schemeClr w14:val="tx1"/>
            </w14:solidFill>
          </w14:textFill>
        </w:rPr>
        <w:t>Scomber japonicus</w:t>
      </w:r>
      <w:r>
        <w:rPr>
          <w:color w:val="000000" w:themeColor="text1"/>
          <w:sz w:val="24"/>
          <w:szCs w:val="24"/>
          <w14:textFill>
            <w14:solidFill>
              <w14:schemeClr w14:val="tx1"/>
            </w14:solidFill>
          </w14:textFill>
        </w:rPr>
        <w:t>) using an intracerebroventricular</w:t>
      </w:r>
      <w:r>
        <w:rPr>
          <w:rFonts w:hint="eastAsia"/>
          <w:color w:val="000000" w:themeColor="text1"/>
          <w:sz w:val="24"/>
          <w:szCs w:val="24"/>
          <w14:textFill>
            <w14:solidFill>
              <w14:schemeClr w14:val="tx1"/>
            </w14:solidFill>
          </w14:textFill>
        </w:rPr>
        <w:t xml:space="preserve"> </w:t>
      </w:r>
      <w:r>
        <w:rPr>
          <w:color w:val="000000" w:themeColor="text1"/>
          <w:sz w:val="24"/>
          <w:szCs w:val="24"/>
          <w14:textFill>
            <w14:solidFill>
              <w14:schemeClr w14:val="tx1"/>
            </w14:solidFill>
          </w14:textFill>
        </w:rPr>
        <w:t>administration method</w:t>
      </w:r>
      <w:r>
        <w:rPr>
          <w:sz w:val="24"/>
          <w:szCs w:val="24"/>
        </w:rPr>
        <w:t>[J]</w:t>
      </w:r>
      <w:r>
        <w:rPr>
          <w:color w:val="000000" w:themeColor="text1"/>
          <w:sz w:val="24"/>
          <w:szCs w:val="24"/>
          <w14:textFill>
            <w14:solidFill>
              <w14:schemeClr w14:val="tx1"/>
            </w14:solidFill>
          </w14:textFill>
        </w:rPr>
        <w:t>. Neurosci. Lett. 2014,</w:t>
      </w:r>
      <w:r>
        <w:rPr>
          <w:rFonts w:hint="eastAsia"/>
          <w:color w:val="000000" w:themeColor="text1"/>
          <w:sz w:val="24"/>
          <w:szCs w:val="24"/>
          <w14:textFill>
            <w14:solidFill>
              <w14:schemeClr w14:val="tx1"/>
            </w14:solidFill>
          </w14:textFill>
        </w:rPr>
        <w:t xml:space="preserve"> </w:t>
      </w:r>
      <w:r>
        <w:rPr>
          <w:color w:val="000000" w:themeColor="text1"/>
          <w:sz w:val="24"/>
          <w:szCs w:val="24"/>
          <w14:textFill>
            <w14:solidFill>
              <w14:schemeClr w14:val="tx1"/>
            </w14:solidFill>
          </w14:textFill>
        </w:rPr>
        <w:t>561:203-207.</w:t>
      </w:r>
    </w:p>
    <w:p w14:paraId="26F2F1F9">
      <w:pPr>
        <w:pStyle w:val="8"/>
        <w:numPr>
          <w:ilvl w:val="0"/>
          <w:numId w:val="1"/>
        </w:numPr>
        <w:adjustRightInd w:val="0"/>
        <w:snapToGrid w:val="0"/>
        <w:spacing w:line="360" w:lineRule="auto"/>
        <w:ind w:firstLineChars="0"/>
        <w:rPr>
          <w:sz w:val="24"/>
          <w:szCs w:val="24"/>
        </w:rPr>
      </w:pPr>
      <w:r>
        <w:rPr>
          <w:sz w:val="24"/>
          <w:szCs w:val="24"/>
        </w:rPr>
        <w:t>刘建业. Gpr173介导Phoenixin调控的金钱鱼生殖功能的研究[D]. 广东海洋大学, 2020.</w:t>
      </w:r>
    </w:p>
    <w:p w14:paraId="51399F9E">
      <w:pPr>
        <w:pStyle w:val="8"/>
        <w:numPr>
          <w:ilvl w:val="0"/>
          <w:numId w:val="1"/>
        </w:numPr>
        <w:adjustRightInd w:val="0"/>
        <w:snapToGrid w:val="0"/>
        <w:spacing w:line="360" w:lineRule="auto"/>
        <w:ind w:firstLineChars="0"/>
        <w:rPr>
          <w:sz w:val="24"/>
          <w:szCs w:val="24"/>
        </w:rPr>
      </w:pPr>
      <w:r>
        <w:rPr>
          <w:sz w:val="24"/>
          <w:szCs w:val="24"/>
        </w:rPr>
        <w:t>Wang</w:t>
      </w:r>
      <w:r>
        <w:rPr>
          <w:rFonts w:hint="eastAsia"/>
          <w:sz w:val="24"/>
          <w:szCs w:val="24"/>
        </w:rPr>
        <w:t>,</w:t>
      </w:r>
      <w:r>
        <w:rPr>
          <w:sz w:val="24"/>
          <w:szCs w:val="24"/>
        </w:rPr>
        <w:t xml:space="preserve"> C</w:t>
      </w:r>
      <w:r>
        <w:rPr>
          <w:rFonts w:hint="eastAsia"/>
          <w:sz w:val="24"/>
          <w:szCs w:val="24"/>
        </w:rPr>
        <w:t>.</w:t>
      </w:r>
      <w:r>
        <w:rPr>
          <w:sz w:val="24"/>
          <w:szCs w:val="24"/>
        </w:rPr>
        <w:t>, Croll</w:t>
      </w:r>
      <w:r>
        <w:rPr>
          <w:rFonts w:hint="eastAsia"/>
          <w:sz w:val="24"/>
          <w:szCs w:val="24"/>
        </w:rPr>
        <w:t>,</w:t>
      </w:r>
      <w:r>
        <w:rPr>
          <w:sz w:val="24"/>
          <w:szCs w:val="24"/>
        </w:rPr>
        <w:t xml:space="preserve"> R</w:t>
      </w:r>
      <w:r>
        <w:rPr>
          <w:rFonts w:hint="eastAsia"/>
          <w:sz w:val="24"/>
          <w:szCs w:val="24"/>
        </w:rPr>
        <w:t>.</w:t>
      </w:r>
      <w:r>
        <w:rPr>
          <w:sz w:val="24"/>
          <w:szCs w:val="24"/>
        </w:rPr>
        <w:t xml:space="preserve">P. Effects of sex steroids on spawning in the sea scallop, </w:t>
      </w:r>
      <w:r>
        <w:rPr>
          <w:i/>
          <w:iCs/>
          <w:sz w:val="24"/>
          <w:szCs w:val="24"/>
        </w:rPr>
        <w:t>Placopecten magellanicus</w:t>
      </w:r>
      <w:r>
        <w:rPr>
          <w:sz w:val="24"/>
          <w:szCs w:val="24"/>
        </w:rPr>
        <w:t>[J]. Aquaculture. 2006,</w:t>
      </w:r>
      <w:r>
        <w:rPr>
          <w:rFonts w:hint="eastAsia"/>
          <w:sz w:val="24"/>
          <w:szCs w:val="24"/>
        </w:rPr>
        <w:t xml:space="preserve"> </w:t>
      </w:r>
      <w:r>
        <w:rPr>
          <w:sz w:val="24"/>
          <w:szCs w:val="24"/>
        </w:rPr>
        <w:t>256:423-432.</w:t>
      </w:r>
    </w:p>
    <w:p w14:paraId="2AAD5926">
      <w:pPr>
        <w:pStyle w:val="8"/>
        <w:numPr>
          <w:ilvl w:val="0"/>
          <w:numId w:val="1"/>
        </w:numPr>
        <w:spacing w:line="360" w:lineRule="auto"/>
        <w:ind w:firstLineChars="0"/>
        <w:rPr>
          <w:sz w:val="24"/>
          <w:szCs w:val="24"/>
        </w:rPr>
      </w:pPr>
      <w:r>
        <w:rPr>
          <w:sz w:val="24"/>
          <w:szCs w:val="24"/>
        </w:rPr>
        <w:t>Zhu</w:t>
      </w:r>
      <w:r>
        <w:rPr>
          <w:rFonts w:hint="eastAsia"/>
          <w:sz w:val="24"/>
          <w:szCs w:val="24"/>
        </w:rPr>
        <w:t>,</w:t>
      </w:r>
      <w:r>
        <w:rPr>
          <w:sz w:val="24"/>
          <w:szCs w:val="24"/>
        </w:rPr>
        <w:t xml:space="preserve"> X</w:t>
      </w:r>
      <w:r>
        <w:rPr>
          <w:rFonts w:hint="eastAsia"/>
          <w:sz w:val="24"/>
          <w:szCs w:val="24"/>
        </w:rPr>
        <w:t>.</w:t>
      </w:r>
      <w:r>
        <w:rPr>
          <w:sz w:val="24"/>
          <w:szCs w:val="24"/>
        </w:rPr>
        <w:t>, Guo</w:t>
      </w:r>
      <w:r>
        <w:rPr>
          <w:rFonts w:hint="eastAsia"/>
          <w:sz w:val="24"/>
          <w:szCs w:val="24"/>
        </w:rPr>
        <w:t>,</w:t>
      </w:r>
      <w:r>
        <w:rPr>
          <w:sz w:val="24"/>
          <w:szCs w:val="24"/>
        </w:rPr>
        <w:t xml:space="preserve"> C</w:t>
      </w:r>
      <w:r>
        <w:rPr>
          <w:rFonts w:hint="eastAsia"/>
          <w:sz w:val="24"/>
          <w:szCs w:val="24"/>
        </w:rPr>
        <w:t>.</w:t>
      </w:r>
      <w:r>
        <w:rPr>
          <w:sz w:val="24"/>
          <w:szCs w:val="24"/>
        </w:rPr>
        <w:t>, Lin</w:t>
      </w:r>
      <w:r>
        <w:rPr>
          <w:rFonts w:hint="eastAsia"/>
          <w:sz w:val="24"/>
          <w:szCs w:val="24"/>
        </w:rPr>
        <w:t>,</w:t>
      </w:r>
      <w:r>
        <w:rPr>
          <w:sz w:val="24"/>
          <w:szCs w:val="24"/>
        </w:rPr>
        <w:t xml:space="preserve"> C</w:t>
      </w:r>
      <w:r>
        <w:rPr>
          <w:rFonts w:hint="eastAsia"/>
          <w:sz w:val="24"/>
          <w:szCs w:val="24"/>
        </w:rPr>
        <w:t>.</w:t>
      </w:r>
      <w:r>
        <w:rPr>
          <w:sz w:val="24"/>
          <w:szCs w:val="24"/>
        </w:rPr>
        <w:t xml:space="preserve"> et al. Estradiol-17β and testosterone levels during the annual reproductive cycle of in </w:t>
      </w:r>
      <w:r>
        <w:rPr>
          <w:i/>
          <w:iCs/>
          <w:sz w:val="24"/>
          <w:szCs w:val="24"/>
        </w:rPr>
        <w:t>Mytilus coruscus</w:t>
      </w:r>
      <w:r>
        <w:rPr>
          <w:sz w:val="24"/>
          <w:szCs w:val="24"/>
        </w:rPr>
        <w:t>[J]. Anim. Reprod. Sci. 2018,</w:t>
      </w:r>
      <w:r>
        <w:rPr>
          <w:rFonts w:hint="eastAsia"/>
          <w:sz w:val="24"/>
          <w:szCs w:val="24"/>
        </w:rPr>
        <w:t xml:space="preserve"> </w:t>
      </w:r>
      <w:r>
        <w:rPr>
          <w:sz w:val="24"/>
          <w:szCs w:val="24"/>
        </w:rPr>
        <w:t>196:35-42.</w:t>
      </w:r>
    </w:p>
    <w:p w14:paraId="5741DE18">
      <w:pPr>
        <w:pStyle w:val="8"/>
        <w:numPr>
          <w:ilvl w:val="0"/>
          <w:numId w:val="1"/>
        </w:numPr>
        <w:spacing w:line="360" w:lineRule="auto"/>
        <w:ind w:firstLineChars="0"/>
        <w:rPr>
          <w:sz w:val="24"/>
          <w:szCs w:val="24"/>
        </w:rPr>
      </w:pPr>
      <w:r>
        <w:rPr>
          <w:sz w:val="24"/>
          <w:szCs w:val="24"/>
        </w:rPr>
        <w:t>Ciocan</w:t>
      </w:r>
      <w:r>
        <w:rPr>
          <w:rFonts w:hint="eastAsia"/>
          <w:sz w:val="24"/>
          <w:szCs w:val="24"/>
        </w:rPr>
        <w:t>,</w:t>
      </w:r>
      <w:r>
        <w:rPr>
          <w:sz w:val="24"/>
          <w:szCs w:val="24"/>
        </w:rPr>
        <w:t xml:space="preserve"> C.M., Cubero-Leon</w:t>
      </w:r>
      <w:r>
        <w:rPr>
          <w:rFonts w:hint="eastAsia"/>
          <w:sz w:val="24"/>
          <w:szCs w:val="24"/>
        </w:rPr>
        <w:t>,</w:t>
      </w:r>
      <w:r>
        <w:rPr>
          <w:sz w:val="24"/>
          <w:szCs w:val="24"/>
        </w:rPr>
        <w:t xml:space="preserve"> E., Puinean</w:t>
      </w:r>
      <w:r>
        <w:rPr>
          <w:rFonts w:hint="eastAsia"/>
          <w:sz w:val="24"/>
          <w:szCs w:val="24"/>
        </w:rPr>
        <w:t>,</w:t>
      </w:r>
      <w:r>
        <w:rPr>
          <w:sz w:val="24"/>
          <w:szCs w:val="24"/>
        </w:rPr>
        <w:t xml:space="preserve"> A.M.</w:t>
      </w:r>
      <w:r>
        <w:rPr>
          <w:rFonts w:hint="eastAsia"/>
          <w:sz w:val="24"/>
          <w:szCs w:val="24"/>
        </w:rPr>
        <w:t xml:space="preserve"> et al</w:t>
      </w:r>
      <w:r>
        <w:rPr>
          <w:sz w:val="24"/>
          <w:szCs w:val="24"/>
        </w:rPr>
        <w:t xml:space="preserve">. Effects of estrogen exposure in mussels, </w:t>
      </w:r>
      <w:r>
        <w:rPr>
          <w:i/>
          <w:iCs/>
          <w:sz w:val="24"/>
          <w:szCs w:val="24"/>
        </w:rPr>
        <w:t>Mytilus edulis</w:t>
      </w:r>
      <w:r>
        <w:rPr>
          <w:sz w:val="24"/>
          <w:szCs w:val="24"/>
        </w:rPr>
        <w:t>, at different stages of gametogenesis[J]. Environ. Pollut. 2010,</w:t>
      </w:r>
      <w:r>
        <w:rPr>
          <w:rFonts w:hint="eastAsia"/>
          <w:sz w:val="24"/>
          <w:szCs w:val="24"/>
        </w:rPr>
        <w:t xml:space="preserve"> </w:t>
      </w:r>
      <w:r>
        <w:rPr>
          <w:sz w:val="24"/>
          <w:szCs w:val="24"/>
        </w:rPr>
        <w:t>158:2977-2984.</w:t>
      </w:r>
    </w:p>
    <w:p w14:paraId="14F23003">
      <w:pPr>
        <w:pStyle w:val="8"/>
        <w:numPr>
          <w:ilvl w:val="0"/>
          <w:numId w:val="1"/>
        </w:numPr>
        <w:spacing w:line="360" w:lineRule="auto"/>
        <w:ind w:firstLineChars="0"/>
        <w:rPr>
          <w:sz w:val="24"/>
          <w:szCs w:val="24"/>
        </w:rPr>
      </w:pPr>
      <w:r>
        <w:rPr>
          <w:sz w:val="24"/>
          <w:szCs w:val="24"/>
        </w:rPr>
        <w:t>Muriach</w:t>
      </w:r>
      <w:r>
        <w:rPr>
          <w:rFonts w:hint="eastAsia"/>
          <w:sz w:val="24"/>
          <w:szCs w:val="24"/>
        </w:rPr>
        <w:t>,</w:t>
      </w:r>
      <w:r>
        <w:rPr>
          <w:sz w:val="24"/>
          <w:szCs w:val="24"/>
        </w:rPr>
        <w:t xml:space="preserve"> B</w:t>
      </w:r>
      <w:r>
        <w:rPr>
          <w:rFonts w:hint="eastAsia"/>
          <w:sz w:val="24"/>
          <w:szCs w:val="24"/>
        </w:rPr>
        <w:t>.</w:t>
      </w:r>
      <w:r>
        <w:rPr>
          <w:sz w:val="24"/>
          <w:szCs w:val="24"/>
        </w:rPr>
        <w:t>, Carrillo</w:t>
      </w:r>
      <w:r>
        <w:rPr>
          <w:rFonts w:hint="eastAsia"/>
          <w:sz w:val="24"/>
          <w:szCs w:val="24"/>
        </w:rPr>
        <w:t>,</w:t>
      </w:r>
      <w:r>
        <w:rPr>
          <w:sz w:val="24"/>
          <w:szCs w:val="24"/>
        </w:rPr>
        <w:t xml:space="preserve"> M</w:t>
      </w:r>
      <w:r>
        <w:rPr>
          <w:rFonts w:hint="eastAsia"/>
          <w:sz w:val="24"/>
          <w:szCs w:val="24"/>
        </w:rPr>
        <w:t>.</w:t>
      </w:r>
      <w:r>
        <w:rPr>
          <w:sz w:val="24"/>
          <w:szCs w:val="24"/>
        </w:rPr>
        <w:t>, Zanuy</w:t>
      </w:r>
      <w:r>
        <w:rPr>
          <w:rFonts w:hint="eastAsia"/>
          <w:sz w:val="24"/>
          <w:szCs w:val="24"/>
        </w:rPr>
        <w:t>,</w:t>
      </w:r>
      <w:r>
        <w:rPr>
          <w:sz w:val="24"/>
          <w:szCs w:val="24"/>
        </w:rPr>
        <w:t xml:space="preserve"> S</w:t>
      </w:r>
      <w:r>
        <w:rPr>
          <w:rFonts w:hint="eastAsia"/>
          <w:sz w:val="24"/>
          <w:szCs w:val="24"/>
        </w:rPr>
        <w:t>.</w:t>
      </w:r>
      <w:r>
        <w:rPr>
          <w:sz w:val="24"/>
          <w:szCs w:val="24"/>
        </w:rPr>
        <w:t xml:space="preserve"> et al. Distribution of estrogen receptor 2 mRNAs (Esr2a) in the brain and pituitary of the sea bass (</w:t>
      </w:r>
      <w:r>
        <w:rPr>
          <w:i/>
          <w:iCs/>
          <w:sz w:val="24"/>
          <w:szCs w:val="24"/>
        </w:rPr>
        <w:t>Dicentrarchus labrax</w:t>
      </w:r>
      <w:r>
        <w:rPr>
          <w:sz w:val="24"/>
          <w:szCs w:val="24"/>
        </w:rPr>
        <w:t>) [J]. Brain. Res. 2008,</w:t>
      </w:r>
      <w:r>
        <w:rPr>
          <w:rFonts w:hint="eastAsia"/>
          <w:sz w:val="24"/>
          <w:szCs w:val="24"/>
        </w:rPr>
        <w:t xml:space="preserve"> </w:t>
      </w:r>
      <w:r>
        <w:rPr>
          <w:sz w:val="24"/>
          <w:szCs w:val="24"/>
        </w:rPr>
        <w:t>121:126-141.</w:t>
      </w:r>
    </w:p>
    <w:p w14:paraId="2A28AF25">
      <w:pPr>
        <w:pStyle w:val="8"/>
        <w:numPr>
          <w:ilvl w:val="0"/>
          <w:numId w:val="1"/>
        </w:numPr>
        <w:spacing w:line="360" w:lineRule="auto"/>
        <w:ind w:firstLineChars="0"/>
        <w:rPr>
          <w:sz w:val="24"/>
          <w:szCs w:val="24"/>
        </w:rPr>
      </w:pPr>
      <w:r>
        <w:rPr>
          <w:sz w:val="24"/>
          <w:szCs w:val="24"/>
        </w:rPr>
        <w:t>Kazeto</w:t>
      </w:r>
      <w:r>
        <w:rPr>
          <w:rFonts w:hint="eastAsia"/>
          <w:sz w:val="24"/>
          <w:szCs w:val="24"/>
        </w:rPr>
        <w:t>,</w:t>
      </w:r>
      <w:r>
        <w:rPr>
          <w:sz w:val="24"/>
          <w:szCs w:val="24"/>
        </w:rPr>
        <w:t xml:space="preserve"> Y</w:t>
      </w:r>
      <w:r>
        <w:rPr>
          <w:rFonts w:hint="eastAsia"/>
          <w:sz w:val="24"/>
          <w:szCs w:val="24"/>
        </w:rPr>
        <w:t>.</w:t>
      </w:r>
      <w:r>
        <w:rPr>
          <w:sz w:val="24"/>
          <w:szCs w:val="24"/>
        </w:rPr>
        <w:t>, Tosaka</w:t>
      </w:r>
      <w:r>
        <w:rPr>
          <w:rFonts w:hint="eastAsia"/>
          <w:sz w:val="24"/>
          <w:szCs w:val="24"/>
        </w:rPr>
        <w:t>,</w:t>
      </w:r>
      <w:r>
        <w:rPr>
          <w:sz w:val="24"/>
          <w:szCs w:val="24"/>
        </w:rPr>
        <w:t xml:space="preserve"> R</w:t>
      </w:r>
      <w:r>
        <w:rPr>
          <w:rFonts w:hint="eastAsia"/>
          <w:sz w:val="24"/>
          <w:szCs w:val="24"/>
        </w:rPr>
        <w:t>.</w:t>
      </w:r>
      <w:r>
        <w:rPr>
          <w:sz w:val="24"/>
          <w:szCs w:val="24"/>
        </w:rPr>
        <w:t>, Matsubara</w:t>
      </w:r>
      <w:r>
        <w:rPr>
          <w:rFonts w:hint="eastAsia"/>
          <w:sz w:val="24"/>
          <w:szCs w:val="24"/>
        </w:rPr>
        <w:t>,</w:t>
      </w:r>
      <w:r>
        <w:rPr>
          <w:sz w:val="24"/>
          <w:szCs w:val="24"/>
        </w:rPr>
        <w:t xml:space="preserve"> H</w:t>
      </w:r>
      <w:r>
        <w:rPr>
          <w:rFonts w:hint="eastAsia"/>
          <w:sz w:val="24"/>
          <w:szCs w:val="24"/>
        </w:rPr>
        <w:t>.</w:t>
      </w:r>
      <w:r>
        <w:rPr>
          <w:sz w:val="24"/>
          <w:szCs w:val="24"/>
        </w:rPr>
        <w:t xml:space="preserve"> et al. Ovarian steroidogenesis and the role of sex steroid hormones on ovarian growth and maturation of the Japanese eel[J]. J. Steroid Biochem. Mol. Biol. 2011,</w:t>
      </w:r>
      <w:r>
        <w:rPr>
          <w:rFonts w:hint="eastAsia"/>
          <w:sz w:val="24"/>
          <w:szCs w:val="24"/>
        </w:rPr>
        <w:t xml:space="preserve"> </w:t>
      </w:r>
      <w:r>
        <w:rPr>
          <w:sz w:val="24"/>
          <w:szCs w:val="24"/>
        </w:rPr>
        <w:t>127:149-154.</w:t>
      </w:r>
    </w:p>
    <w:p w14:paraId="75D3DFED">
      <w:pPr>
        <w:pStyle w:val="8"/>
        <w:numPr>
          <w:ilvl w:val="0"/>
          <w:numId w:val="1"/>
        </w:numPr>
        <w:spacing w:line="360" w:lineRule="auto"/>
        <w:ind w:firstLineChars="0"/>
        <w:rPr>
          <w:sz w:val="24"/>
          <w:szCs w:val="24"/>
        </w:rPr>
      </w:pPr>
      <w:r>
        <w:rPr>
          <w:sz w:val="24"/>
          <w:szCs w:val="24"/>
        </w:rPr>
        <w:t>Gu</w:t>
      </w:r>
      <w:r>
        <w:rPr>
          <w:rFonts w:hint="eastAsia"/>
          <w:sz w:val="24"/>
          <w:szCs w:val="24"/>
        </w:rPr>
        <w:t>,</w:t>
      </w:r>
      <w:r>
        <w:rPr>
          <w:sz w:val="24"/>
          <w:szCs w:val="24"/>
        </w:rPr>
        <w:t xml:space="preserve"> W</w:t>
      </w:r>
      <w:r>
        <w:rPr>
          <w:rFonts w:hint="eastAsia"/>
          <w:sz w:val="24"/>
          <w:szCs w:val="24"/>
        </w:rPr>
        <w:t>.</w:t>
      </w:r>
      <w:r>
        <w:rPr>
          <w:sz w:val="24"/>
          <w:szCs w:val="24"/>
        </w:rPr>
        <w:t>, Thitiphuree</w:t>
      </w:r>
      <w:r>
        <w:rPr>
          <w:rFonts w:hint="eastAsia"/>
          <w:sz w:val="24"/>
          <w:szCs w:val="24"/>
        </w:rPr>
        <w:t>,</w:t>
      </w:r>
      <w:r>
        <w:rPr>
          <w:sz w:val="24"/>
          <w:szCs w:val="24"/>
        </w:rPr>
        <w:t xml:space="preserve"> T</w:t>
      </w:r>
      <w:r>
        <w:rPr>
          <w:rFonts w:hint="eastAsia"/>
          <w:sz w:val="24"/>
          <w:szCs w:val="24"/>
        </w:rPr>
        <w:t>.</w:t>
      </w:r>
      <w:r>
        <w:rPr>
          <w:sz w:val="24"/>
          <w:szCs w:val="24"/>
        </w:rPr>
        <w:t>, Otoki</w:t>
      </w:r>
      <w:r>
        <w:rPr>
          <w:rFonts w:hint="eastAsia"/>
          <w:sz w:val="24"/>
          <w:szCs w:val="24"/>
        </w:rPr>
        <w:t>,</w:t>
      </w:r>
      <w:r>
        <w:rPr>
          <w:sz w:val="24"/>
          <w:szCs w:val="24"/>
        </w:rPr>
        <w:t xml:space="preserve"> Y</w:t>
      </w:r>
      <w:r>
        <w:rPr>
          <w:rFonts w:hint="eastAsia"/>
          <w:sz w:val="24"/>
          <w:szCs w:val="24"/>
        </w:rPr>
        <w:t>.</w:t>
      </w:r>
      <w:r>
        <w:rPr>
          <w:sz w:val="24"/>
          <w:szCs w:val="24"/>
        </w:rPr>
        <w:t xml:space="preserve"> et al. Expression and functional analyses for estrogen receptor and estrogen related receptor of Yesso scallop, </w:t>
      </w:r>
      <w:r>
        <w:rPr>
          <w:i/>
          <w:iCs/>
          <w:sz w:val="24"/>
          <w:szCs w:val="24"/>
        </w:rPr>
        <w:t>Patinopecten yessoensis</w:t>
      </w:r>
      <w:r>
        <w:rPr>
          <w:sz w:val="24"/>
          <w:szCs w:val="24"/>
        </w:rPr>
        <w:t>[J]. J. Steroid Biochem. Mol. Biol. 2023,</w:t>
      </w:r>
      <w:r>
        <w:rPr>
          <w:rFonts w:hint="eastAsia"/>
          <w:sz w:val="24"/>
          <w:szCs w:val="24"/>
        </w:rPr>
        <w:t xml:space="preserve"> </w:t>
      </w:r>
      <w:r>
        <w:rPr>
          <w:sz w:val="24"/>
          <w:szCs w:val="24"/>
        </w:rPr>
        <w:t>231:106302.</w:t>
      </w:r>
    </w:p>
    <w:p w14:paraId="5C427DDC">
      <w:pPr>
        <w:pStyle w:val="8"/>
        <w:numPr>
          <w:ilvl w:val="0"/>
          <w:numId w:val="1"/>
        </w:numPr>
        <w:spacing w:line="360" w:lineRule="auto"/>
        <w:ind w:firstLineChars="0"/>
        <w:rPr>
          <w:color w:val="000000"/>
          <w:sz w:val="24"/>
          <w:szCs w:val="24"/>
        </w:rPr>
      </w:pPr>
      <w:r>
        <w:rPr>
          <w:sz w:val="24"/>
          <w:szCs w:val="24"/>
        </w:rPr>
        <w:t>Khan</w:t>
      </w:r>
      <w:r>
        <w:rPr>
          <w:rFonts w:hint="eastAsia"/>
          <w:sz w:val="24"/>
          <w:szCs w:val="24"/>
        </w:rPr>
        <w:t>,</w:t>
      </w:r>
      <w:r>
        <w:rPr>
          <w:sz w:val="24"/>
          <w:szCs w:val="24"/>
        </w:rPr>
        <w:t xml:space="preserve"> M</w:t>
      </w:r>
      <w:r>
        <w:rPr>
          <w:rFonts w:hint="eastAsia"/>
          <w:sz w:val="24"/>
          <w:szCs w:val="24"/>
        </w:rPr>
        <w:t>.</w:t>
      </w:r>
      <w:r>
        <w:rPr>
          <w:sz w:val="24"/>
          <w:szCs w:val="24"/>
        </w:rPr>
        <w:t>Z</w:t>
      </w:r>
      <w:r>
        <w:rPr>
          <w:rFonts w:hint="eastAsia"/>
          <w:sz w:val="24"/>
          <w:szCs w:val="24"/>
        </w:rPr>
        <w:t>.</w:t>
      </w:r>
      <w:r>
        <w:rPr>
          <w:sz w:val="24"/>
          <w:szCs w:val="24"/>
        </w:rPr>
        <w:t>I, Uzair</w:t>
      </w:r>
      <w:r>
        <w:rPr>
          <w:rFonts w:hint="eastAsia"/>
          <w:sz w:val="24"/>
          <w:szCs w:val="24"/>
        </w:rPr>
        <w:t>,</w:t>
      </w:r>
      <w:r>
        <w:rPr>
          <w:sz w:val="24"/>
          <w:szCs w:val="24"/>
        </w:rPr>
        <w:t xml:space="preserve"> M</w:t>
      </w:r>
      <w:r>
        <w:rPr>
          <w:rFonts w:hint="eastAsia"/>
          <w:sz w:val="24"/>
          <w:szCs w:val="24"/>
        </w:rPr>
        <w:t>.</w:t>
      </w:r>
      <w:r>
        <w:rPr>
          <w:sz w:val="24"/>
          <w:szCs w:val="24"/>
        </w:rPr>
        <w:t>, Nazli</w:t>
      </w:r>
      <w:r>
        <w:rPr>
          <w:rFonts w:hint="eastAsia"/>
          <w:sz w:val="24"/>
          <w:szCs w:val="24"/>
        </w:rPr>
        <w:t>,</w:t>
      </w:r>
      <w:r>
        <w:rPr>
          <w:sz w:val="24"/>
          <w:szCs w:val="24"/>
        </w:rPr>
        <w:t xml:space="preserve"> A</w:t>
      </w:r>
      <w:r>
        <w:rPr>
          <w:rFonts w:hint="eastAsia"/>
          <w:sz w:val="24"/>
          <w:szCs w:val="24"/>
        </w:rPr>
        <w:t>.</w:t>
      </w:r>
      <w:r>
        <w:rPr>
          <w:sz w:val="24"/>
          <w:szCs w:val="24"/>
        </w:rPr>
        <w:t xml:space="preserve"> et al. An overview on estrogen receptors signaling and its ligands in </w:t>
      </w:r>
      <w:r>
        <w:rPr>
          <w:color w:val="000000"/>
          <w:sz w:val="24"/>
          <w:szCs w:val="24"/>
        </w:rPr>
        <w:t>breast cancer[J]. Eur</w:t>
      </w:r>
      <w:r>
        <w:rPr>
          <w:rFonts w:hint="eastAsia"/>
          <w:color w:val="000000"/>
          <w:sz w:val="24"/>
          <w:szCs w:val="24"/>
        </w:rPr>
        <w:t>.</w:t>
      </w:r>
      <w:r>
        <w:rPr>
          <w:color w:val="000000"/>
          <w:sz w:val="24"/>
          <w:szCs w:val="24"/>
        </w:rPr>
        <w:t xml:space="preserve"> J</w:t>
      </w:r>
      <w:r>
        <w:rPr>
          <w:rFonts w:hint="eastAsia"/>
          <w:color w:val="000000"/>
          <w:sz w:val="24"/>
          <w:szCs w:val="24"/>
        </w:rPr>
        <w:t>.</w:t>
      </w:r>
      <w:r>
        <w:rPr>
          <w:color w:val="000000"/>
          <w:sz w:val="24"/>
          <w:szCs w:val="24"/>
        </w:rPr>
        <w:t xml:space="preserve"> Med</w:t>
      </w:r>
      <w:r>
        <w:rPr>
          <w:rFonts w:hint="eastAsia"/>
          <w:color w:val="000000"/>
          <w:sz w:val="24"/>
          <w:szCs w:val="24"/>
        </w:rPr>
        <w:t>.</w:t>
      </w:r>
      <w:r>
        <w:rPr>
          <w:color w:val="000000"/>
          <w:sz w:val="24"/>
          <w:szCs w:val="24"/>
        </w:rPr>
        <w:t xml:space="preserve"> Chem</w:t>
      </w:r>
      <w:r>
        <w:rPr>
          <w:rFonts w:hint="eastAsia"/>
          <w:color w:val="000000"/>
          <w:sz w:val="24"/>
          <w:szCs w:val="24"/>
        </w:rPr>
        <w:t>.</w:t>
      </w:r>
      <w:r>
        <w:rPr>
          <w:color w:val="000000"/>
          <w:sz w:val="24"/>
          <w:szCs w:val="24"/>
        </w:rPr>
        <w:t xml:space="preserve"> 2022,241:114658.</w:t>
      </w:r>
    </w:p>
    <w:p w14:paraId="7DE33703">
      <w:pPr>
        <w:pStyle w:val="8"/>
        <w:numPr>
          <w:ilvl w:val="0"/>
          <w:numId w:val="1"/>
        </w:numPr>
        <w:spacing w:line="360" w:lineRule="auto"/>
        <w:ind w:firstLineChars="0"/>
        <w:rPr>
          <w:color w:val="000000"/>
          <w:sz w:val="24"/>
          <w:szCs w:val="24"/>
        </w:rPr>
      </w:pPr>
      <w:r>
        <w:rPr>
          <w:color w:val="000000"/>
          <w:sz w:val="24"/>
          <w:szCs w:val="24"/>
        </w:rPr>
        <w:t>Arterburn</w:t>
      </w:r>
      <w:r>
        <w:rPr>
          <w:rFonts w:hint="eastAsia"/>
          <w:color w:val="000000"/>
          <w:sz w:val="24"/>
          <w:szCs w:val="24"/>
        </w:rPr>
        <w:t>,</w:t>
      </w:r>
      <w:r>
        <w:rPr>
          <w:color w:val="000000"/>
          <w:sz w:val="24"/>
          <w:szCs w:val="24"/>
        </w:rPr>
        <w:t xml:space="preserve"> J</w:t>
      </w:r>
      <w:r>
        <w:rPr>
          <w:rFonts w:hint="eastAsia"/>
          <w:color w:val="000000"/>
          <w:sz w:val="24"/>
          <w:szCs w:val="24"/>
        </w:rPr>
        <w:t>.</w:t>
      </w:r>
      <w:r>
        <w:rPr>
          <w:color w:val="000000"/>
          <w:sz w:val="24"/>
          <w:szCs w:val="24"/>
        </w:rPr>
        <w:t>B</w:t>
      </w:r>
      <w:r>
        <w:rPr>
          <w:rFonts w:hint="eastAsia"/>
          <w:color w:val="000000"/>
          <w:sz w:val="24"/>
          <w:szCs w:val="24"/>
        </w:rPr>
        <w:t>.</w:t>
      </w:r>
      <w:r>
        <w:rPr>
          <w:color w:val="000000"/>
          <w:sz w:val="24"/>
          <w:szCs w:val="24"/>
        </w:rPr>
        <w:t>, Prossnitz</w:t>
      </w:r>
      <w:r>
        <w:rPr>
          <w:rFonts w:hint="eastAsia"/>
          <w:color w:val="000000"/>
          <w:sz w:val="24"/>
          <w:szCs w:val="24"/>
        </w:rPr>
        <w:t>,</w:t>
      </w:r>
      <w:r>
        <w:rPr>
          <w:color w:val="000000"/>
          <w:sz w:val="24"/>
          <w:szCs w:val="24"/>
        </w:rPr>
        <w:t xml:space="preserve"> E</w:t>
      </w:r>
      <w:r>
        <w:rPr>
          <w:rFonts w:hint="eastAsia"/>
          <w:color w:val="000000"/>
          <w:sz w:val="24"/>
          <w:szCs w:val="24"/>
        </w:rPr>
        <w:t>.</w:t>
      </w:r>
      <w:r>
        <w:rPr>
          <w:color w:val="000000"/>
          <w:sz w:val="24"/>
          <w:szCs w:val="24"/>
        </w:rPr>
        <w:t>R. G protein–coupled estrogen receptor GPER: molecular pharmacology and therapeutic applications[J]. Annu</w:t>
      </w:r>
      <w:r>
        <w:rPr>
          <w:rFonts w:hint="eastAsia"/>
          <w:color w:val="000000"/>
          <w:sz w:val="24"/>
          <w:szCs w:val="24"/>
        </w:rPr>
        <w:t>.</w:t>
      </w:r>
      <w:r>
        <w:rPr>
          <w:color w:val="000000"/>
          <w:sz w:val="24"/>
          <w:szCs w:val="24"/>
        </w:rPr>
        <w:t xml:space="preserve"> Rev</w:t>
      </w:r>
      <w:r>
        <w:rPr>
          <w:rFonts w:hint="eastAsia"/>
          <w:color w:val="000000"/>
          <w:sz w:val="24"/>
          <w:szCs w:val="24"/>
        </w:rPr>
        <w:t>.</w:t>
      </w:r>
      <w:r>
        <w:rPr>
          <w:color w:val="000000"/>
          <w:sz w:val="24"/>
          <w:szCs w:val="24"/>
        </w:rPr>
        <w:t xml:space="preserve"> </w:t>
      </w:r>
      <w:r>
        <w:rPr>
          <w:rFonts w:hint="eastAsia"/>
          <w:color w:val="000000"/>
          <w:sz w:val="24"/>
          <w:szCs w:val="24"/>
        </w:rPr>
        <w:t>P</w:t>
      </w:r>
      <w:r>
        <w:rPr>
          <w:color w:val="000000"/>
          <w:sz w:val="24"/>
          <w:szCs w:val="24"/>
        </w:rPr>
        <w:t>harmacol</w:t>
      </w:r>
      <w:r>
        <w:rPr>
          <w:rFonts w:hint="eastAsia"/>
          <w:color w:val="000000"/>
          <w:sz w:val="24"/>
          <w:szCs w:val="24"/>
        </w:rPr>
        <w:t>.</w:t>
      </w:r>
      <w:r>
        <w:rPr>
          <w:color w:val="000000"/>
          <w:sz w:val="24"/>
          <w:szCs w:val="24"/>
        </w:rPr>
        <w:t xml:space="preserve"> 2023,</w:t>
      </w:r>
      <w:r>
        <w:rPr>
          <w:rFonts w:hint="eastAsia"/>
          <w:color w:val="000000"/>
          <w:sz w:val="24"/>
          <w:szCs w:val="24"/>
        </w:rPr>
        <w:t xml:space="preserve"> </w:t>
      </w:r>
      <w:r>
        <w:rPr>
          <w:color w:val="000000"/>
          <w:sz w:val="24"/>
          <w:szCs w:val="24"/>
        </w:rPr>
        <w:t>63(1):295-320.</w:t>
      </w:r>
    </w:p>
    <w:p w14:paraId="10C262FB">
      <w:pPr>
        <w:pStyle w:val="8"/>
        <w:numPr>
          <w:ilvl w:val="0"/>
          <w:numId w:val="1"/>
        </w:numPr>
        <w:spacing w:line="360" w:lineRule="auto"/>
        <w:ind w:firstLineChars="0"/>
        <w:rPr>
          <w:color w:val="000000"/>
          <w:sz w:val="24"/>
          <w:szCs w:val="24"/>
        </w:rPr>
      </w:pPr>
      <w:r>
        <w:rPr>
          <w:color w:val="000000"/>
          <w:sz w:val="24"/>
          <w:szCs w:val="24"/>
        </w:rPr>
        <w:t>Soloperto</w:t>
      </w:r>
      <w:r>
        <w:rPr>
          <w:rFonts w:hint="eastAsia"/>
          <w:color w:val="000000"/>
          <w:sz w:val="24"/>
          <w:szCs w:val="24"/>
        </w:rPr>
        <w:t>,</w:t>
      </w:r>
      <w:r>
        <w:rPr>
          <w:color w:val="000000"/>
          <w:sz w:val="24"/>
          <w:szCs w:val="24"/>
        </w:rPr>
        <w:t xml:space="preserve"> S</w:t>
      </w:r>
      <w:r>
        <w:rPr>
          <w:rFonts w:hint="eastAsia"/>
          <w:color w:val="000000"/>
          <w:sz w:val="24"/>
          <w:szCs w:val="24"/>
        </w:rPr>
        <w:t>.</w:t>
      </w:r>
      <w:r>
        <w:rPr>
          <w:color w:val="000000"/>
          <w:sz w:val="24"/>
          <w:szCs w:val="24"/>
        </w:rPr>
        <w:t>, Nihoul</w:t>
      </w:r>
      <w:r>
        <w:rPr>
          <w:rFonts w:hint="eastAsia"/>
          <w:color w:val="000000"/>
          <w:sz w:val="24"/>
          <w:szCs w:val="24"/>
        </w:rPr>
        <w:t>,</w:t>
      </w:r>
      <w:r>
        <w:rPr>
          <w:color w:val="000000"/>
          <w:sz w:val="24"/>
          <w:szCs w:val="24"/>
        </w:rPr>
        <w:t xml:space="preserve"> F</w:t>
      </w:r>
      <w:r>
        <w:rPr>
          <w:rFonts w:hint="eastAsia"/>
          <w:color w:val="000000"/>
          <w:sz w:val="24"/>
          <w:szCs w:val="24"/>
        </w:rPr>
        <w:t>.</w:t>
      </w:r>
      <w:r>
        <w:rPr>
          <w:color w:val="000000"/>
          <w:sz w:val="24"/>
          <w:szCs w:val="24"/>
        </w:rPr>
        <w:t>, Olivier</w:t>
      </w:r>
      <w:r>
        <w:rPr>
          <w:rFonts w:hint="eastAsia"/>
          <w:color w:val="000000"/>
          <w:sz w:val="24"/>
          <w:szCs w:val="24"/>
        </w:rPr>
        <w:t>,</w:t>
      </w:r>
      <w:r>
        <w:rPr>
          <w:color w:val="000000"/>
          <w:sz w:val="24"/>
          <w:szCs w:val="24"/>
        </w:rPr>
        <w:t xml:space="preserve"> S</w:t>
      </w:r>
      <w:r>
        <w:rPr>
          <w:rFonts w:hint="eastAsia"/>
          <w:color w:val="000000"/>
          <w:sz w:val="24"/>
          <w:szCs w:val="24"/>
        </w:rPr>
        <w:t>.</w:t>
      </w:r>
      <w:r>
        <w:rPr>
          <w:color w:val="000000"/>
          <w:sz w:val="24"/>
          <w:szCs w:val="24"/>
        </w:rPr>
        <w:t xml:space="preserve"> et al. Effects of 17α-Ethinylestradiol (EE2) exposure during early life development on the gonadotropic axis ontogenesis of the European sea bass, </w:t>
      </w:r>
      <w:r>
        <w:rPr>
          <w:i/>
          <w:iCs/>
          <w:color w:val="000000"/>
          <w:sz w:val="24"/>
          <w:szCs w:val="24"/>
        </w:rPr>
        <w:t>Dicentrarchus labrax</w:t>
      </w:r>
      <w:r>
        <w:rPr>
          <w:color w:val="000000"/>
          <w:sz w:val="24"/>
          <w:szCs w:val="24"/>
        </w:rPr>
        <w:t>[J]. Comp</w:t>
      </w:r>
      <w:r>
        <w:rPr>
          <w:rFonts w:hint="eastAsia"/>
          <w:color w:val="000000"/>
          <w:sz w:val="24"/>
          <w:szCs w:val="24"/>
        </w:rPr>
        <w:t>.</w:t>
      </w:r>
      <w:r>
        <w:rPr>
          <w:color w:val="000000"/>
          <w:sz w:val="24"/>
          <w:szCs w:val="24"/>
        </w:rPr>
        <w:t xml:space="preserve"> Biochem</w:t>
      </w:r>
      <w:r>
        <w:rPr>
          <w:rFonts w:hint="eastAsia"/>
          <w:color w:val="000000"/>
          <w:sz w:val="24"/>
          <w:szCs w:val="24"/>
        </w:rPr>
        <w:t>.</w:t>
      </w:r>
      <w:r>
        <w:rPr>
          <w:color w:val="000000"/>
          <w:sz w:val="24"/>
          <w:szCs w:val="24"/>
        </w:rPr>
        <w:t xml:space="preserve"> Phys</w:t>
      </w:r>
      <w:r>
        <w:rPr>
          <w:rFonts w:hint="eastAsia"/>
          <w:color w:val="000000"/>
          <w:sz w:val="24"/>
          <w:szCs w:val="24"/>
        </w:rPr>
        <w:t xml:space="preserve">. </w:t>
      </w:r>
      <w:r>
        <w:rPr>
          <w:color w:val="000000"/>
          <w:sz w:val="24"/>
          <w:szCs w:val="24"/>
        </w:rPr>
        <w:t>A</w:t>
      </w:r>
      <w:r>
        <w:rPr>
          <w:rFonts w:hint="eastAsia"/>
          <w:color w:val="000000"/>
          <w:sz w:val="24"/>
          <w:szCs w:val="24"/>
        </w:rPr>
        <w:t>.</w:t>
      </w:r>
      <w:r>
        <w:rPr>
          <w:color w:val="000000"/>
          <w:sz w:val="24"/>
          <w:szCs w:val="24"/>
        </w:rPr>
        <w:t xml:space="preserve"> 2022,</w:t>
      </w:r>
      <w:r>
        <w:rPr>
          <w:rFonts w:hint="eastAsia"/>
          <w:color w:val="000000"/>
          <w:sz w:val="24"/>
          <w:szCs w:val="24"/>
        </w:rPr>
        <w:t xml:space="preserve"> </w:t>
      </w:r>
      <w:r>
        <w:rPr>
          <w:color w:val="000000"/>
          <w:sz w:val="24"/>
          <w:szCs w:val="24"/>
        </w:rPr>
        <w:t>271: 111260.</w:t>
      </w:r>
    </w:p>
    <w:p w14:paraId="0C5BF873">
      <w:pPr>
        <w:pStyle w:val="8"/>
        <w:numPr>
          <w:ilvl w:val="0"/>
          <w:numId w:val="1"/>
        </w:numPr>
        <w:spacing w:line="360" w:lineRule="auto"/>
        <w:ind w:firstLineChars="0"/>
        <w:rPr>
          <w:sz w:val="24"/>
          <w:szCs w:val="24"/>
        </w:rPr>
      </w:pPr>
      <w:r>
        <w:rPr>
          <w:sz w:val="24"/>
          <w:szCs w:val="24"/>
        </w:rPr>
        <w:t>Tsai</w:t>
      </w:r>
      <w:r>
        <w:rPr>
          <w:rFonts w:hint="eastAsia"/>
          <w:sz w:val="24"/>
          <w:szCs w:val="24"/>
        </w:rPr>
        <w:t>,</w:t>
      </w:r>
      <w:r>
        <w:rPr>
          <w:sz w:val="24"/>
          <w:szCs w:val="24"/>
        </w:rPr>
        <w:t xml:space="preserve"> P</w:t>
      </w:r>
      <w:r>
        <w:rPr>
          <w:rFonts w:hint="eastAsia"/>
          <w:sz w:val="24"/>
          <w:szCs w:val="24"/>
        </w:rPr>
        <w:t>.</w:t>
      </w:r>
      <w:r>
        <w:rPr>
          <w:sz w:val="24"/>
          <w:szCs w:val="24"/>
        </w:rPr>
        <w:t>S</w:t>
      </w:r>
      <w:r>
        <w:rPr>
          <w:rFonts w:hint="eastAsia"/>
          <w:sz w:val="24"/>
          <w:szCs w:val="24"/>
        </w:rPr>
        <w:t>.</w:t>
      </w:r>
      <w:r>
        <w:rPr>
          <w:sz w:val="24"/>
          <w:szCs w:val="24"/>
        </w:rPr>
        <w:t>, Sanders</w:t>
      </w:r>
      <w:r>
        <w:rPr>
          <w:rFonts w:hint="eastAsia"/>
          <w:sz w:val="24"/>
          <w:szCs w:val="24"/>
        </w:rPr>
        <w:t>,</w:t>
      </w:r>
      <w:r>
        <w:rPr>
          <w:sz w:val="24"/>
          <w:szCs w:val="24"/>
        </w:rPr>
        <w:t xml:space="preserve"> K</w:t>
      </w:r>
      <w:r>
        <w:rPr>
          <w:rFonts w:hint="eastAsia"/>
          <w:sz w:val="24"/>
          <w:szCs w:val="24"/>
        </w:rPr>
        <w:t>.</w:t>
      </w:r>
      <w:r>
        <w:rPr>
          <w:sz w:val="24"/>
          <w:szCs w:val="24"/>
        </w:rPr>
        <w:t>N</w:t>
      </w:r>
      <w:r>
        <w:rPr>
          <w:rFonts w:hint="eastAsia"/>
          <w:sz w:val="24"/>
          <w:szCs w:val="24"/>
        </w:rPr>
        <w:t>.</w:t>
      </w:r>
      <w:r>
        <w:rPr>
          <w:sz w:val="24"/>
          <w:szCs w:val="24"/>
        </w:rPr>
        <w:t>, Dai</w:t>
      </w:r>
      <w:r>
        <w:rPr>
          <w:rFonts w:hint="eastAsia"/>
          <w:sz w:val="24"/>
          <w:szCs w:val="24"/>
        </w:rPr>
        <w:t>,</w:t>
      </w:r>
      <w:r>
        <w:rPr>
          <w:sz w:val="24"/>
          <w:szCs w:val="24"/>
        </w:rPr>
        <w:t xml:space="preserve"> X</w:t>
      </w:r>
      <w:r>
        <w:rPr>
          <w:rFonts w:hint="eastAsia"/>
          <w:sz w:val="24"/>
          <w:szCs w:val="24"/>
        </w:rPr>
        <w:t>.</w:t>
      </w:r>
      <w:r>
        <w:rPr>
          <w:sz w:val="24"/>
          <w:szCs w:val="24"/>
        </w:rPr>
        <w:t xml:space="preserve"> et al. Authentication of a lophotrochozoan adipokinetic hormone receptor in a Gastropod, </w:t>
      </w:r>
      <w:r>
        <w:rPr>
          <w:i/>
          <w:iCs/>
          <w:sz w:val="24"/>
          <w:szCs w:val="24"/>
        </w:rPr>
        <w:t>Aplysia californica</w:t>
      </w:r>
      <w:r>
        <w:rPr>
          <w:sz w:val="24"/>
          <w:szCs w:val="24"/>
        </w:rPr>
        <w:t>[J]. Gen</w:t>
      </w:r>
      <w:r>
        <w:rPr>
          <w:rFonts w:hint="eastAsia"/>
          <w:sz w:val="24"/>
          <w:szCs w:val="24"/>
        </w:rPr>
        <w:t>.</w:t>
      </w:r>
      <w:r>
        <w:rPr>
          <w:sz w:val="24"/>
          <w:szCs w:val="24"/>
        </w:rPr>
        <w:t xml:space="preserve"> Comp</w:t>
      </w:r>
      <w:r>
        <w:rPr>
          <w:rFonts w:hint="eastAsia"/>
          <w:sz w:val="24"/>
          <w:szCs w:val="24"/>
        </w:rPr>
        <w:t>.</w:t>
      </w:r>
      <w:r>
        <w:rPr>
          <w:sz w:val="24"/>
          <w:szCs w:val="24"/>
        </w:rPr>
        <w:t xml:space="preserve"> Endocr</w:t>
      </w:r>
      <w:r>
        <w:rPr>
          <w:rFonts w:hint="eastAsia"/>
          <w:sz w:val="24"/>
          <w:szCs w:val="24"/>
        </w:rPr>
        <w:t>.</w:t>
      </w:r>
      <w:r>
        <w:rPr>
          <w:sz w:val="24"/>
          <w:szCs w:val="24"/>
        </w:rPr>
        <w:t xml:space="preserve"> 2024,</w:t>
      </w:r>
      <w:r>
        <w:rPr>
          <w:rFonts w:hint="eastAsia"/>
          <w:sz w:val="24"/>
          <w:szCs w:val="24"/>
        </w:rPr>
        <w:t xml:space="preserve"> </w:t>
      </w:r>
      <w:r>
        <w:rPr>
          <w:sz w:val="24"/>
          <w:szCs w:val="24"/>
        </w:rPr>
        <w:t>345:114393.</w:t>
      </w:r>
    </w:p>
    <w:p w14:paraId="3F570F45">
      <w:pPr>
        <w:pStyle w:val="8"/>
        <w:numPr>
          <w:ilvl w:val="0"/>
          <w:numId w:val="1"/>
        </w:numPr>
        <w:spacing w:line="360" w:lineRule="auto"/>
        <w:ind w:firstLineChars="0"/>
        <w:rPr>
          <w:sz w:val="24"/>
          <w:szCs w:val="24"/>
        </w:rPr>
      </w:pPr>
      <w:r>
        <w:rPr>
          <w:sz w:val="24"/>
          <w:szCs w:val="24"/>
        </w:rPr>
        <w:t>June</w:t>
      </w:r>
      <w:r>
        <w:rPr>
          <w:rFonts w:hint="eastAsia"/>
          <w:sz w:val="24"/>
          <w:szCs w:val="24"/>
        </w:rPr>
        <w:t>,</w:t>
      </w:r>
      <w:r>
        <w:rPr>
          <w:sz w:val="24"/>
          <w:szCs w:val="24"/>
        </w:rPr>
        <w:t xml:space="preserve"> K</w:t>
      </w:r>
      <w:r>
        <w:rPr>
          <w:rFonts w:hint="eastAsia"/>
          <w:sz w:val="24"/>
          <w:szCs w:val="24"/>
        </w:rPr>
        <w:t>.</w:t>
      </w:r>
      <w:r>
        <w:rPr>
          <w:sz w:val="24"/>
          <w:szCs w:val="24"/>
        </w:rPr>
        <w:t>, Bridgham</w:t>
      </w:r>
      <w:r>
        <w:rPr>
          <w:rFonts w:hint="eastAsia"/>
          <w:sz w:val="24"/>
          <w:szCs w:val="24"/>
        </w:rPr>
        <w:t>,</w:t>
      </w:r>
      <w:r>
        <w:rPr>
          <w:sz w:val="24"/>
          <w:szCs w:val="24"/>
        </w:rPr>
        <w:t xml:space="preserve"> J</w:t>
      </w:r>
      <w:r>
        <w:rPr>
          <w:rFonts w:hint="eastAsia"/>
          <w:sz w:val="24"/>
          <w:szCs w:val="24"/>
        </w:rPr>
        <w:t>.</w:t>
      </w:r>
      <w:r>
        <w:rPr>
          <w:sz w:val="24"/>
          <w:szCs w:val="24"/>
        </w:rPr>
        <w:t>T</w:t>
      </w:r>
      <w:r>
        <w:rPr>
          <w:rFonts w:hint="eastAsia"/>
          <w:sz w:val="24"/>
          <w:szCs w:val="24"/>
        </w:rPr>
        <w:t>.</w:t>
      </w:r>
      <w:r>
        <w:rPr>
          <w:sz w:val="24"/>
          <w:szCs w:val="24"/>
        </w:rPr>
        <w:t>, Thornton</w:t>
      </w:r>
      <w:r>
        <w:rPr>
          <w:rFonts w:hint="eastAsia"/>
          <w:sz w:val="24"/>
          <w:szCs w:val="24"/>
        </w:rPr>
        <w:t xml:space="preserve">, </w:t>
      </w:r>
      <w:r>
        <w:rPr>
          <w:sz w:val="24"/>
          <w:szCs w:val="24"/>
        </w:rPr>
        <w:t>J</w:t>
      </w:r>
      <w:r>
        <w:rPr>
          <w:rFonts w:hint="eastAsia"/>
          <w:sz w:val="24"/>
          <w:szCs w:val="24"/>
        </w:rPr>
        <w:t>.</w:t>
      </w:r>
      <w:r>
        <w:rPr>
          <w:sz w:val="24"/>
          <w:szCs w:val="24"/>
        </w:rPr>
        <w:t>W</w:t>
      </w:r>
      <w:r>
        <w:rPr>
          <w:rFonts w:hint="eastAsia"/>
          <w:sz w:val="24"/>
          <w:szCs w:val="24"/>
        </w:rPr>
        <w:t xml:space="preserve">. </w:t>
      </w:r>
      <w:r>
        <w:rPr>
          <w:sz w:val="24"/>
          <w:szCs w:val="24"/>
        </w:rPr>
        <w:t xml:space="preserve">The </w:t>
      </w:r>
      <w:r>
        <w:rPr>
          <w:i/>
          <w:iCs/>
          <w:sz w:val="24"/>
          <w:szCs w:val="24"/>
        </w:rPr>
        <w:t>Octopus vulgaris</w:t>
      </w:r>
      <w:r>
        <w:rPr>
          <w:sz w:val="24"/>
          <w:szCs w:val="24"/>
        </w:rPr>
        <w:t xml:space="preserve"> estrogen receptor is a</w:t>
      </w:r>
      <w:r>
        <w:rPr>
          <w:rFonts w:hint="eastAsia"/>
          <w:sz w:val="24"/>
          <w:szCs w:val="24"/>
        </w:rPr>
        <w:t xml:space="preserve"> </w:t>
      </w:r>
      <w:r>
        <w:rPr>
          <w:sz w:val="24"/>
          <w:szCs w:val="24"/>
        </w:rPr>
        <w:t>constitutive transcriptional activator:</w:t>
      </w:r>
      <w:r>
        <w:rPr>
          <w:rFonts w:hint="eastAsia"/>
          <w:sz w:val="24"/>
          <w:szCs w:val="24"/>
        </w:rPr>
        <w:t xml:space="preserve"> </w:t>
      </w:r>
      <w:r>
        <w:rPr>
          <w:sz w:val="24"/>
          <w:szCs w:val="24"/>
        </w:rPr>
        <w:t>evolutionary and functional implications[J].</w:t>
      </w:r>
      <w:r>
        <w:rPr>
          <w:rFonts w:hint="eastAsia"/>
          <w:sz w:val="24"/>
          <w:szCs w:val="24"/>
        </w:rPr>
        <w:t xml:space="preserve"> </w:t>
      </w:r>
      <w:r>
        <w:rPr>
          <w:sz w:val="24"/>
          <w:szCs w:val="24"/>
        </w:rPr>
        <w:t>Endocrinology</w:t>
      </w:r>
      <w:r>
        <w:rPr>
          <w:rFonts w:hint="eastAsia"/>
          <w:sz w:val="24"/>
          <w:szCs w:val="24"/>
        </w:rPr>
        <w:t xml:space="preserve">. </w:t>
      </w:r>
      <w:r>
        <w:rPr>
          <w:sz w:val="24"/>
          <w:szCs w:val="24"/>
        </w:rPr>
        <w:t>2006,</w:t>
      </w:r>
      <w:r>
        <w:rPr>
          <w:rFonts w:hint="eastAsia"/>
          <w:sz w:val="24"/>
          <w:szCs w:val="24"/>
        </w:rPr>
        <w:t xml:space="preserve"> </w:t>
      </w:r>
      <w:r>
        <w:rPr>
          <w:sz w:val="24"/>
          <w:szCs w:val="24"/>
        </w:rPr>
        <w:t>147(8):3861-9.</w:t>
      </w:r>
    </w:p>
    <w:p w14:paraId="09F1AC73">
      <w:pPr>
        <w:pStyle w:val="8"/>
        <w:numPr>
          <w:ilvl w:val="0"/>
          <w:numId w:val="1"/>
        </w:numPr>
        <w:spacing w:line="360" w:lineRule="auto"/>
        <w:ind w:firstLineChars="0"/>
        <w:rPr>
          <w:sz w:val="24"/>
          <w:szCs w:val="24"/>
        </w:rPr>
      </w:pPr>
      <w:r>
        <w:rPr>
          <w:rFonts w:hint="eastAsia"/>
          <w:sz w:val="24"/>
          <w:szCs w:val="24"/>
        </w:rPr>
        <w:t>王昊泽, 王秀利. DNA甲基化及其在水产养殖动物中的应用研究进展[J].河北渔业,2017,(8):48-53.</w:t>
      </w:r>
    </w:p>
    <w:p w14:paraId="17717E36">
      <w:pPr>
        <w:pStyle w:val="8"/>
        <w:numPr>
          <w:ilvl w:val="0"/>
          <w:numId w:val="1"/>
        </w:numPr>
        <w:spacing w:line="360" w:lineRule="auto"/>
        <w:ind w:firstLineChars="0"/>
        <w:rPr>
          <w:sz w:val="24"/>
          <w:szCs w:val="24"/>
        </w:rPr>
      </w:pPr>
      <w:r>
        <w:rPr>
          <w:sz w:val="24"/>
          <w:szCs w:val="24"/>
        </w:rPr>
        <w:t>Haidar</w:t>
      </w:r>
      <w:r>
        <w:rPr>
          <w:rFonts w:hint="eastAsia"/>
          <w:sz w:val="24"/>
          <w:szCs w:val="24"/>
        </w:rPr>
        <w:t>,</w:t>
      </w:r>
      <w:r>
        <w:rPr>
          <w:sz w:val="24"/>
          <w:szCs w:val="24"/>
        </w:rPr>
        <w:t xml:space="preserve"> L</w:t>
      </w:r>
      <w:r>
        <w:rPr>
          <w:rFonts w:hint="eastAsia"/>
          <w:sz w:val="24"/>
          <w:szCs w:val="24"/>
        </w:rPr>
        <w:t>.</w:t>
      </w:r>
      <w:r>
        <w:rPr>
          <w:sz w:val="24"/>
          <w:szCs w:val="24"/>
        </w:rPr>
        <w:t>, Georgescu</w:t>
      </w:r>
      <w:r>
        <w:rPr>
          <w:rFonts w:hint="eastAsia"/>
          <w:sz w:val="24"/>
          <w:szCs w:val="24"/>
        </w:rPr>
        <w:t>,</w:t>
      </w:r>
      <w:r>
        <w:rPr>
          <w:sz w:val="24"/>
          <w:szCs w:val="24"/>
        </w:rPr>
        <w:t xml:space="preserve"> M</w:t>
      </w:r>
      <w:r>
        <w:rPr>
          <w:rFonts w:hint="eastAsia"/>
          <w:sz w:val="24"/>
          <w:szCs w:val="24"/>
        </w:rPr>
        <w:t>.</w:t>
      </w:r>
      <w:r>
        <w:rPr>
          <w:sz w:val="24"/>
          <w:szCs w:val="24"/>
        </w:rPr>
        <w:t>, Drăghici</w:t>
      </w:r>
      <w:r>
        <w:rPr>
          <w:rFonts w:hint="eastAsia"/>
          <w:sz w:val="24"/>
          <w:szCs w:val="24"/>
        </w:rPr>
        <w:t>,</w:t>
      </w:r>
      <w:r>
        <w:rPr>
          <w:sz w:val="24"/>
          <w:szCs w:val="24"/>
        </w:rPr>
        <w:t xml:space="preserve"> G</w:t>
      </w:r>
      <w:r>
        <w:rPr>
          <w:rFonts w:hint="eastAsia"/>
          <w:sz w:val="24"/>
          <w:szCs w:val="24"/>
        </w:rPr>
        <w:t>.</w:t>
      </w:r>
      <w:r>
        <w:rPr>
          <w:sz w:val="24"/>
          <w:szCs w:val="24"/>
        </w:rPr>
        <w:t>A</w:t>
      </w:r>
      <w:r>
        <w:rPr>
          <w:rFonts w:hint="eastAsia"/>
          <w:sz w:val="24"/>
          <w:szCs w:val="24"/>
        </w:rPr>
        <w:t>.</w:t>
      </w:r>
      <w:r>
        <w:rPr>
          <w:sz w:val="24"/>
          <w:szCs w:val="24"/>
        </w:rPr>
        <w:t xml:space="preserve"> et al. DNA Methylation Machinery in Gastropod Mollusks[J]. Life</w:t>
      </w:r>
      <w:r>
        <w:rPr>
          <w:rFonts w:hint="eastAsia"/>
          <w:sz w:val="24"/>
          <w:szCs w:val="24"/>
        </w:rPr>
        <w:t>.</w:t>
      </w:r>
      <w:r>
        <w:rPr>
          <w:sz w:val="24"/>
          <w:szCs w:val="24"/>
        </w:rPr>
        <w:t xml:space="preserve"> 2024,</w:t>
      </w:r>
      <w:r>
        <w:rPr>
          <w:rFonts w:hint="eastAsia"/>
          <w:sz w:val="24"/>
          <w:szCs w:val="24"/>
        </w:rPr>
        <w:t xml:space="preserve"> </w:t>
      </w:r>
      <w:r>
        <w:rPr>
          <w:sz w:val="24"/>
          <w:szCs w:val="24"/>
        </w:rPr>
        <w:t>14(4):</w:t>
      </w:r>
      <w:r>
        <w:rPr>
          <w:rFonts w:hint="eastAsia"/>
          <w:sz w:val="24"/>
          <w:szCs w:val="24"/>
        </w:rPr>
        <w:t>1-21</w:t>
      </w:r>
      <w:r>
        <w:rPr>
          <w:sz w:val="24"/>
          <w:szCs w:val="24"/>
        </w:rPr>
        <w:t>.</w:t>
      </w:r>
    </w:p>
    <w:p w14:paraId="7803AD90">
      <w:pPr>
        <w:pStyle w:val="8"/>
        <w:numPr>
          <w:ilvl w:val="0"/>
          <w:numId w:val="1"/>
        </w:numPr>
        <w:spacing w:line="360" w:lineRule="auto"/>
        <w:ind w:firstLineChars="0"/>
        <w:rPr>
          <w:sz w:val="24"/>
          <w:szCs w:val="24"/>
        </w:rPr>
      </w:pPr>
      <w:r>
        <w:rPr>
          <w:sz w:val="24"/>
          <w:szCs w:val="24"/>
        </w:rPr>
        <w:t>Zhang</w:t>
      </w:r>
      <w:r>
        <w:rPr>
          <w:rFonts w:hint="eastAsia"/>
          <w:sz w:val="24"/>
          <w:szCs w:val="24"/>
        </w:rPr>
        <w:t>,</w:t>
      </w:r>
      <w:r>
        <w:rPr>
          <w:sz w:val="24"/>
          <w:szCs w:val="24"/>
        </w:rPr>
        <w:t xml:space="preserve"> X</w:t>
      </w:r>
      <w:r>
        <w:rPr>
          <w:rFonts w:hint="eastAsia"/>
          <w:sz w:val="24"/>
          <w:szCs w:val="24"/>
        </w:rPr>
        <w:t>.</w:t>
      </w:r>
      <w:r>
        <w:rPr>
          <w:sz w:val="24"/>
          <w:szCs w:val="24"/>
        </w:rPr>
        <w:t>J</w:t>
      </w:r>
      <w:r>
        <w:rPr>
          <w:rFonts w:hint="eastAsia"/>
          <w:sz w:val="24"/>
          <w:szCs w:val="24"/>
        </w:rPr>
        <w:t>.</w:t>
      </w:r>
      <w:r>
        <w:rPr>
          <w:sz w:val="24"/>
          <w:szCs w:val="24"/>
        </w:rPr>
        <w:t>, Han</w:t>
      </w:r>
      <w:r>
        <w:rPr>
          <w:rFonts w:hint="eastAsia"/>
          <w:sz w:val="24"/>
          <w:szCs w:val="24"/>
        </w:rPr>
        <w:t>,</w:t>
      </w:r>
      <w:r>
        <w:rPr>
          <w:sz w:val="24"/>
          <w:szCs w:val="24"/>
        </w:rPr>
        <w:t xml:space="preserve"> B</w:t>
      </w:r>
      <w:r>
        <w:rPr>
          <w:rFonts w:hint="eastAsia"/>
          <w:sz w:val="24"/>
          <w:szCs w:val="24"/>
        </w:rPr>
        <w:t>.</w:t>
      </w:r>
      <w:r>
        <w:rPr>
          <w:sz w:val="24"/>
          <w:szCs w:val="24"/>
        </w:rPr>
        <w:t>B</w:t>
      </w:r>
      <w:r>
        <w:rPr>
          <w:rFonts w:hint="eastAsia"/>
          <w:sz w:val="24"/>
          <w:szCs w:val="24"/>
        </w:rPr>
        <w:t>.</w:t>
      </w:r>
      <w:r>
        <w:rPr>
          <w:sz w:val="24"/>
          <w:szCs w:val="24"/>
        </w:rPr>
        <w:t>, Shao</w:t>
      </w:r>
      <w:r>
        <w:rPr>
          <w:rFonts w:hint="eastAsia"/>
          <w:sz w:val="24"/>
          <w:szCs w:val="24"/>
        </w:rPr>
        <w:t>,</w:t>
      </w:r>
      <w:r>
        <w:rPr>
          <w:sz w:val="24"/>
          <w:szCs w:val="24"/>
        </w:rPr>
        <w:t xml:space="preserve"> Z</w:t>
      </w:r>
      <w:r>
        <w:rPr>
          <w:rFonts w:hint="eastAsia"/>
          <w:sz w:val="24"/>
          <w:szCs w:val="24"/>
        </w:rPr>
        <w:t>.</w:t>
      </w:r>
      <w:r>
        <w:rPr>
          <w:sz w:val="24"/>
          <w:szCs w:val="24"/>
        </w:rPr>
        <w:t>Y</w:t>
      </w:r>
      <w:r>
        <w:rPr>
          <w:rFonts w:hint="eastAsia"/>
          <w:sz w:val="24"/>
          <w:szCs w:val="24"/>
        </w:rPr>
        <w:t>.</w:t>
      </w:r>
      <w:r>
        <w:rPr>
          <w:sz w:val="24"/>
          <w:szCs w:val="24"/>
        </w:rPr>
        <w:t xml:space="preserve"> et al. Auto-suppression of Tet dioxygenases protects the mouse oocyte genome from oxidative demethylation[J]. Nat</w:t>
      </w:r>
      <w:r>
        <w:rPr>
          <w:rFonts w:hint="eastAsia"/>
          <w:sz w:val="24"/>
          <w:szCs w:val="24"/>
        </w:rPr>
        <w:t>.</w:t>
      </w:r>
      <w:r>
        <w:rPr>
          <w:sz w:val="24"/>
          <w:szCs w:val="24"/>
        </w:rPr>
        <w:t xml:space="preserve"> Struct</w:t>
      </w:r>
      <w:r>
        <w:rPr>
          <w:rFonts w:hint="eastAsia"/>
          <w:sz w:val="24"/>
          <w:szCs w:val="24"/>
        </w:rPr>
        <w:t>.</w:t>
      </w:r>
      <w:r>
        <w:rPr>
          <w:sz w:val="24"/>
          <w:szCs w:val="24"/>
        </w:rPr>
        <w:t xml:space="preserve"> Mol</w:t>
      </w:r>
      <w:r>
        <w:rPr>
          <w:rFonts w:hint="eastAsia"/>
          <w:sz w:val="24"/>
          <w:szCs w:val="24"/>
        </w:rPr>
        <w:t>.</w:t>
      </w:r>
      <w:r>
        <w:rPr>
          <w:sz w:val="24"/>
          <w:szCs w:val="24"/>
        </w:rPr>
        <w:t xml:space="preserve"> Biol</w:t>
      </w:r>
      <w:r>
        <w:rPr>
          <w:rFonts w:hint="eastAsia"/>
          <w:sz w:val="24"/>
          <w:szCs w:val="24"/>
        </w:rPr>
        <w:t xml:space="preserve">. </w:t>
      </w:r>
      <w:r>
        <w:rPr>
          <w:sz w:val="24"/>
          <w:szCs w:val="24"/>
        </w:rPr>
        <w:t>2024, 31(1):42-53.</w:t>
      </w:r>
    </w:p>
    <w:p w14:paraId="4026663F">
      <w:pPr>
        <w:pStyle w:val="8"/>
        <w:numPr>
          <w:ilvl w:val="0"/>
          <w:numId w:val="1"/>
        </w:numPr>
        <w:spacing w:line="360" w:lineRule="auto"/>
        <w:ind w:firstLineChars="0"/>
        <w:rPr>
          <w:sz w:val="24"/>
          <w:szCs w:val="24"/>
        </w:rPr>
      </w:pPr>
      <w:r>
        <w:rPr>
          <w:sz w:val="24"/>
          <w:szCs w:val="24"/>
        </w:rPr>
        <w:t>Zhang</w:t>
      </w:r>
      <w:r>
        <w:rPr>
          <w:rFonts w:hint="eastAsia"/>
          <w:sz w:val="24"/>
          <w:szCs w:val="24"/>
        </w:rPr>
        <w:t>,</w:t>
      </w:r>
      <w:r>
        <w:rPr>
          <w:sz w:val="24"/>
          <w:szCs w:val="24"/>
        </w:rPr>
        <w:t xml:space="preserve"> X</w:t>
      </w:r>
      <w:r>
        <w:rPr>
          <w:rFonts w:hint="eastAsia"/>
          <w:sz w:val="24"/>
          <w:szCs w:val="24"/>
        </w:rPr>
        <w:t>.</w:t>
      </w:r>
      <w:r>
        <w:rPr>
          <w:sz w:val="24"/>
          <w:szCs w:val="24"/>
        </w:rPr>
        <w:t>, Li</w:t>
      </w:r>
      <w:r>
        <w:rPr>
          <w:rFonts w:hint="eastAsia"/>
          <w:sz w:val="24"/>
          <w:szCs w:val="24"/>
        </w:rPr>
        <w:t>,</w:t>
      </w:r>
      <w:r>
        <w:rPr>
          <w:sz w:val="24"/>
          <w:szCs w:val="24"/>
        </w:rPr>
        <w:t xml:space="preserve"> Q</w:t>
      </w:r>
      <w:r>
        <w:rPr>
          <w:rFonts w:hint="eastAsia"/>
          <w:sz w:val="24"/>
          <w:szCs w:val="24"/>
        </w:rPr>
        <w:t>.</w:t>
      </w:r>
      <w:r>
        <w:rPr>
          <w:sz w:val="24"/>
          <w:szCs w:val="24"/>
        </w:rPr>
        <w:t>, Kong</w:t>
      </w:r>
      <w:r>
        <w:rPr>
          <w:rFonts w:hint="eastAsia"/>
          <w:sz w:val="24"/>
          <w:szCs w:val="24"/>
        </w:rPr>
        <w:t>,</w:t>
      </w:r>
      <w:r>
        <w:rPr>
          <w:sz w:val="24"/>
          <w:szCs w:val="24"/>
        </w:rPr>
        <w:t xml:space="preserve"> L</w:t>
      </w:r>
      <w:r>
        <w:rPr>
          <w:rFonts w:hint="eastAsia"/>
          <w:sz w:val="24"/>
          <w:szCs w:val="24"/>
        </w:rPr>
        <w:t>.</w:t>
      </w:r>
      <w:r>
        <w:rPr>
          <w:sz w:val="24"/>
          <w:szCs w:val="24"/>
        </w:rPr>
        <w:t xml:space="preserve"> et al. DNA methylation changes detected by methylation-sensitive amplified polymorphism in the Pacific oyster (</w:t>
      </w:r>
      <w:r>
        <w:rPr>
          <w:i/>
          <w:iCs/>
          <w:sz w:val="24"/>
          <w:szCs w:val="24"/>
        </w:rPr>
        <w:t>Crassostrea gigas</w:t>
      </w:r>
      <w:r>
        <w:rPr>
          <w:sz w:val="24"/>
          <w:szCs w:val="24"/>
        </w:rPr>
        <w:t>) in response to salinity stress[J]. Genes. Genom. 2017, 39:1173-1181.</w:t>
      </w:r>
    </w:p>
    <w:p w14:paraId="1C2D5F52">
      <w:pPr>
        <w:pStyle w:val="8"/>
        <w:numPr>
          <w:ilvl w:val="0"/>
          <w:numId w:val="1"/>
        </w:numPr>
        <w:spacing w:line="360" w:lineRule="auto"/>
        <w:ind w:firstLineChars="0"/>
        <w:rPr>
          <w:sz w:val="24"/>
          <w:szCs w:val="24"/>
        </w:rPr>
      </w:pPr>
      <w:r>
        <w:rPr>
          <w:sz w:val="24"/>
          <w:szCs w:val="24"/>
        </w:rPr>
        <w:t>Sarkies, P. Molecular mechanisms of epigenetic inheritance: Possible evolutionary implications[J]. Semin. Cell. Dev. Biol. 2020, 97:106-115.</w:t>
      </w:r>
    </w:p>
    <w:p w14:paraId="13AE9DDD">
      <w:pPr>
        <w:pStyle w:val="8"/>
        <w:numPr>
          <w:ilvl w:val="0"/>
          <w:numId w:val="1"/>
        </w:numPr>
        <w:spacing w:line="360" w:lineRule="auto"/>
        <w:ind w:firstLineChars="0"/>
        <w:rPr>
          <w:sz w:val="24"/>
          <w:szCs w:val="24"/>
        </w:rPr>
      </w:pPr>
      <w:r>
        <w:rPr>
          <w:sz w:val="24"/>
          <w:szCs w:val="24"/>
        </w:rPr>
        <w:t>Zhang</w:t>
      </w:r>
      <w:r>
        <w:rPr>
          <w:rFonts w:hint="eastAsia"/>
          <w:sz w:val="24"/>
          <w:szCs w:val="24"/>
        </w:rPr>
        <w:t>,</w:t>
      </w:r>
      <w:r>
        <w:rPr>
          <w:sz w:val="24"/>
          <w:szCs w:val="24"/>
        </w:rPr>
        <w:t xml:space="preserve"> Q</w:t>
      </w:r>
      <w:r>
        <w:rPr>
          <w:rFonts w:hint="eastAsia"/>
          <w:sz w:val="24"/>
          <w:szCs w:val="24"/>
        </w:rPr>
        <w:t>.</w:t>
      </w:r>
      <w:r>
        <w:rPr>
          <w:sz w:val="24"/>
          <w:szCs w:val="24"/>
        </w:rPr>
        <w:t>, Fu</w:t>
      </w:r>
      <w:r>
        <w:rPr>
          <w:rFonts w:hint="eastAsia"/>
          <w:sz w:val="24"/>
          <w:szCs w:val="24"/>
        </w:rPr>
        <w:t>,</w:t>
      </w:r>
      <w:r>
        <w:rPr>
          <w:sz w:val="24"/>
          <w:szCs w:val="24"/>
        </w:rPr>
        <w:t xml:space="preserve"> Y</w:t>
      </w:r>
      <w:r>
        <w:rPr>
          <w:rFonts w:hint="eastAsia"/>
          <w:sz w:val="24"/>
          <w:szCs w:val="24"/>
        </w:rPr>
        <w:t>.</w:t>
      </w:r>
      <w:r>
        <w:rPr>
          <w:sz w:val="24"/>
          <w:szCs w:val="24"/>
        </w:rPr>
        <w:t>, Zhang</w:t>
      </w:r>
      <w:r>
        <w:rPr>
          <w:rFonts w:hint="eastAsia"/>
          <w:sz w:val="24"/>
          <w:szCs w:val="24"/>
        </w:rPr>
        <w:t>,</w:t>
      </w:r>
      <w:r>
        <w:rPr>
          <w:sz w:val="24"/>
          <w:szCs w:val="24"/>
        </w:rPr>
        <w:t xml:space="preserve"> Y</w:t>
      </w:r>
      <w:r>
        <w:rPr>
          <w:rFonts w:hint="eastAsia"/>
          <w:sz w:val="24"/>
          <w:szCs w:val="24"/>
        </w:rPr>
        <w:t>.</w:t>
      </w:r>
      <w:r>
        <w:rPr>
          <w:sz w:val="24"/>
          <w:szCs w:val="24"/>
        </w:rPr>
        <w:t xml:space="preserve"> et al. Genome-wide identification and expression profiling of the Wnt gene family in three abalone species[J]. Genes</w:t>
      </w:r>
      <w:r>
        <w:rPr>
          <w:rFonts w:hint="eastAsia"/>
          <w:sz w:val="24"/>
          <w:szCs w:val="24"/>
        </w:rPr>
        <w:t>.</w:t>
      </w:r>
      <w:r>
        <w:rPr>
          <w:sz w:val="24"/>
          <w:szCs w:val="24"/>
        </w:rPr>
        <w:t xml:space="preserve"> Genom</w:t>
      </w:r>
      <w:r>
        <w:rPr>
          <w:rFonts w:hint="eastAsia"/>
          <w:sz w:val="24"/>
          <w:szCs w:val="24"/>
        </w:rPr>
        <w:t>.</w:t>
      </w:r>
      <w:r>
        <w:rPr>
          <w:sz w:val="24"/>
          <w:szCs w:val="24"/>
        </w:rPr>
        <w:t xml:space="preserve"> 2024: 1-12.</w:t>
      </w:r>
    </w:p>
    <w:p w14:paraId="2CEAEF4B">
      <w:pPr>
        <w:pStyle w:val="8"/>
        <w:numPr>
          <w:ilvl w:val="0"/>
          <w:numId w:val="1"/>
        </w:numPr>
        <w:adjustRightInd w:val="0"/>
        <w:snapToGrid w:val="0"/>
        <w:spacing w:line="360" w:lineRule="auto"/>
        <w:ind w:firstLineChars="0"/>
        <w:rPr>
          <w:sz w:val="24"/>
          <w:szCs w:val="24"/>
        </w:rPr>
      </w:pPr>
      <w:r>
        <w:rPr>
          <w:sz w:val="24"/>
          <w:szCs w:val="24"/>
        </w:rPr>
        <w:t>Díaz-Freije, E., Gestal, C., Castellanos-Martínez, S.</w:t>
      </w:r>
      <w:r>
        <w:rPr>
          <w:rFonts w:hint="eastAsia"/>
          <w:sz w:val="24"/>
          <w:szCs w:val="24"/>
        </w:rPr>
        <w:t xml:space="preserve"> </w:t>
      </w:r>
      <w:r>
        <w:rPr>
          <w:sz w:val="24"/>
          <w:szCs w:val="24"/>
        </w:rPr>
        <w:t>et al. The role of DNA methylation on</w:t>
      </w:r>
      <w:r>
        <w:rPr>
          <w:i/>
          <w:iCs/>
          <w:sz w:val="24"/>
          <w:szCs w:val="24"/>
        </w:rPr>
        <w:t xml:space="preserve"> Octopus vulgaris</w:t>
      </w:r>
      <w:r>
        <w:rPr>
          <w:sz w:val="24"/>
          <w:szCs w:val="24"/>
        </w:rPr>
        <w:t xml:space="preserve"> development and their perspectives[J]. Front. Physiol. 2014, 5:62-68.</w:t>
      </w:r>
    </w:p>
    <w:p w14:paraId="4BEAD913">
      <w:pPr>
        <w:pStyle w:val="8"/>
        <w:numPr>
          <w:ilvl w:val="0"/>
          <w:numId w:val="1"/>
        </w:numPr>
        <w:adjustRightInd w:val="0"/>
        <w:snapToGrid w:val="0"/>
        <w:spacing w:line="360" w:lineRule="auto"/>
        <w:ind w:firstLineChars="0"/>
        <w:rPr>
          <w:sz w:val="24"/>
          <w:szCs w:val="24"/>
        </w:rPr>
      </w:pPr>
      <w:r>
        <w:rPr>
          <w:sz w:val="24"/>
          <w:szCs w:val="24"/>
        </w:rPr>
        <w:t>何暮春, 张金勇, 刘长琳等. 金乌贼生长期DNA甲基化水平和模式[J]. 渔业科学进展, 2018, 39(4):46-55.</w:t>
      </w:r>
    </w:p>
    <w:p w14:paraId="0B969D06">
      <w:pPr>
        <w:pStyle w:val="8"/>
        <w:numPr>
          <w:ilvl w:val="0"/>
          <w:numId w:val="1"/>
        </w:numPr>
        <w:adjustRightInd w:val="0"/>
        <w:snapToGrid w:val="0"/>
        <w:spacing w:line="360" w:lineRule="auto"/>
        <w:ind w:firstLineChars="0"/>
        <w:rPr>
          <w:sz w:val="24"/>
          <w:szCs w:val="24"/>
        </w:rPr>
      </w:pPr>
      <w:r>
        <w:rPr>
          <w:sz w:val="24"/>
          <w:szCs w:val="24"/>
        </w:rPr>
        <w:t>Macchi, F., Edsinger, E., Sadler, K.C. Epigenetic machinery is functionally conserved in cephalopods[J]. BMC Biol. 2022, 20(1):1-23.</w:t>
      </w:r>
    </w:p>
    <w:p w14:paraId="2C12B0F8">
      <w:pPr>
        <w:pStyle w:val="8"/>
        <w:numPr>
          <w:ilvl w:val="0"/>
          <w:numId w:val="1"/>
        </w:numPr>
        <w:spacing w:line="360" w:lineRule="auto"/>
        <w:ind w:firstLineChars="0"/>
        <w:rPr>
          <w:sz w:val="24"/>
          <w:szCs w:val="24"/>
        </w:rPr>
      </w:pPr>
      <w:r>
        <w:rPr>
          <w:b/>
          <w:bCs/>
          <w:sz w:val="24"/>
          <w:szCs w:val="24"/>
        </w:rPr>
        <w:t>Jiang, M.W.,</w:t>
      </w:r>
      <w:r>
        <w:rPr>
          <w:sz w:val="24"/>
          <w:szCs w:val="24"/>
        </w:rPr>
        <w:t xml:space="preserve"> Peng, R.B., Wang, S.J., Zhou, S.N., Chen, Q.C., Han, Q.X., Jiang, X.M</w:t>
      </w:r>
      <w:r>
        <w:rPr>
          <w:b/>
          <w:bCs/>
          <w:sz w:val="24"/>
          <w:szCs w:val="24"/>
          <w:vertAlign w:val="superscript"/>
        </w:rPr>
        <w:t>*</w:t>
      </w:r>
      <w:r>
        <w:rPr>
          <w:sz w:val="24"/>
          <w:szCs w:val="24"/>
        </w:rPr>
        <w:t xml:space="preserve">. Growth performance and nutritional composition of </w:t>
      </w:r>
      <w:r>
        <w:rPr>
          <w:i/>
          <w:iCs/>
          <w:sz w:val="24"/>
          <w:szCs w:val="24"/>
        </w:rPr>
        <w:t>Sepia pharaonis</w:t>
      </w:r>
      <w:r>
        <w:rPr>
          <w:sz w:val="24"/>
          <w:szCs w:val="24"/>
        </w:rPr>
        <w:t xml:space="preserve"> under artificial culturing conditions[J]. Aquacult. Res. 2018, 49(8):2788-2798.</w:t>
      </w:r>
    </w:p>
    <w:p w14:paraId="641BE000">
      <w:pPr>
        <w:pStyle w:val="8"/>
        <w:numPr>
          <w:ilvl w:val="0"/>
          <w:numId w:val="1"/>
        </w:numPr>
        <w:adjustRightInd w:val="0"/>
        <w:snapToGrid w:val="0"/>
        <w:spacing w:line="360" w:lineRule="auto"/>
        <w:ind w:firstLineChars="0"/>
        <w:rPr>
          <w:sz w:val="24"/>
          <w:szCs w:val="24"/>
        </w:rPr>
      </w:pPr>
      <w:r>
        <w:rPr>
          <w:rFonts w:hint="eastAsia"/>
          <w:sz w:val="24"/>
          <w:szCs w:val="24"/>
        </w:rPr>
        <w:t>蒋霞敏</w:t>
      </w:r>
      <w:r>
        <w:rPr>
          <w:sz w:val="24"/>
          <w:szCs w:val="24"/>
        </w:rPr>
        <w:t>, 彭瑞冰, 韩庆喜</w:t>
      </w:r>
      <w:r>
        <w:rPr>
          <w:rFonts w:hint="eastAsia"/>
          <w:sz w:val="24"/>
          <w:szCs w:val="24"/>
        </w:rPr>
        <w:t xml:space="preserve">, </w:t>
      </w:r>
      <w:r>
        <w:rPr>
          <w:rFonts w:hint="eastAsia"/>
          <w:b/>
          <w:bCs/>
          <w:sz w:val="24"/>
          <w:szCs w:val="24"/>
        </w:rPr>
        <w:t>江茂旺</w:t>
      </w:r>
      <w:r>
        <w:rPr>
          <w:rFonts w:hint="eastAsia"/>
          <w:sz w:val="24"/>
          <w:szCs w:val="24"/>
        </w:rPr>
        <w:t>, 陶震, 宋微微</w:t>
      </w:r>
      <w:r>
        <w:rPr>
          <w:sz w:val="24"/>
          <w:szCs w:val="24"/>
        </w:rPr>
        <w:t>.虎斑乌贼的生物学及养殖技术[M]. 北京:海洋出版社. 2019:1-300.</w:t>
      </w:r>
    </w:p>
    <w:p w14:paraId="1C6D4BE6">
      <w:pPr>
        <w:pStyle w:val="8"/>
        <w:numPr>
          <w:ilvl w:val="0"/>
          <w:numId w:val="1"/>
        </w:numPr>
        <w:adjustRightInd w:val="0"/>
        <w:snapToGrid w:val="0"/>
        <w:spacing w:line="360" w:lineRule="auto"/>
        <w:ind w:firstLineChars="0"/>
        <w:rPr>
          <w:sz w:val="24"/>
          <w:szCs w:val="24"/>
        </w:rPr>
      </w:pPr>
      <w:r>
        <w:rPr>
          <w:sz w:val="24"/>
          <w:szCs w:val="24"/>
        </w:rPr>
        <w:t>Zhang, Z.H., Chen, Q.C., Jiang, X.M, H</w:t>
      </w:r>
      <w:r>
        <w:rPr>
          <w:rFonts w:hint="eastAsia"/>
          <w:sz w:val="24"/>
          <w:szCs w:val="24"/>
        </w:rPr>
        <w:t>an</w:t>
      </w:r>
      <w:r>
        <w:rPr>
          <w:sz w:val="24"/>
          <w:szCs w:val="24"/>
        </w:rPr>
        <w:t xml:space="preserve">, Q.X., Peng, R.B., Pan, H.L., </w:t>
      </w:r>
      <w:r>
        <w:rPr>
          <w:b/>
          <w:bCs/>
          <w:sz w:val="24"/>
          <w:szCs w:val="24"/>
        </w:rPr>
        <w:t>Jiang, M.W</w:t>
      </w:r>
      <w:r>
        <w:rPr>
          <w:b/>
          <w:bCs/>
          <w:sz w:val="24"/>
          <w:szCs w:val="24"/>
          <w:vertAlign w:val="superscript"/>
        </w:rPr>
        <w:t>*</w:t>
      </w:r>
      <w:r>
        <w:rPr>
          <w:b/>
          <w:bCs/>
          <w:sz w:val="24"/>
          <w:szCs w:val="24"/>
        </w:rPr>
        <w:t>.</w:t>
      </w:r>
      <w:r>
        <w:rPr>
          <w:sz w:val="24"/>
          <w:szCs w:val="24"/>
        </w:rPr>
        <w:t xml:space="preserve"> Histological analysis of oogenesis and ovarian development of the pharaoh cuttlefish, </w:t>
      </w:r>
      <w:r>
        <w:rPr>
          <w:i/>
          <w:iCs/>
          <w:sz w:val="24"/>
          <w:szCs w:val="24"/>
        </w:rPr>
        <w:t>Sepia pharaonis</w:t>
      </w:r>
      <w:r>
        <w:rPr>
          <w:sz w:val="24"/>
          <w:szCs w:val="24"/>
        </w:rPr>
        <w:t>[J]. Invertebr. Biol. 2023, 142(2):1-14.</w:t>
      </w:r>
    </w:p>
    <w:p w14:paraId="28057F9D">
      <w:pPr>
        <w:pStyle w:val="8"/>
        <w:numPr>
          <w:ilvl w:val="0"/>
          <w:numId w:val="1"/>
        </w:numPr>
        <w:adjustRightInd w:val="0"/>
        <w:snapToGrid w:val="0"/>
        <w:spacing w:line="360" w:lineRule="auto"/>
        <w:ind w:firstLineChars="0"/>
        <w:rPr>
          <w:sz w:val="24"/>
          <w:szCs w:val="24"/>
        </w:rPr>
      </w:pPr>
      <w:r>
        <w:rPr>
          <w:sz w:val="24"/>
          <w:szCs w:val="24"/>
        </w:rPr>
        <w:t>Goll</w:t>
      </w:r>
      <w:r>
        <w:rPr>
          <w:rFonts w:hint="eastAsia"/>
          <w:sz w:val="24"/>
          <w:szCs w:val="24"/>
        </w:rPr>
        <w:t>,</w:t>
      </w:r>
      <w:r>
        <w:rPr>
          <w:sz w:val="24"/>
          <w:szCs w:val="24"/>
        </w:rPr>
        <w:t xml:space="preserve"> M</w:t>
      </w:r>
      <w:r>
        <w:rPr>
          <w:rFonts w:hint="eastAsia"/>
          <w:sz w:val="24"/>
          <w:szCs w:val="24"/>
        </w:rPr>
        <w:t>.</w:t>
      </w:r>
      <w:r>
        <w:rPr>
          <w:sz w:val="24"/>
          <w:szCs w:val="24"/>
        </w:rPr>
        <w:t>G</w:t>
      </w:r>
      <w:r>
        <w:rPr>
          <w:rFonts w:hint="eastAsia"/>
          <w:sz w:val="24"/>
          <w:szCs w:val="24"/>
        </w:rPr>
        <w:t>.</w:t>
      </w:r>
      <w:r>
        <w:rPr>
          <w:sz w:val="24"/>
          <w:szCs w:val="24"/>
        </w:rPr>
        <w:t>, Kirpekar</w:t>
      </w:r>
      <w:r>
        <w:rPr>
          <w:rFonts w:hint="eastAsia"/>
          <w:sz w:val="24"/>
          <w:szCs w:val="24"/>
        </w:rPr>
        <w:t>,</w:t>
      </w:r>
      <w:r>
        <w:rPr>
          <w:sz w:val="24"/>
          <w:szCs w:val="24"/>
        </w:rPr>
        <w:t xml:space="preserve"> F</w:t>
      </w:r>
      <w:r>
        <w:rPr>
          <w:rFonts w:hint="eastAsia"/>
          <w:sz w:val="24"/>
          <w:szCs w:val="24"/>
        </w:rPr>
        <w:t>.</w:t>
      </w:r>
      <w:r>
        <w:rPr>
          <w:sz w:val="24"/>
          <w:szCs w:val="24"/>
        </w:rPr>
        <w:t>, Maggert</w:t>
      </w:r>
      <w:r>
        <w:rPr>
          <w:rFonts w:hint="eastAsia"/>
          <w:sz w:val="24"/>
          <w:szCs w:val="24"/>
        </w:rPr>
        <w:t>,</w:t>
      </w:r>
      <w:r>
        <w:rPr>
          <w:sz w:val="24"/>
          <w:szCs w:val="24"/>
        </w:rPr>
        <w:t xml:space="preserve"> K</w:t>
      </w:r>
      <w:r>
        <w:rPr>
          <w:rFonts w:hint="eastAsia"/>
          <w:sz w:val="24"/>
          <w:szCs w:val="24"/>
        </w:rPr>
        <w:t>.</w:t>
      </w:r>
      <w:r>
        <w:rPr>
          <w:sz w:val="24"/>
          <w:szCs w:val="24"/>
        </w:rPr>
        <w:t>A</w:t>
      </w:r>
      <w:r>
        <w:rPr>
          <w:rFonts w:hint="eastAsia"/>
          <w:sz w:val="24"/>
          <w:szCs w:val="24"/>
        </w:rPr>
        <w:t>.</w:t>
      </w:r>
      <w:r>
        <w:rPr>
          <w:sz w:val="24"/>
          <w:szCs w:val="24"/>
        </w:rPr>
        <w:t xml:space="preserve"> et al. Methylation of tRNAAsp by the DNA methyltransferase homolog Dnmt2[J]. Science</w:t>
      </w:r>
      <w:r>
        <w:rPr>
          <w:rFonts w:hint="eastAsia"/>
          <w:sz w:val="24"/>
          <w:szCs w:val="24"/>
        </w:rPr>
        <w:t>.</w:t>
      </w:r>
      <w:r>
        <w:rPr>
          <w:sz w:val="24"/>
          <w:szCs w:val="24"/>
        </w:rPr>
        <w:t xml:space="preserve"> 2006, 311(5759):395-398.</w:t>
      </w:r>
    </w:p>
    <w:p w14:paraId="75FD6154"/>
    <w:p w14:paraId="148BD5AB"/>
    <w:p w14:paraId="5390C83A"/>
    <w:p w14:paraId="745E415E"/>
    <w:p w14:paraId="2A659263">
      <w:pPr>
        <w:rPr>
          <w:rFonts w:hint="eastAsia"/>
        </w:rPr>
      </w:pPr>
    </w:p>
    <w:p w14:paraId="11C40A8D">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963B22"/>
    <w:multiLevelType w:val="multilevel"/>
    <w:tmpl w:val="21963B22"/>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691D"/>
    <w:rsid w:val="00567A75"/>
    <w:rsid w:val="009A1375"/>
    <w:rsid w:val="00C00676"/>
    <w:rsid w:val="00C301A2"/>
    <w:rsid w:val="00C55D4F"/>
    <w:rsid w:val="00E6691D"/>
    <w:rsid w:val="183A3A7F"/>
    <w:rsid w:val="4F5D21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microsoft.com/office/2007/relationships/hdphoto" Target="media/image2.wdp"/><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3465</Words>
  <Characters>9210</Characters>
  <Lines>72</Lines>
  <Paragraphs>20</Paragraphs>
  <TotalTime>42</TotalTime>
  <ScaleCrop>false</ScaleCrop>
  <LinksUpToDate>false</LinksUpToDate>
  <CharactersWithSpaces>10166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2026-03-31T02:50:00Z</dcterms:created>
  <dc:creator>maowang jiang</dc:creator>
  <cp:lastModifiedBy>小志</cp:lastModifiedBy>
  <dcterms:modified xsi:type="dcterms:W3CDTF">2026-04-28T05:54:45Z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eyJoZGlkIjoiYmJlY2Q4OGY2NzFhODA0MDU4ZGE1ZjFmYTBjMzJiOGQiLCJ1c2VySWQiOiI4OTQzNjY3ODMifQ==</vt:lpwstr>
  </property>
  <property fmtid="{D5CDD505-2E9C-101B-9397-08002B2CF9AE}" pid="3" name="KSOProductBuildVer">
    <vt:lpwstr>2052-12.1.0.25865</vt:lpwstr>
  </property>
  <property fmtid="{D5CDD505-2E9C-101B-9397-08002B2CF9AE}" pid="4" name="ICV">
    <vt:lpwstr>FDC3D2F76FA74673BB9A6221A81F4BBB_13</vt:lpwstr>
  </property>
</Properties>
</file>