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招标智能体开发文档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color w:val="000000"/>
          <w:sz w:val="21"/>
        </w:rPr>
        <w:t>按修改意见整理版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000000"/>
          <w:sz w:val="21"/>
        </w:rPr>
        <w:t>版本：V1.1    修订日期：2026年9月20日</w:t>
      </w: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一 项目定位与范围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color w:val="000000"/>
          <w:sz w:val="21"/>
        </w:rPr>
        <w:t>本系统面向采购人和招标管理部门，围绕招标前市场调研、招标文件生成、招标文件合法合规检测三个场景，建设一个可追溯、可审查、可配置的招标智能体。系统输出用于辅助采购立项、招标文件编制和合规审查，不替代采购委员会、法务或采购管理部门的最终判断。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color w:val="000000"/>
          <w:sz w:val="21"/>
        </w:rPr>
        <w:t>范围边界：系统只处理招标侧业务，不建设投标文件生成、投标响应编制、供应商投标策略生成等乙方侧能力。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范围项</w:t>
            </w:r>
          </w:p>
        </w:tc>
        <w:tc>
          <w:tcPr>
            <w:tcW w:type="dxa" w:w="3572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纳入系统</w:t>
            </w:r>
          </w:p>
        </w:tc>
        <w:tc>
          <w:tcPr>
            <w:tcW w:type="dxa" w:w="3572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不纳入系统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业务对象</w:t>
            </w:r>
          </w:p>
        </w:tc>
        <w:tc>
          <w:tcPr>
            <w:tcW w:type="dxa" w:w="357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采购人发布的招标需求、调研材料、招标文件、合规审查结果</w:t>
            </w:r>
          </w:p>
        </w:tc>
        <w:tc>
          <w:tcPr>
            <w:tcW w:type="dxa" w:w="357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供应商提交的投标文件、投标报价策略、响应文件编制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核心任务</w:t>
            </w:r>
          </w:p>
        </w:tc>
        <w:tc>
          <w:tcPr>
            <w:tcW w:type="dxa" w:w="357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市场调研、参数对比、招标文件草案生成、招标文件合规检测</w:t>
            </w:r>
          </w:p>
        </w:tc>
        <w:tc>
          <w:tcPr>
            <w:tcW w:type="dxa" w:w="357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投标文件生成、投标方案优化、投标风险规避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输出定位</w:t>
            </w:r>
          </w:p>
        </w:tc>
        <w:tc>
          <w:tcPr>
            <w:tcW w:type="dxa" w:w="357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事实归集、参数佐证、规则校验、风险提示、草案辅助</w:t>
            </w:r>
          </w:p>
        </w:tc>
        <w:tc>
          <w:tcPr>
            <w:tcW w:type="dxa" w:w="357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中标概率预测、乙方竞争策略、投标承诺生成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二 总体架构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color w:val="000000"/>
          <w:sz w:val="21"/>
        </w:rPr>
        <w:t>系统采用 LLM 加 RAG 加多智能体协同的分层架构，确定性任务由规则和工作流执行，理解、归纳和条款判断由大模型辅助完成。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118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4025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应用层</w:t>
            </w:r>
          </w:p>
        </w:tc>
        <w:tc>
          <w:tcPr>
            <w:tcW w:type="dxa" w:w="311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市场调研窗口、招标文件生成窗口、招标文件检测窗口、报告查看与下载</w:t>
            </w:r>
          </w:p>
        </w:tc>
        <w:tc>
          <w:tcPr>
            <w:tcW w:type="dxa" w:w="402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提供上传、配置、审核、确认、导出等用户交互能力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智能体协同层</w:t>
            </w:r>
          </w:p>
        </w:tc>
        <w:tc>
          <w:tcPr>
            <w:tcW w:type="dxa" w:w="311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市场调研产品对比 Agent、招标文件生成 Agent、招标文件检测 Agent</w:t>
            </w:r>
          </w:p>
        </w:tc>
        <w:tc>
          <w:tcPr>
            <w:tcW w:type="dxa" w:w="402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按任务拆分调用检索、规则、模型和文档生成能力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核心引擎层</w:t>
            </w:r>
          </w:p>
        </w:tc>
        <w:tc>
          <w:tcPr>
            <w:tcW w:type="dxa" w:w="311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LLM 引擎、RAG 引擎、Skill 引擎、文档组装引擎</w:t>
            </w:r>
          </w:p>
        </w:tc>
        <w:tc>
          <w:tcPr>
            <w:tcW w:type="dxa" w:w="402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完成文本理解、证据召回、规则执行、报告和文档输出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数据层</w:t>
            </w:r>
          </w:p>
        </w:tc>
        <w:tc>
          <w:tcPr>
            <w:tcW w:type="dxa" w:w="311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厂商参数库、产品资料库、政策法规库、历史采购案例库、招标模板库、审查规则库</w:t>
            </w:r>
          </w:p>
        </w:tc>
        <w:tc>
          <w:tcPr>
            <w:tcW w:type="dxa" w:w="402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支撑检索、对比、生成和合规校验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三 核心引擎设计</w:t>
      </w:r>
    </w:p>
    <w:p>
      <w:pPr>
        <w:pStyle w:val="Heading2"/>
        <w:spacing w:before="180" w:after="100"/>
      </w:pPr>
      <w:r>
        <w:rPr>
          <w:rFonts w:ascii="Microsoft YaHei" w:hAnsi="Microsoft YaHei" w:eastAsia="Microsoft YaHei"/>
          <w:b/>
          <w:color w:val="000000"/>
          <w:sz w:val="24"/>
        </w:rPr>
        <w:t>3.1 LLM 引擎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支持 DeepSeek、Qwen、通义千问、OpenAI 或本地 Ollama 模型的可配置接入。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长文本理解、条款归纳、需求转参数、风险说明等判断性任务由 LLM 完成。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关键输出必须携带依据、来源或规则编号，避免生成无法追溯的结论。</w:t>
      </w:r>
    </w:p>
    <w:p>
      <w:pPr>
        <w:pStyle w:val="Heading2"/>
        <w:spacing w:before="180" w:after="100"/>
      </w:pPr>
      <w:r>
        <w:rPr>
          <w:rFonts w:ascii="Microsoft YaHei" w:hAnsi="Microsoft YaHei" w:eastAsia="Microsoft YaHei"/>
          <w:b/>
          <w:color w:val="000000"/>
          <w:sz w:val="24"/>
        </w:rPr>
        <w:t>3.2 RAG 引擎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采用 SQLite FTS5、BM25、章节标题加权、向量召回和 reranker 重排的混合检索方案。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每个模块先召回相关章节、产品资料、政策依据和历史案例，再交给模型抽取或生成。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检索结果需要保留来源链接、文件名、页码或章节位置，供报告和审查追溯。</w:t>
      </w:r>
    </w:p>
    <w:p>
      <w:pPr>
        <w:pStyle w:val="Heading2"/>
        <w:spacing w:before="180" w:after="100"/>
      </w:pPr>
      <w:r>
        <w:rPr>
          <w:rFonts w:ascii="Microsoft YaHei" w:hAnsi="Microsoft YaHei" w:eastAsia="Microsoft YaHei"/>
          <w:b/>
          <w:color w:val="000000"/>
          <w:sz w:val="24"/>
        </w:rPr>
        <w:t>3.3 Skill 引擎</w:t>
      </w:r>
    </w:p>
    <w:p>
      <w:pPr>
        <w:pStyle w:val="Heading2"/>
        <w:spacing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3.4 Agent 与 LLM 选型建议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模型选型按准确性优先、成本和延迟次之的原则执行。每个 Agent 可配置主模型、备选模型和本地模型；生产环境应通过小样本评测持续验证模型在中文招标语料、长文档理解、结构化输出、依据引用和合规判断上的表现。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推荐主模型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备选模型</w:t>
            </w:r>
          </w:p>
        </w:tc>
        <w:tc>
          <w:tcPr>
            <w:tcW w:type="dxa" w:w="351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选型理由</w:t>
            </w:r>
          </w:p>
        </w:tc>
      </w:tr>
      <w:tr>
        <w:tc>
          <w:tcPr>
            <w:tcW w:type="dxa" w:w="192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市场调研产品对比 Agent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GPT-6 Astra 或 Qwen3 Max Thinking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DeepSeek V4.1 Flash、Qwen3.6 Plus</w:t>
            </w:r>
          </w:p>
        </w:tc>
        <w:tc>
          <w:tcPr>
            <w:tcW w:type="dxa" w:w="351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需要长文本资料理解、网页和文件检索、中文结构化归纳、评分解释和来源追溯。</w:t>
            </w:r>
          </w:p>
        </w:tc>
      </w:tr>
      <w:tr>
        <w:tc>
          <w:tcPr>
            <w:tcW w:type="dxa" w:w="192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招标文件生成 Agent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GPT-6 Astra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Qwen3 Max Thinking、Claude Sonnet 5、DeepSeek V4 Pro</w:t>
            </w:r>
          </w:p>
        </w:tc>
        <w:tc>
          <w:tcPr>
            <w:tcW w:type="dxa" w:w="351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需要从前三产品提炼非排他参数、生成长文档并保持章节一致性和合规边界。</w:t>
            </w:r>
          </w:p>
        </w:tc>
      </w:tr>
      <w:tr>
        <w:tc>
          <w:tcPr>
            <w:tcW w:type="dxa" w:w="192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招标文件检测 Agent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GPT-6 Astra 或 Claude Sonnet 5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DeepSeek V4 Pro、Qwen3 Thinking</w:t>
            </w:r>
          </w:p>
        </w:tc>
        <w:tc>
          <w:tcPr>
            <w:tcW w:type="dxa" w:w="351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需要复杂法规推理、条款语义判断、风险分级和修改建议；必须与规则引擎交叉验证。</w:t>
            </w:r>
          </w:p>
        </w:tc>
      </w:tr>
      <w:tr>
        <w:tc>
          <w:tcPr>
            <w:tcW w:type="dxa" w:w="192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本地或私有化场景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Qwen3 Thinking 或 DeepSeek V4 系列本地/专有部署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Ollama 接入的合规模型</w:t>
            </w:r>
          </w:p>
        </w:tc>
        <w:tc>
          <w:tcPr>
            <w:tcW w:type="dxa" w:w="351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当数据不能出域时优先考虑可私有化部署方案，同时保留云端强模型作为离线评测基准。</w:t>
            </w:r>
          </w:p>
        </w:tc>
      </w:tr>
    </w:tbl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负责取数、文件解析、规则扫描、参数矩阵生成、报告导出、审查记录落库等确定性任务。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与 LLM 形成分工：程序处理可量化规则，模型处理语义理解和复杂条款判断。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所有自动生成内容进入人工确认流程后，才可作为正式招标文件草案输出。</w:t>
      </w: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四 智能体与业务模块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664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核心输入</w:t>
            </w:r>
          </w:p>
        </w:tc>
        <w:tc>
          <w:tcPr>
            <w:tcW w:type="dxa" w:w="289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核心处理</w:t>
            </w:r>
          </w:p>
        </w:tc>
        <w:tc>
          <w:tcPr>
            <w:tcW w:type="dxa" w:w="2664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核心输出</w:t>
            </w:r>
          </w:p>
        </w:tc>
      </w:tr>
      <w:t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市场调研产品对比 Agent</w:t>
            </w:r>
          </w:p>
        </w:tc>
        <w:tc>
          <w:tcPr>
            <w:tcW w:type="dxa" w:w="26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用户提出的采购需求、功能诉求、关键指标阈值、预算范围、服务要求；可补充产品资料或已知品牌型号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将需求转为评价指标，检索满足条件的产品和历史成交记录，按价格、性能、服务等维度打分并形成可追溯对比</w:t>
            </w:r>
          </w:p>
        </w:tc>
        <w:tc>
          <w:tcPr>
            <w:tcW w:type="dxa" w:w="26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满足需求的产品对比表、价格和性能信息、历史成交记录、市场调研评价报告、综合评分与排名</w:t>
            </w:r>
          </w:p>
        </w:tc>
      </w:tr>
      <w:t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招标文件生成 Agent</w:t>
            </w:r>
          </w:p>
        </w:tc>
        <w:tc>
          <w:tcPr>
            <w:tcW w:type="dxa" w:w="26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市场调研产品对比 Agent 的评分结果、排名前三产品的参数和佐证、采购需求、模板和内控规则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抽取前三产品的共性参数和合理差异，形成不指向单一厂商的采购需求、技术参数、商务条款和评分办法</w:t>
            </w:r>
          </w:p>
        </w:tc>
        <w:tc>
          <w:tcPr>
            <w:tcW w:type="dxa" w:w="26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招标参数对比表、招标文件草案、前三产品覆盖情况说明、待人工确认项清单</w:t>
            </w:r>
          </w:p>
        </w:tc>
      </w:tr>
      <w:t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招标文件检测 Agent</w:t>
            </w:r>
          </w:p>
        </w:tc>
        <w:tc>
          <w:tcPr>
            <w:tcW w:type="dxa" w:w="26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系统生成的招标文件草案，或人工上传的招标文件；法规政策库、审查规则库、产品和厂商佐证材料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检查合法性、合规性和合理性，重点校验是否存在倾向性条款、参数排他、厂商数量不足等风险</w:t>
            </w:r>
          </w:p>
        </w:tc>
        <w:tc>
          <w:tcPr>
            <w:tcW w:type="dxa" w:w="26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合规检测报告、风险清单、至少三家可满足厂商的覆盖性说明、依据和修改建议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五 模块详细设计</w:t>
      </w:r>
    </w:p>
    <w:p>
      <w:pPr>
        <w:pStyle w:val="Heading2"/>
        <w:spacing w:before="180" w:after="100"/>
      </w:pPr>
      <w:r>
        <w:rPr>
          <w:rFonts w:ascii="Microsoft YaHei" w:hAnsi="Microsoft YaHei" w:eastAsia="Microsoft YaHei"/>
          <w:b/>
          <w:color w:val="000000"/>
          <w:sz w:val="24"/>
        </w:rPr>
        <w:t>5.1 招标前市场调研产品对比模块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color w:val="000000"/>
          <w:sz w:val="21"/>
        </w:rPr>
        <w:t>该模块从用户提出的采购需求和指标出发，识别能够满足功能、性能、预算和服务要求的产品，并形成带来源依据的对比结果。系统采用综合打分制，基础权重建议为价格 40%、性能 40%、服务 20%，可根据品类特点、采购政策、使用场景和风险因素微调；模块只提供事实、评分和风险提示，最终采购策略仍由采购人确认。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子功能</w:t>
            </w:r>
          </w:p>
        </w:tc>
        <w:tc>
          <w:tcPr>
            <w:tcW w:type="dxa" w:w="4025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处理内容</w:t>
            </w:r>
          </w:p>
        </w:tc>
        <w:tc>
          <w:tcPr>
            <w:tcW w:type="dxa" w:w="2948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输出要求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需求和指标结构化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将用户描述的功能诉求、关键指标阈值、预算范围、服务要求转为可计算评价指标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形成需求确认表，标明必达项、加分项和待确认项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候选产品检索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从公开资料、历史采购案例、产品资料和厂商信息中筛选满足需求的产品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输出候选产品清单和筛选依据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产品对比表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围绕价格、性能、配置、服务、维保、耗材和升级能力进行横向对比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每项指标保留参数值、佐证来源和差异说明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历史成交记录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匹配同品牌同型号或同类产品的中标公告、合同公告和成交价格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优先展示江浙沪三甲医院案例，并保留公告链接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综合评分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按价格 40%、性能 40%、服务 20% 建立基础评分，可按品类和政策要求调整权重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输出分项得分、综合得分、排名和调权说明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市场调研评价报告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汇总产品满足度、价格区间、供应情况、维保耗材、技术成熟度和潜在风险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报告中区分事实、测算、评分和风险提示</w:t>
            </w:r>
          </w:p>
        </w:tc>
      </w:tr>
    </w:tbl>
    <w:p>
      <w:pPr>
        <w:spacing w:after="60"/>
      </w:pPr>
    </w:p>
    <w:p>
      <w:pPr>
        <w:pStyle w:val="Heading2"/>
        <w:spacing w:before="180" w:after="100"/>
      </w:pPr>
      <w:r>
        <w:rPr>
          <w:rFonts w:ascii="Microsoft YaHei" w:hAnsi="Microsoft YaHei" w:eastAsia="Microsoft YaHei"/>
          <w:b/>
          <w:color w:val="000000"/>
          <w:sz w:val="24"/>
        </w:rPr>
        <w:t>5.2 招标文件生成模块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color w:val="000000"/>
          <w:sz w:val="21"/>
        </w:rPr>
        <w:t>该模块承接市场调研产品对比 Agent 的评分结果，原则上选取综合排名前三且能够满足采购需求的产品作为参数来源，生成采购人侧招标文件草案。生成逻辑应提炼多家产品的共性需求和合理差异，避免将单一厂商特征写成排他性条款。模块不生成投标文件，不面向供应商响应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子功能</w:t>
            </w:r>
          </w:p>
        </w:tc>
        <w:tc>
          <w:tcPr>
            <w:tcW w:type="dxa" w:w="4025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处理内容</w:t>
            </w:r>
          </w:p>
        </w:tc>
        <w:tc>
          <w:tcPr>
            <w:tcW w:type="dxa" w:w="2948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输出要求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调研结果承接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读取市场调研评分排名、前三产品参数、价格、服务和佐证材料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形成前三产品覆盖情况说明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需求结构化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将科室需求和调研结论转为品类、应用场景、必达指标、可选指标、预算和服务要求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形成可编辑需求确认表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参数生成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提炼前三产品共同满足的合理参数，识别可能导致排他的单一厂商特征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输出技术参数草案、参数来源和风险提示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商务条款生成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生成付款方式、交付周期、质保期、培训、售后服务、耗材和维保要求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条款来源于模板和内控规则，可配置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评分标准生成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结合价格、性能、服务等维度生成评分细则，避免评分办法反向锁定特定厂商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输出权重建议和倾向性风险提示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资质要求配置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根据项目规模和风险建议供应商资质、业绩、授权和服务能力要求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输出必要性说明，避免过高门槛</w:t>
            </w:r>
          </w:p>
        </w:tc>
      </w:tr>
      <w:tr>
        <w:tc>
          <w:tcPr>
            <w:tcW w:type="dxa" w:w="18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招标文件组装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合并招标公告、投标人须知、采购需求、合同条款、评分办法等章节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输出 docx 和 pdf 草案，并进入人工审核</w:t>
            </w:r>
          </w:p>
        </w:tc>
      </w:tr>
    </w:tbl>
    <w:p>
      <w:pPr>
        <w:spacing w:after="60"/>
      </w:pPr>
    </w:p>
    <w:p>
      <w:pPr>
        <w:pStyle w:val="Heading2"/>
        <w:spacing w:before="180" w:after="100"/>
      </w:pPr>
      <w:r>
        <w:rPr>
          <w:rFonts w:ascii="Microsoft YaHei" w:hAnsi="Microsoft YaHei" w:eastAsia="Microsoft YaHei"/>
          <w:b/>
          <w:color w:val="000000"/>
          <w:sz w:val="24"/>
        </w:rPr>
        <w:t>5.3 招标文件合法合规检测模块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color w:val="000000"/>
          <w:sz w:val="21"/>
        </w:rPr>
        <w:t>该模块可直接接收招标文件生成 Agent 输出的草案，也可接收人工上传的招标文件。检测目标包括合法性、合规性和合理性：既检查是否违反法律法规和采购政策，也检查参数、资质、评分和厂商覆盖是否存在不合理限制。原则上应验证至少三家厂商或产品能够实质性满足核心需求；不足三家时需要标记为高风险并要求人工说明或调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检测项</w:t>
            </w:r>
          </w:p>
        </w:tc>
        <w:tc>
          <w:tcPr>
            <w:tcW w:type="dxa" w:w="4082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检测重点</w:t>
            </w:r>
          </w:p>
        </w:tc>
        <w:tc>
          <w:tcPr>
            <w:tcW w:type="dxa" w:w="2948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厂商覆盖性</w:t>
            </w:r>
          </w:p>
        </w:tc>
        <w:tc>
          <w:tcPr>
            <w:tcW w:type="dxa" w:w="408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核心参数和商务要求是否至少有三家厂商或产品能够满足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覆盖性说明、候选厂商清单、不足三家的高风险提示</w:t>
            </w:r>
          </w:p>
        </w:tc>
      </w:tr>
      <w:tr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歧视性条款</w:t>
            </w:r>
          </w:p>
        </w:tc>
        <w:tc>
          <w:tcPr>
            <w:tcW w:type="dxa" w:w="408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指定品牌、指定技术路线、唯一供应商、特定专利、排他表述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高危风险、原文位置、依据、修改建议</w:t>
            </w:r>
          </w:p>
        </w:tc>
      </w:tr>
      <w:tr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资质门槛</w:t>
            </w:r>
          </w:p>
        </w:tc>
        <w:tc>
          <w:tcPr>
            <w:tcW w:type="dxa" w:w="408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资质等级、业绩数量、地域条件、授权要求是否超出项目需要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中高风险提示和合理性说明</w:t>
            </w:r>
          </w:p>
        </w:tc>
      </w:tr>
      <w:tr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技术参数</w:t>
            </w:r>
          </w:p>
        </w:tc>
        <w:tc>
          <w:tcPr>
            <w:tcW w:type="dxa" w:w="408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星号参数数量、参数组合排他性、非必要指标、技术壁垒倾向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风险等级、可替代表述、佐证依据</w:t>
            </w:r>
          </w:p>
        </w:tc>
      </w:tr>
      <w:tr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评分办法</w:t>
            </w:r>
          </w:p>
        </w:tc>
        <w:tc>
          <w:tcPr>
            <w:tcW w:type="dxa" w:w="408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分值权重、主观分设置、价格分计算、品牌倾向和业绩倾向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评分风险清单和调整建议</w:t>
            </w:r>
          </w:p>
        </w:tc>
      </w:tr>
      <w:tr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程序条款</w:t>
            </w:r>
          </w:p>
        </w:tc>
        <w:tc>
          <w:tcPr>
            <w:tcW w:type="dxa" w:w="408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公告期限、投标截止时间、答疑澄清、开标评标流程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法定时限校验结果</w:t>
            </w:r>
          </w:p>
        </w:tc>
      </w:tr>
      <w:tr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合同与政策</w:t>
            </w:r>
          </w:p>
        </w:tc>
        <w:tc>
          <w:tcPr>
            <w:tcW w:type="dxa" w:w="408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付款、质保、违约责任、验收、服务响应、中小企业、节能环保、国产化、集采目录</w:t>
            </w:r>
          </w:p>
        </w:tc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合同和政策风险提示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六 知识库与数据结构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7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知识类型</w:t>
            </w:r>
          </w:p>
        </w:tc>
        <w:tc>
          <w:tcPr>
            <w:tcW w:type="dxa" w:w="4025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9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2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采购分类模板</w:t>
            </w:r>
          </w:p>
        </w:tc>
        <w:tc>
          <w:tcPr>
            <w:tcW w:type="dxa" w:w="402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设备、服务、工程等采购类型的标准招标文件结构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文件生成和章节校验</w:t>
            </w:r>
          </w:p>
        </w:tc>
      </w:tr>
      <w:tr>
        <w:tc>
          <w:tcPr>
            <w:tcW w:type="dxa" w:w="192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产品参数库</w:t>
            </w:r>
          </w:p>
        </w:tc>
        <w:tc>
          <w:tcPr>
            <w:tcW w:type="dxa" w:w="402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各品类产品的指标、参数范围、常见配置、资料来源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参数抽取、对比和草案生成</w:t>
            </w:r>
          </w:p>
        </w:tc>
      </w:tr>
      <w:tr>
        <w:tc>
          <w:tcPr>
            <w:tcW w:type="dxa" w:w="192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法规政策库</w:t>
            </w:r>
          </w:p>
        </w:tc>
        <w:tc>
          <w:tcPr>
            <w:tcW w:type="dxa" w:w="402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政府采购法、招标投标法、实施条例、87号令、地方规定和内控制度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合规检测和依据引用</w:t>
            </w:r>
          </w:p>
        </w:tc>
      </w:tr>
      <w:tr>
        <w:tc>
          <w:tcPr>
            <w:tcW w:type="dxa" w:w="192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商务条款库</w:t>
            </w:r>
          </w:p>
        </w:tc>
        <w:tc>
          <w:tcPr>
            <w:tcW w:type="dxa" w:w="402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付款、质保、交付、培训、售后、验收等标准条款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商务章节生成</w:t>
            </w:r>
          </w:p>
        </w:tc>
      </w:tr>
      <w:tr>
        <w:tc>
          <w:tcPr>
            <w:tcW w:type="dxa" w:w="192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评分规则库</w:t>
            </w:r>
          </w:p>
        </w:tc>
        <w:tc>
          <w:tcPr>
            <w:tcW w:type="dxa" w:w="402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不同采购类型的评分权重模板和风险规则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评分办法生成和校验</w:t>
            </w:r>
          </w:p>
        </w:tc>
      </w:tr>
      <w:tr>
        <w:tc>
          <w:tcPr>
            <w:tcW w:type="dxa" w:w="192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历史采购案例库</w:t>
            </w:r>
          </w:p>
        </w:tc>
        <w:tc>
          <w:tcPr>
            <w:tcW w:type="dxa" w:w="402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中标公告、合同公告、成交价格、采购单位、品牌型号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市场调研和价格参考</w:t>
            </w:r>
          </w:p>
        </w:tc>
      </w:tr>
      <w:tr>
        <w:tc>
          <w:tcPr>
            <w:tcW w:type="dxa" w:w="192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审查问题库</w:t>
            </w:r>
          </w:p>
        </w:tc>
        <w:tc>
          <w:tcPr>
            <w:tcW w:type="dxa" w:w="402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历史审查意见、违规条款样例、修改后表述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风险识别和建议生成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七 规则引擎设计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color w:val="000000"/>
          <w:sz w:val="21"/>
        </w:rPr>
        <w:t>规则引擎采用硬规则、软规则和语义规则三类规则共同工作。硬规则负责法定时限和量化条件，软规则负责敏感表述匹配，语义规则负责复杂上下文判断。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技术组件</w:t>
            </w:r>
          </w:p>
        </w:tc>
        <w:tc>
          <w:tcPr>
            <w:tcW w:type="dxa" w:w="289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建议方案</w:t>
            </w:r>
          </w:p>
        </w:tc>
        <w:tc>
          <w:tcPr>
            <w:tcW w:type="dxa" w:w="4252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前端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Vue 加 Web 管理界面</w:t>
            </w:r>
          </w:p>
        </w:tc>
        <w:tc>
          <w:tcPr>
            <w:tcW w:type="dxa" w:w="42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按三个业务模块组织工作台、评分详情、报告查看和人工确认页面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FastAPI</w:t>
            </w:r>
          </w:p>
        </w:tc>
        <w:tc>
          <w:tcPr>
            <w:tcW w:type="dxa" w:w="42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提供文件上传、任务编排、检索、评分、报告导出和权限控制接口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 编排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LangGraph 或同类工作流框架</w:t>
            </w:r>
          </w:p>
        </w:tc>
        <w:tc>
          <w:tcPr>
            <w:tcW w:type="dxa" w:w="42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显式编排检索、规则、模型、评分、人工确认和检测节点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大模型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 Agent 选择 GPT-6 Astra、Qwen3、DeepSeek、Claude 或本地 Ollama 模型</w:t>
            </w:r>
          </w:p>
        </w:tc>
        <w:tc>
          <w:tcPr>
            <w:tcW w:type="dxa" w:w="42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市场调研重中文检索归纳，生成重长文档一致性，检测重法规推理和风险判断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向量数据库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Chroma、Milvus 或 Pinecone</w:t>
            </w:r>
          </w:p>
        </w:tc>
        <w:tc>
          <w:tcPr>
            <w:tcW w:type="dxa" w:w="42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本地优先可选 Chroma，规模化部署可选 Milvus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文档解析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MinerU、TextIn、OCR、python-docx、PDF 解析工具</w:t>
            </w:r>
          </w:p>
        </w:tc>
        <w:tc>
          <w:tcPr>
            <w:tcW w:type="dxa" w:w="42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支持 docx、pdf、图片扫描件和产品资料解析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评分引擎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规则权重加可解释评分模型</w:t>
            </w:r>
          </w:p>
        </w:tc>
        <w:tc>
          <w:tcPr>
            <w:tcW w:type="dxa" w:w="42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默认价格 40%、性能 40%、服务 20%，支持品类化调权和人工复核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结构化存储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PostgreSQL 或 MySQL，辅以 SQLite FTS5</w:t>
            </w:r>
          </w:p>
        </w:tc>
        <w:tc>
          <w:tcPr>
            <w:tcW w:type="dxa" w:w="42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存储任务、规则、来源、评分明细、审查记录和检索索引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部署</w:t>
            </w:r>
          </w:p>
        </w:tc>
        <w:tc>
          <w:tcPr>
            <w:tcW w:type="dxa" w:w="289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Docker 容器化部署</w:t>
            </w:r>
          </w:p>
        </w:tc>
        <w:tc>
          <w:tcPr>
            <w:tcW w:type="dxa" w:w="42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区分开发、测试、生产环境，配置模型密钥和数据目录</w:t>
            </w:r>
          </w:p>
        </w:tc>
      </w:tr>
    </w:tbl>
    <w:p>
      <w:pPr>
        <w:spacing w:after="60"/>
      </w:pPr>
    </w:p>
    <w:p>
      <w:pPr>
        <w:spacing w:after="140" w:line="283" w:lineRule="auto"/>
      </w:pPr>
      <w:r>
        <w:rPr>
          <w:rFonts w:ascii="Microsoft YaHei" w:hAnsi="Microsoft YaHei" w:eastAsia="Microsoft YaHei"/>
          <w:color w:val="000000"/>
          <w:sz w:val="21"/>
        </w:rPr>
        <w:t>规则库建设分为四步：法规和内控制度收集、规则编码、历史文件测试、基于政策变化和使用反馈持续迭代。</w:t>
      </w: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八 技术实现建议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技术组件</w:t>
            </w:r>
          </w:p>
        </w:tc>
        <w:tc>
          <w:tcPr>
            <w:tcW w:type="dxa" w:w="289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建议方案</w:t>
            </w:r>
          </w:p>
        </w:tc>
        <w:tc>
          <w:tcPr>
            <w:tcW w:type="dxa" w:w="4252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前端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Vue 加 Web 管理界面</w:t>
            </w:r>
          </w:p>
        </w:tc>
        <w:tc>
          <w:tcPr>
            <w:tcW w:type="dxa" w:w="425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按三个业务模块组织工作台和报告查看页面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FastAPI</w:t>
            </w:r>
          </w:p>
        </w:tc>
        <w:tc>
          <w:tcPr>
            <w:tcW w:type="dxa" w:w="425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提供文件上传、任务编排、检索、报告导出和权限控制接口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 编排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LangGraph 或同类工作流框架</w:t>
            </w:r>
          </w:p>
        </w:tc>
        <w:tc>
          <w:tcPr>
            <w:tcW w:type="dxa" w:w="425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显式编排检索、规则、模型和人工确认节点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大模型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DeepSeek、Qwen、通义千问、OpenAI、本地 Ollama</w:t>
            </w:r>
          </w:p>
        </w:tc>
        <w:tc>
          <w:tcPr>
            <w:tcW w:type="dxa" w:w="425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按部署环境和数据敏感级别灵活切换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向量数据库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Chroma、Milvus 或 Pinecone</w:t>
            </w:r>
          </w:p>
        </w:tc>
        <w:tc>
          <w:tcPr>
            <w:tcW w:type="dxa" w:w="425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本地优先可选 Chroma，规模化部署可选 Milvus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文档解析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MinerU、TextIn、OCR、python-docx、PDF 解析工具</w:t>
            </w:r>
          </w:p>
        </w:tc>
        <w:tc>
          <w:tcPr>
            <w:tcW w:type="dxa" w:w="425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支持 docx、pdf、图片扫描件和产品资料解析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结构化存储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PostgreSQL 或 MySQL，辅以 SQLite FTS5</w:t>
            </w:r>
          </w:p>
        </w:tc>
        <w:tc>
          <w:tcPr>
            <w:tcW w:type="dxa" w:w="425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存储任务、规则、来源、审查记录和检索索引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部署</w:t>
            </w:r>
          </w:p>
        </w:tc>
        <w:tc>
          <w:tcPr>
            <w:tcW w:type="dxa" w:w="289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Docker 容器化部署</w:t>
            </w:r>
          </w:p>
        </w:tc>
        <w:tc>
          <w:tcPr>
            <w:tcW w:type="dxa" w:w="425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区分开发、测试、生产环境，配置模型密钥和数据目录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九 输出物规范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输出物</w:t>
            </w:r>
          </w:p>
        </w:tc>
        <w:tc>
          <w:tcPr>
            <w:tcW w:type="dxa" w:w="4649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21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格式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市场调研评价报告</w:t>
            </w:r>
          </w:p>
        </w:tc>
        <w:tc>
          <w:tcPr>
            <w:tcW w:type="dxa" w:w="464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市场概况、品牌型号对比、历史采购案例、供应商画像、价格区间、风险提示</w:t>
            </w:r>
          </w:p>
        </w:tc>
        <w:tc>
          <w:tcPr>
            <w:tcW w:type="dxa" w:w="221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docx 或 pdf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招标参数对比表</w:t>
            </w:r>
          </w:p>
        </w:tc>
        <w:tc>
          <w:tcPr>
            <w:tcW w:type="dxa" w:w="464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品牌型号、指标项、参数值、来源、覆盖情况、差异说明</w:t>
            </w:r>
          </w:p>
        </w:tc>
        <w:tc>
          <w:tcPr>
            <w:tcW w:type="dxa" w:w="221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xlsx 或 docx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招标文件草案</w:t>
            </w:r>
          </w:p>
        </w:tc>
        <w:tc>
          <w:tcPr>
            <w:tcW w:type="dxa" w:w="464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招标公告、投标人须知、采购需求、合同条款、评分办法、附件</w:t>
            </w:r>
          </w:p>
        </w:tc>
        <w:tc>
          <w:tcPr>
            <w:tcW w:type="dxa" w:w="221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docx 和 pdf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合规检测报告</w:t>
            </w:r>
          </w:p>
        </w:tc>
        <w:tc>
          <w:tcPr>
            <w:tcW w:type="dxa" w:w="464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风险等级、条款位置、原文、依据、风险说明、修改建议、已合规项摘要</w:t>
            </w:r>
          </w:p>
        </w:tc>
        <w:tc>
          <w:tcPr>
            <w:tcW w:type="dxa" w:w="221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docx 或 pdf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待人工确认清单</w:t>
            </w:r>
          </w:p>
        </w:tc>
        <w:tc>
          <w:tcPr>
            <w:tcW w:type="dxa" w:w="464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模型不确定项、缺失材料、需业务确认的参数和条款</w:t>
            </w:r>
          </w:p>
        </w:tc>
        <w:tc>
          <w:tcPr>
            <w:tcW w:type="dxa" w:w="221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页面列表或 docx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 开源参考项目处理意见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color w:val="000000"/>
          <w:sz w:val="21"/>
        </w:rPr>
        <w:t>原文提到的 BidMaster Pro、Bid Agent、tender review kit 等项目偏向投标或投标文件审核场景，与本项目采购人侧招标定位不完全一致。开发时可参考其文档解析、流程编排或规则扫描思路，但不作为业务范围和功能边界的主线依据。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参考项</w:t>
            </w:r>
          </w:p>
        </w:tc>
        <w:tc>
          <w:tcPr>
            <w:tcW w:type="dxa" w:w="2948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3912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可参考内容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BidMaster Pro</w:t>
            </w:r>
          </w:p>
        </w:tc>
        <w:tc>
          <w:tcPr>
            <w:tcW w:type="dxa" w:w="294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降级为技术旁证，不作为功能蓝本</w:t>
            </w:r>
          </w:p>
        </w:tc>
        <w:tc>
          <w:tcPr>
            <w:tcW w:type="dxa" w:w="391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多阶段流水线、文档排版思路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Bid Agent</w:t>
            </w:r>
          </w:p>
        </w:tc>
        <w:tc>
          <w:tcPr>
            <w:tcW w:type="dxa" w:w="294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谨慎参考，剔除投标生成相关逻辑</w:t>
            </w:r>
          </w:p>
        </w:tc>
        <w:tc>
          <w:tcPr>
            <w:tcW w:type="dxa" w:w="391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长文档解析、RAG 检索经验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tender review kit</w:t>
            </w:r>
          </w:p>
        </w:tc>
        <w:tc>
          <w:tcPr>
            <w:tcW w:type="dxa" w:w="294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谨慎参考，限定为规则扫描思路</w:t>
            </w:r>
          </w:p>
        </w:tc>
        <w:tc>
          <w:tcPr>
            <w:tcW w:type="dxa" w:w="391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确定性检查、关键词规则、报告格式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RFP Analyzer 类项目</w:t>
            </w:r>
          </w:p>
        </w:tc>
        <w:tc>
          <w:tcPr>
            <w:tcW w:type="dxa" w:w="294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只参考通用解析和风险提取能力</w:t>
            </w:r>
          </w:p>
        </w:tc>
        <w:tc>
          <w:tcPr>
            <w:tcW w:type="dxa" w:w="391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资格审核、合同风险识别的工程实现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十一 开发里程碑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第一阶段 基础能力</w:t>
            </w:r>
          </w:p>
        </w:tc>
        <w:tc>
          <w:tcPr>
            <w:tcW w:type="dxa" w:w="396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完成文件上传、解析、任务管理、知识库入库和检索链路</w:t>
            </w:r>
          </w:p>
        </w:tc>
        <w:tc>
          <w:tcPr>
            <w:tcW w:type="dxa" w:w="30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解析服务、RAG 检索服务、基础管理页面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第二阶段 市场调研</w:t>
            </w:r>
          </w:p>
        </w:tc>
        <w:tc>
          <w:tcPr>
            <w:tcW w:type="dxa" w:w="396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完成产品资料抽取、品牌型号对比、历史采购案例匹配</w:t>
            </w:r>
          </w:p>
        </w:tc>
        <w:tc>
          <w:tcPr>
            <w:tcW w:type="dxa" w:w="30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市场调研报告和参数对比表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第三阶段 招标文件生成</w:t>
            </w:r>
          </w:p>
        </w:tc>
        <w:tc>
          <w:tcPr>
            <w:tcW w:type="dxa" w:w="396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完成需求结构化、模板填充、技术参数和商务条款生成</w:t>
            </w:r>
          </w:p>
        </w:tc>
        <w:tc>
          <w:tcPr>
            <w:tcW w:type="dxa" w:w="30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招标文件草案和人工确认流程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第四阶段 合规检测</w:t>
            </w:r>
          </w:p>
        </w:tc>
        <w:tc>
          <w:tcPr>
            <w:tcW w:type="dxa" w:w="396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完成规则库、风险识别、依据引用和修改建议输出</w:t>
            </w:r>
          </w:p>
        </w:tc>
        <w:tc>
          <w:tcPr>
            <w:tcW w:type="dxa" w:w="30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合规检测报告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第五阶段 联调验收</w:t>
            </w:r>
          </w:p>
        </w:tc>
        <w:tc>
          <w:tcPr>
            <w:tcW w:type="dxa" w:w="396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完成权限、日志、审计、导出、模型切换和性能优化</w:t>
            </w:r>
          </w:p>
        </w:tc>
        <w:tc>
          <w:tcPr>
            <w:tcW w:type="dxa" w:w="30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试运行版本、测试报告、部署文档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十二 验收标准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业务范围清晰限定在采购人侧招标业务，不出现投标文件生成或乙方响应文件编制能力。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市场调研输出的关键参数、历史案例和价格信息均可追溯到来源。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招标文件草案章节完整，技术参数、商务条款、评分办法均可编辑并支持人工确认。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合规检测报告能够标明条款位置、风险等级、依据和修改建议。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系统支持模型、规则和知识库持续更新，并保留任务日志和审查记录。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00000"/>
          <w:sz w:val="21"/>
        </w:rPr>
        <w:t>生成类结果有人工确认机制，系统不替代最终采购和法务决策。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6"/>
      </w:rPr>
      <w:t>招标智能体开发文档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