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00004" w14:textId="77777777" w:rsidR="007D48FE" w:rsidRDefault="00000000">
      <w:pPr>
        <w:spacing w:before="0" w:line="240" w:lineRule="auto"/>
        <w:jc w:val="both"/>
        <w:rPr>
          <w:sz w:val="36"/>
          <w:szCs w:val="36"/>
        </w:rPr>
      </w:pPr>
      <w:r>
        <w:rPr>
          <w:sz w:val="36"/>
          <w:szCs w:val="36"/>
        </w:rPr>
        <w:t>Supplementary Materials for</w:t>
      </w:r>
    </w:p>
    <w:p w14:paraId="00000005" w14:textId="77777777" w:rsidR="007D48FE" w:rsidRDefault="007D48FE">
      <w:pPr>
        <w:spacing w:before="0" w:line="240" w:lineRule="auto"/>
        <w:jc w:val="both"/>
      </w:pPr>
    </w:p>
    <w:p w14:paraId="00000006" w14:textId="77777777" w:rsidR="007D48FE" w:rsidRDefault="007D48FE">
      <w:pPr>
        <w:spacing w:before="0" w:line="240" w:lineRule="auto"/>
        <w:jc w:val="both"/>
      </w:pPr>
    </w:p>
    <w:p w14:paraId="00000007" w14:textId="77777777" w:rsidR="007D48FE" w:rsidRDefault="00000000">
      <w:pPr>
        <w:spacing w:before="0" w:line="240" w:lineRule="auto"/>
        <w:jc w:val="center"/>
        <w:rPr>
          <w:b/>
          <w:bCs/>
        </w:rPr>
      </w:pPr>
      <w:r>
        <w:rPr>
          <w:b/>
          <w:bCs/>
        </w:rPr>
        <w:t xml:space="preserve">From Local Stressors to Regional Sources: </w:t>
      </w:r>
    </w:p>
    <w:p w14:paraId="00000008" w14:textId="77777777" w:rsidR="007D48FE" w:rsidRDefault="00000000">
      <w:pPr>
        <w:spacing w:before="0" w:line="240" w:lineRule="auto"/>
        <w:jc w:val="center"/>
        <w:rPr>
          <w:b/>
          <w:bCs/>
        </w:rPr>
      </w:pPr>
      <w:r>
        <w:rPr>
          <w:b/>
          <w:bCs/>
        </w:rPr>
        <w:t>Eutrophication and Connectivity Shape a Coastal Metacommunity</w:t>
      </w:r>
    </w:p>
    <w:p w14:paraId="00000009" w14:textId="77777777" w:rsidR="007D48FE" w:rsidRDefault="007D48FE">
      <w:pPr>
        <w:spacing w:before="0" w:line="240" w:lineRule="auto"/>
        <w:jc w:val="center"/>
      </w:pPr>
    </w:p>
    <w:p w14:paraId="0000000D" w14:textId="1B77734A" w:rsidR="007D48FE" w:rsidRDefault="007D48FE">
      <w:pPr>
        <w:spacing w:before="0" w:line="240" w:lineRule="auto"/>
        <w:jc w:val="both"/>
      </w:pPr>
    </w:p>
    <w:p w14:paraId="0000000E" w14:textId="6FD63B2D" w:rsidR="007D48FE" w:rsidRDefault="007D48FE">
      <w:pPr>
        <w:spacing w:before="0" w:line="240" w:lineRule="auto"/>
        <w:jc w:val="both"/>
        <w:rPr>
          <w:b/>
          <w:bCs/>
        </w:rPr>
      </w:pPr>
    </w:p>
    <w:p w14:paraId="0000000F" w14:textId="1031A142" w:rsidR="007D48FE" w:rsidRDefault="00000000">
      <w:pPr>
        <w:spacing w:before="0" w:line="240" w:lineRule="auto"/>
        <w:jc w:val="both"/>
        <w:rPr>
          <w:b/>
          <w:bCs/>
        </w:rPr>
      </w:pPr>
      <w:r>
        <w:rPr>
          <w:b/>
          <w:bCs/>
        </w:rPr>
        <w:t>The PDF file includes:</w:t>
      </w:r>
    </w:p>
    <w:p w14:paraId="00000010" w14:textId="3724C91E" w:rsidR="007D48FE" w:rsidRDefault="007D48FE">
      <w:pPr>
        <w:spacing w:before="0" w:line="240" w:lineRule="auto"/>
        <w:jc w:val="both"/>
      </w:pPr>
    </w:p>
    <w:p w14:paraId="00000011" w14:textId="646A3A72" w:rsidR="007D48FE" w:rsidRDefault="00000000" w:rsidP="00573894">
      <w:pPr>
        <w:pStyle w:val="ListParagraph"/>
        <w:numPr>
          <w:ilvl w:val="0"/>
          <w:numId w:val="2"/>
        </w:numPr>
        <w:spacing w:before="0" w:line="240" w:lineRule="auto"/>
        <w:jc w:val="both"/>
      </w:pPr>
      <w:r>
        <w:t>Materials and Methods</w:t>
      </w:r>
    </w:p>
    <w:p w14:paraId="00000012" w14:textId="764E9BDA" w:rsidR="007D48FE" w:rsidRDefault="00000000" w:rsidP="00573894">
      <w:pPr>
        <w:pStyle w:val="ListParagraph"/>
        <w:numPr>
          <w:ilvl w:val="0"/>
          <w:numId w:val="2"/>
        </w:numPr>
        <w:spacing w:before="0" w:line="240" w:lineRule="auto"/>
        <w:jc w:val="both"/>
      </w:pPr>
      <w:r>
        <w:t>References</w:t>
      </w:r>
    </w:p>
    <w:p w14:paraId="77AB31EB" w14:textId="17E91B22" w:rsidR="00573894" w:rsidRDefault="00573894" w:rsidP="00573894">
      <w:pPr>
        <w:pStyle w:val="ListParagraph"/>
        <w:numPr>
          <w:ilvl w:val="0"/>
          <w:numId w:val="2"/>
        </w:numPr>
        <w:spacing w:before="0" w:line="240" w:lineRule="auto"/>
        <w:jc w:val="both"/>
      </w:pPr>
      <w:r w:rsidRPr="00573894">
        <w:t>Supplementary Figure</w:t>
      </w:r>
    </w:p>
    <w:p w14:paraId="492159E4" w14:textId="77777777" w:rsidR="00573894" w:rsidRDefault="00573894">
      <w:pPr>
        <w:spacing w:before="0" w:line="240" w:lineRule="auto"/>
        <w:ind w:left="720"/>
        <w:jc w:val="both"/>
      </w:pPr>
    </w:p>
    <w:p w14:paraId="00000013" w14:textId="46E03814" w:rsidR="007D48FE" w:rsidRDefault="00000000">
      <w:pPr>
        <w:spacing w:line="240" w:lineRule="auto"/>
      </w:pPr>
      <w:r>
        <w:br w:type="page"/>
      </w:r>
    </w:p>
    <w:p w14:paraId="00000015" w14:textId="2640966B" w:rsidR="007D48FE" w:rsidRDefault="00000000" w:rsidP="00573894">
      <w:pPr>
        <w:pStyle w:val="Heading1"/>
      </w:pPr>
      <w:r>
        <w:lastRenderedPageBreak/>
        <w:t>Materials and Methods</w:t>
      </w:r>
    </w:p>
    <w:p w14:paraId="00000016" w14:textId="2FD10E32" w:rsidR="007D48FE" w:rsidRPr="00FA4149" w:rsidRDefault="00000000" w:rsidP="00FA4149">
      <w:pPr>
        <w:pStyle w:val="Heading2"/>
      </w:pPr>
      <w:r w:rsidRPr="00FA4149">
        <w:t xml:space="preserve">ARMS processing and molecular workflow </w:t>
      </w:r>
    </w:p>
    <w:p w14:paraId="00000017" w14:textId="311D33C2" w:rsidR="007D48FE" w:rsidRDefault="00000000">
      <w:pPr>
        <w:spacing w:line="480" w:lineRule="auto"/>
      </w:pPr>
      <w:r>
        <w:t xml:space="preserve">A typical set of data retrieved from an ARMS includes plate photos, taxonomic inventories of motile organisms (&gt;2mm), and molecular data from three bulk fractions (motile 500µm, motile 106µm, sessile). We focused on the data from the bulk samples. There are two motile fractions coming from sieving which followed the standard </w:t>
      </w:r>
      <w:r w:rsidRPr="00472EF9">
        <w:t>protocols (</w:t>
      </w:r>
      <w:r w:rsidRPr="00573894">
        <w:t>NMNH, n.d.-</w:t>
      </w:r>
      <w:r w:rsidR="00472EF9" w:rsidRPr="00573894">
        <w:t>a</w:t>
      </w:r>
      <w:r w:rsidRPr="00573894">
        <w:t>, Fig. S1). In brief</w:t>
      </w:r>
      <w:r>
        <w:t xml:space="preserve">, ARMS and ~60 L of surrounding seawater were collected and transported in a tarpaulin waterproof bag to a disassembly station. After all ARMS plates were disassembled, we filtered all seawater together with the sediment and the motile organisms from the disassembly bin with a sieve set of 2mm/500µm and then a set of 500µm/106µm. Organisms were hence separated into two size fractions based on the nominal mesh opening: one retained on the 500 µm sieve (motile 500 µm), and the other retained on the 106 µm sieve (motile 106 µm). Both fractions were rinsed with 90% ethanol before storage in a -20 °C freezer in 95% ethanol. The one sessile fraction came from organic materials that were collected from plate scraping following a different </w:t>
      </w:r>
      <w:r w:rsidRPr="00472EF9">
        <w:t>protocol (NMNH, n.d.-</w:t>
      </w:r>
      <w:r w:rsidR="00472EF9" w:rsidRPr="00472EF9">
        <w:t>a</w:t>
      </w:r>
      <w:r w:rsidRPr="00472EF9">
        <w:t xml:space="preserve">): all sessile organisms </w:t>
      </w:r>
      <w:r>
        <w:t>were removed from the ARMS plate using a metal scraper, transferred into a blender, and homogenized. Similar to the motile fraction, ~ 15ml sessile fraction was then preserved in 95% ethanol before storing in a -20 °C freezer.</w:t>
      </w:r>
    </w:p>
    <w:p w14:paraId="00000018" w14:textId="3AD817E7" w:rsidR="007D48FE" w:rsidRDefault="007D48FE">
      <w:pPr>
        <w:spacing w:line="480" w:lineRule="auto"/>
      </w:pPr>
    </w:p>
    <w:p w14:paraId="00000019" w14:textId="3780E1FC" w:rsidR="007D48FE" w:rsidRDefault="00000000">
      <w:pPr>
        <w:spacing w:line="480" w:lineRule="auto"/>
      </w:pPr>
      <w:r>
        <w:t xml:space="preserve">DNA extraction and the downstream molecular workflow were identical for all three fractions except for an initial decanting step for the two motile fractions to remove sediments from the targeted organic matter. After this step, ~10 g material from each sample was weighed out and </w:t>
      </w:r>
      <w:r w:rsidRPr="00472EF9">
        <w:t xml:space="preserve">extracted from using the DNeasy PowerMax Soil Kit (Qiagen) using a slightly modified protocol </w:t>
      </w:r>
      <w:r w:rsidRPr="00460E63">
        <w:lastRenderedPageBreak/>
        <w:t>(NMNH, n.d.-</w:t>
      </w:r>
      <w:r w:rsidR="00472EF9" w:rsidRPr="00460E63">
        <w:t>b</w:t>
      </w:r>
      <w:r w:rsidRPr="00460E63">
        <w:t xml:space="preserve">) with an overnight chemical lysis with proteinase K rather than the standard physical lysis with glass beads aiming to enhance integrity of the DNA fragments. All DNA extracts were then purified using the DNeasy PowerClean Pro Cleanup Kit (Qiagen) with the standard protocol (QIAGEN, 2024). </w:t>
      </w:r>
    </w:p>
    <w:p w14:paraId="0000001A" w14:textId="77777777" w:rsidR="007D48FE" w:rsidRDefault="007D48FE">
      <w:pPr>
        <w:spacing w:line="480" w:lineRule="auto"/>
      </w:pPr>
    </w:p>
    <w:p w14:paraId="0000001B" w14:textId="77777777" w:rsidR="007D48FE" w:rsidRDefault="00000000">
      <w:pPr>
        <w:spacing w:line="480" w:lineRule="auto"/>
      </w:pPr>
      <w:r>
        <w:t xml:space="preserve">We then targeted a 313 bp </w:t>
      </w:r>
      <w:r w:rsidRPr="00460E63">
        <w:t xml:space="preserve">mitochondrial Cytochrome c oxidase I (COI/CO1) region using the “mlCOIintF/jgHCO2198” primer set for PCR amplification (Leray et al., 2013). All DNA </w:t>
      </w:r>
      <w:r>
        <w:t xml:space="preserve">samples were amplified in triplicate to minimize PCR bias. Each PCR reaction mixture contained 2 µl 10X Advantage 2 PCR Buffer (Takara Bio, USA), 1 µl of “mlCOIintF” and 1 µl of “jgHCO2198” (10 µM), 1.4 µl of 50X dNTP Mix (10 mM ea.), 0.4 µl 50X Advantage 2 Polymerase Mix, and 14.2 µl of a mixture of DNA and PCR grade of water (20 µl in total). Owing to natural variation of DNA quality, the final DNA input ranged from 10 ng ~50 ng for all samples. All samples were put through the same two-steps denaturing at 95°C for 60s, followed by 16 cycles of 10s denaturing at 95°C -&gt; 30s annealing at 62°C -&gt; 60s elongation at 72°C, then followed by 20 cycles of 10s denaturing at 95°C -&gt; 30s annealing at 46°C -&gt; 60s elongation at 72°C, then an extending elongation of 7min at 72 °C, ending with a storage temperature of 4°C. Triplicate amplifications were pooled as one sample before sequencing by the Genomics Core Centre for PanorOmics Science (CPOS) of the University of Hong Kong. </w:t>
      </w:r>
    </w:p>
    <w:p w14:paraId="7D0D4841" w14:textId="0199DE8D" w:rsidR="007D48FE" w:rsidRDefault="00B4284C" w:rsidP="00B4284C">
      <w:r>
        <w:br w:type="page"/>
      </w:r>
    </w:p>
    <w:p w14:paraId="0000001F" w14:textId="77777777" w:rsidR="007D48FE" w:rsidRDefault="00000000" w:rsidP="00FA4149">
      <w:pPr>
        <w:pStyle w:val="Heading2"/>
      </w:pPr>
      <w:r>
        <w:lastRenderedPageBreak/>
        <w:t xml:space="preserve">Bioinformatic pipeline </w:t>
      </w:r>
    </w:p>
    <w:p w14:paraId="00000020" w14:textId="71F88786" w:rsidR="007D48FE" w:rsidRPr="00B4284C" w:rsidRDefault="00000000" w:rsidP="00B4284C">
      <w:pPr>
        <w:spacing w:line="480" w:lineRule="auto"/>
      </w:pPr>
      <w:r w:rsidRPr="00460E63">
        <w:rPr>
          <w:rFonts w:eastAsia="Gungsuh"/>
        </w:rPr>
        <w:t xml:space="preserve">Sequences </w:t>
      </w:r>
      <w:r w:rsidRPr="00B4284C">
        <w:rPr>
          <w:rFonts w:eastAsia="Gungsuh"/>
        </w:rPr>
        <w:t>were first imported into QIIME2 (</w:t>
      </w:r>
      <w:proofErr w:type="spellStart"/>
      <w:r w:rsidRPr="00B4284C">
        <w:rPr>
          <w:rFonts w:eastAsia="Gungsuh"/>
        </w:rPr>
        <w:t>Bolyen</w:t>
      </w:r>
      <w:proofErr w:type="spellEnd"/>
      <w:r w:rsidRPr="00B4284C">
        <w:rPr>
          <w:rFonts w:eastAsia="Gungsuh"/>
        </w:rPr>
        <w:t xml:space="preserve"> et al., 2019) followed by adaptor removal using cutadapt (Martin, 2011) to clean the adaptor sequence used in PCR and NGS sequencing. Subsequently, DADA2 (Callahan et al., </w:t>
      </w:r>
      <w:r w:rsidRPr="00B4284C">
        <w:t>2016</w:t>
      </w:r>
      <w:r w:rsidRPr="00B4284C">
        <w:rPr>
          <w:rFonts w:eastAsia="Gungsuh"/>
        </w:rPr>
        <w:t>) was used to first truncate sequences to 220 bp to filter out low quality reads, and then pair the forward and reverse reads, followed by denoising – a process removing potential errors, artifacts, and chimeras to construct amplicon sequence variants (ASVs). We removed ASVs detected in negative controls unless their sample abundance exceeded control levels by ≥10-fold. Since the targeted region (COI/CO1) is a protein coding region, we further filtered sequences based on amino acid translation. More specifically, MASCE (</w:t>
      </w:r>
      <w:proofErr w:type="spellStart"/>
      <w:r w:rsidRPr="00B4284C">
        <w:rPr>
          <w:rFonts w:eastAsia="Gungsuh"/>
        </w:rPr>
        <w:t>Ranwez</w:t>
      </w:r>
      <w:proofErr w:type="spellEnd"/>
      <w:r w:rsidRPr="00B4284C">
        <w:rPr>
          <w:rFonts w:eastAsia="Gungsuh"/>
        </w:rPr>
        <w:t>, 2011) was used to first build an amino acid alignment based on the Moorea BIOCODE library. Then the invertebrate protein translation code was used to translate the remaining sequences to amino acid sequences. Afterwards, all translated sequences were aligned to the Moorea BIOCODE alignment removing any sequences that have stop codons, insertions, and more than three deletions (Leray et al., 2013). Lastly, VSEARCH (</w:t>
      </w:r>
      <w:proofErr w:type="spellStart"/>
      <w:r w:rsidRPr="00B4284C">
        <w:rPr>
          <w:rFonts w:eastAsia="Gungsuh"/>
        </w:rPr>
        <w:t>Rognes</w:t>
      </w:r>
      <w:proofErr w:type="spellEnd"/>
      <w:r w:rsidRPr="00B4284C">
        <w:rPr>
          <w:rFonts w:eastAsia="Gungsuh"/>
        </w:rPr>
        <w:t xml:space="preserve"> et al., 2016) was used to cluster the filtered ASVs into operational taxonomic units (OTUs) based on 97% sequence similarity as proxy for species. </w:t>
      </w:r>
    </w:p>
    <w:p w14:paraId="00000021" w14:textId="77777777" w:rsidR="007D48FE" w:rsidRPr="00B4284C" w:rsidRDefault="007D48FE">
      <w:pPr>
        <w:spacing w:line="480" w:lineRule="auto"/>
      </w:pPr>
    </w:p>
    <w:p w14:paraId="00000023" w14:textId="60FD654A" w:rsidR="00B4284C" w:rsidRDefault="00000000">
      <w:pPr>
        <w:spacing w:line="480" w:lineRule="auto"/>
      </w:pPr>
      <w:r w:rsidRPr="00B4284C">
        <w:t>Taxonomic assignment was conducted using BLAST within QIIME2 to a locally curated database (McIlroy et al., 2024). A minimum of 80% over at least 300 bp was considered a match to the phylum level. For all the unassigned OTUs, we performed a second round of BLAST against MIDORI (Leray et al., 2022), a regional COI database following the same criteria.</w:t>
      </w:r>
    </w:p>
    <w:p w14:paraId="431A3F5B" w14:textId="1AF96E97" w:rsidR="007D48FE" w:rsidRPr="00B4284C" w:rsidRDefault="00B4284C" w:rsidP="00B4284C">
      <w:r>
        <w:br w:type="page"/>
      </w:r>
    </w:p>
    <w:p w14:paraId="00000024" w14:textId="77777777" w:rsidR="007D48FE" w:rsidRDefault="00000000" w:rsidP="00FA4149">
      <w:pPr>
        <w:pStyle w:val="Heading1"/>
      </w:pPr>
      <w:r>
        <w:lastRenderedPageBreak/>
        <w:t xml:space="preserve">Reference </w:t>
      </w:r>
    </w:p>
    <w:p w14:paraId="5A29E318" w14:textId="77777777" w:rsidR="00460E63" w:rsidRDefault="00460E63" w:rsidP="00460E63">
      <w:pPr>
        <w:spacing w:before="0" w:line="240" w:lineRule="auto"/>
        <w:ind w:left="720" w:hanging="720"/>
        <w:jc w:val="both"/>
      </w:pPr>
      <w:proofErr w:type="spellStart"/>
      <w:r w:rsidRPr="00460E63">
        <w:t>Bolyen</w:t>
      </w:r>
      <w:proofErr w:type="spellEnd"/>
      <w:r w:rsidRPr="00460E63">
        <w:t xml:space="preserve">, E., Rideout, J.R., Dillon, M.R., </w:t>
      </w:r>
      <w:proofErr w:type="spellStart"/>
      <w:r w:rsidRPr="00460E63">
        <w:t>Bokulich</w:t>
      </w:r>
      <w:proofErr w:type="spellEnd"/>
      <w:r w:rsidRPr="00460E63">
        <w:t xml:space="preserve">, N.A., </w:t>
      </w:r>
      <w:proofErr w:type="spellStart"/>
      <w:r w:rsidRPr="00460E63">
        <w:t>Abnet</w:t>
      </w:r>
      <w:proofErr w:type="spellEnd"/>
      <w:r w:rsidRPr="00460E63">
        <w:t>, C.C., Al-</w:t>
      </w:r>
      <w:proofErr w:type="spellStart"/>
      <w:r w:rsidRPr="00460E63">
        <w:t>Ghalith</w:t>
      </w:r>
      <w:proofErr w:type="spellEnd"/>
      <w:r w:rsidRPr="00460E63">
        <w:t xml:space="preserve">, G.A., Alexander, H., </w:t>
      </w:r>
      <w:proofErr w:type="spellStart"/>
      <w:r w:rsidRPr="00460E63">
        <w:t>Alm</w:t>
      </w:r>
      <w:proofErr w:type="spellEnd"/>
      <w:r w:rsidRPr="00460E63">
        <w:t xml:space="preserve">, E.J., Arumugam, M., </w:t>
      </w:r>
      <w:proofErr w:type="spellStart"/>
      <w:r w:rsidRPr="00460E63">
        <w:t>Asnicar</w:t>
      </w:r>
      <w:proofErr w:type="spellEnd"/>
      <w:r w:rsidRPr="00460E63">
        <w:t xml:space="preserve">, F., Bai, Y., </w:t>
      </w:r>
      <w:proofErr w:type="spellStart"/>
      <w:r w:rsidRPr="00460E63">
        <w:t>Bisanz</w:t>
      </w:r>
      <w:proofErr w:type="spellEnd"/>
      <w:r w:rsidRPr="00460E63">
        <w:t xml:space="preserve">, J.E., </w:t>
      </w:r>
      <w:proofErr w:type="spellStart"/>
      <w:r w:rsidRPr="00460E63">
        <w:t>Bittinger</w:t>
      </w:r>
      <w:proofErr w:type="spellEnd"/>
      <w:r w:rsidRPr="00460E63">
        <w:t xml:space="preserve">, K., </w:t>
      </w:r>
      <w:proofErr w:type="spellStart"/>
      <w:r w:rsidRPr="00460E63">
        <w:t>Brejnrod</w:t>
      </w:r>
      <w:proofErr w:type="spellEnd"/>
      <w:r w:rsidRPr="00460E63">
        <w:t xml:space="preserve">, A., </w:t>
      </w:r>
      <w:proofErr w:type="spellStart"/>
      <w:r w:rsidRPr="00460E63">
        <w:t>Brislawn</w:t>
      </w:r>
      <w:proofErr w:type="spellEnd"/>
      <w:r w:rsidRPr="00460E63">
        <w:t xml:space="preserve">, C.J., Brown, C. T., Callahan, B. J., Caraballo-Rodríguez, A. M., Chase, J., Cope, E. K., et al. (2019). Reproducible, interactive, scalable and extensible microbiome data science using QIIME 2. Nature Biotechnology, 37, 852–857. </w:t>
      </w:r>
      <w:hyperlink r:id="rId8" w:history="1">
        <w:r w:rsidRPr="005F223F">
          <w:rPr>
            <w:rStyle w:val="Hyperlink"/>
          </w:rPr>
          <w:t>https://doi.org/10.1038/s41587-019-0209-9</w:t>
        </w:r>
      </w:hyperlink>
    </w:p>
    <w:p w14:paraId="775F0F26" w14:textId="77777777" w:rsidR="00460E63" w:rsidRDefault="00460E63" w:rsidP="00460E63">
      <w:pPr>
        <w:spacing w:before="0" w:line="240" w:lineRule="auto"/>
        <w:ind w:left="720" w:hanging="720"/>
        <w:jc w:val="both"/>
      </w:pPr>
    </w:p>
    <w:p w14:paraId="50DF8520" w14:textId="77777777" w:rsidR="00460E63" w:rsidRDefault="00460E63" w:rsidP="00460E63">
      <w:pPr>
        <w:spacing w:before="0" w:line="240" w:lineRule="auto"/>
        <w:ind w:left="720" w:hanging="720"/>
        <w:jc w:val="both"/>
      </w:pPr>
      <w:r w:rsidRPr="00460E63">
        <w:t xml:space="preserve">Callahan, B. J., </w:t>
      </w:r>
      <w:proofErr w:type="spellStart"/>
      <w:r w:rsidRPr="00460E63">
        <w:t>McMurdie</w:t>
      </w:r>
      <w:proofErr w:type="spellEnd"/>
      <w:r w:rsidRPr="00460E63">
        <w:t xml:space="preserve">, P. J., Rosen, M. J., Han, A. W., Johnson, A. J. A., &amp; Holmes, S. P. (2016). DADA2: High-resolution sample inference from Illumina amplicon data. Nature Methods, 13(7), 581-583. </w:t>
      </w:r>
      <w:hyperlink r:id="rId9" w:history="1">
        <w:r w:rsidRPr="005F223F">
          <w:rPr>
            <w:rStyle w:val="Hyperlink"/>
          </w:rPr>
          <w:t>https://doi.org/10.1038/nmeth.3869</w:t>
        </w:r>
      </w:hyperlink>
      <w:r w:rsidRPr="00460E63">
        <w:t xml:space="preserve"> </w:t>
      </w:r>
    </w:p>
    <w:p w14:paraId="5205FEC0" w14:textId="77777777" w:rsidR="00460E63" w:rsidRDefault="00460E63" w:rsidP="00460E63">
      <w:pPr>
        <w:spacing w:before="0" w:line="240" w:lineRule="auto"/>
        <w:ind w:left="720" w:hanging="720"/>
        <w:jc w:val="both"/>
      </w:pPr>
    </w:p>
    <w:p w14:paraId="60BE25DB" w14:textId="77777777" w:rsidR="00460E63" w:rsidRDefault="00460E63" w:rsidP="00460E63">
      <w:pPr>
        <w:spacing w:before="0" w:line="240" w:lineRule="auto"/>
        <w:ind w:left="720" w:hanging="720"/>
        <w:jc w:val="both"/>
      </w:pPr>
      <w:r w:rsidRPr="00460E63">
        <w:t xml:space="preserve">Leray, M., Yang, J. Y., Meyer, C. P., Mills, S. C., </w:t>
      </w:r>
      <w:proofErr w:type="spellStart"/>
      <w:r w:rsidRPr="00460E63">
        <w:t>Agudelo</w:t>
      </w:r>
      <w:proofErr w:type="spellEnd"/>
      <w:r w:rsidRPr="00460E63">
        <w:t xml:space="preserve">, N., </w:t>
      </w:r>
      <w:proofErr w:type="spellStart"/>
      <w:r w:rsidRPr="00460E63">
        <w:t>Ranwez</w:t>
      </w:r>
      <w:proofErr w:type="spellEnd"/>
      <w:r w:rsidRPr="00460E63">
        <w:t xml:space="preserve">, V., Boehm, J. T., &amp; Machida, R. J. (2013). A new versatile primer set targeting a short fragment of the mitochondrial COI region for metabarcoding metazoan diversity: Application for characterizing coral reef fish gut contents. Frontiers in Zoology, 10(1), 1–14. </w:t>
      </w:r>
      <w:hyperlink r:id="rId10" w:history="1">
        <w:r w:rsidRPr="005F223F">
          <w:rPr>
            <w:rStyle w:val="Hyperlink"/>
          </w:rPr>
          <w:t>https://doi.org/10.1186/1742-9994-10-34</w:t>
        </w:r>
      </w:hyperlink>
    </w:p>
    <w:p w14:paraId="3694057E" w14:textId="77777777" w:rsidR="00460E63" w:rsidRDefault="00460E63" w:rsidP="00460E63">
      <w:pPr>
        <w:spacing w:before="0" w:line="240" w:lineRule="auto"/>
        <w:ind w:left="720" w:hanging="720"/>
        <w:jc w:val="both"/>
      </w:pPr>
    </w:p>
    <w:p w14:paraId="7A14910B" w14:textId="2C1497F0" w:rsidR="00460E63" w:rsidRDefault="00460E63" w:rsidP="00460E63">
      <w:pPr>
        <w:spacing w:before="0" w:line="240" w:lineRule="auto"/>
        <w:ind w:left="720" w:hanging="720"/>
        <w:jc w:val="both"/>
      </w:pPr>
      <w:r w:rsidRPr="00460E63">
        <w:t xml:space="preserve">Leray, M., Knowlton, N., &amp; Machida, R. J. (2022). MIDORI2: A collection of quality controlled, preformatted, and regularly updated reference databases for taxonomic assignment of eukaryotic mitochondrial sequences. Environmental DNA, 4(4), 894–907. </w:t>
      </w:r>
      <w:hyperlink r:id="rId11" w:history="1">
        <w:r w:rsidRPr="005F223F">
          <w:rPr>
            <w:rStyle w:val="Hyperlink"/>
          </w:rPr>
          <w:t>https://doi.org/10.1002/edn3.303</w:t>
        </w:r>
      </w:hyperlink>
    </w:p>
    <w:p w14:paraId="30E5F7B4" w14:textId="77777777" w:rsidR="00460E63" w:rsidRDefault="00460E63" w:rsidP="00460E63">
      <w:pPr>
        <w:spacing w:before="0" w:line="240" w:lineRule="auto"/>
        <w:ind w:left="720" w:hanging="720"/>
        <w:jc w:val="both"/>
      </w:pPr>
    </w:p>
    <w:p w14:paraId="235EBBB1" w14:textId="5679B2D1" w:rsidR="00460E63" w:rsidRDefault="00460E63" w:rsidP="00472EF9">
      <w:pPr>
        <w:spacing w:before="0" w:line="240" w:lineRule="auto"/>
        <w:ind w:left="720" w:hanging="720"/>
        <w:jc w:val="both"/>
      </w:pPr>
      <w:r w:rsidRPr="00460E63">
        <w:t xml:space="preserve">Martin, M. (2011). Cutadapt removes adapter sequences from high-throughput sequencing reads. </w:t>
      </w:r>
      <w:proofErr w:type="spellStart"/>
      <w:r w:rsidRPr="00460E63">
        <w:t>EMBnet.journal</w:t>
      </w:r>
      <w:proofErr w:type="spellEnd"/>
      <w:r w:rsidRPr="00460E63">
        <w:t xml:space="preserve">, 17(1), 10–12. </w:t>
      </w:r>
      <w:hyperlink r:id="rId12" w:history="1">
        <w:r w:rsidRPr="005F223F">
          <w:rPr>
            <w:rStyle w:val="Hyperlink"/>
          </w:rPr>
          <w:t>http://dx.doi.org/10.14806/ej.17.1.200</w:t>
        </w:r>
      </w:hyperlink>
    </w:p>
    <w:p w14:paraId="50DA9F2D" w14:textId="77777777" w:rsidR="00460E63" w:rsidRDefault="00460E63" w:rsidP="00472EF9">
      <w:pPr>
        <w:spacing w:before="0" w:line="240" w:lineRule="auto"/>
        <w:ind w:left="720" w:hanging="720"/>
        <w:jc w:val="both"/>
      </w:pPr>
    </w:p>
    <w:p w14:paraId="6FEBDE99" w14:textId="073F8855" w:rsidR="00460E63" w:rsidRDefault="00460E63" w:rsidP="00472EF9">
      <w:pPr>
        <w:spacing w:before="0" w:line="240" w:lineRule="auto"/>
        <w:ind w:left="720" w:hanging="720"/>
        <w:jc w:val="both"/>
      </w:pPr>
      <w:r w:rsidRPr="00460E63">
        <w:t xml:space="preserve">McIlroy, S. E., Guibert, I., Archana, A., Chung, W. Y. H., Duffy, J. E., </w:t>
      </w:r>
      <w:proofErr w:type="spellStart"/>
      <w:r w:rsidRPr="00460E63">
        <w:t>Gotama</w:t>
      </w:r>
      <w:proofErr w:type="spellEnd"/>
      <w:r w:rsidRPr="00460E63">
        <w:t xml:space="preserve">, R., Hui, J., Knowlton, N., Leray, M., Meyer, C., Panagiotou, G., </w:t>
      </w:r>
      <w:proofErr w:type="spellStart"/>
      <w:r w:rsidRPr="00460E63">
        <w:t>Paulay</w:t>
      </w:r>
      <w:proofErr w:type="spellEnd"/>
      <w:r w:rsidRPr="00460E63">
        <w:t xml:space="preserve">, G., Russell, B., Thompson, P. D., &amp; Baker, D. M. (2024). Life goes on: Spatial heterogeneity promotes biodiversity in an urbanized coastal marine ecosystem. Global Change Biology, 30(4), e17248. </w:t>
      </w:r>
      <w:hyperlink r:id="rId13" w:history="1">
        <w:r w:rsidRPr="005F223F">
          <w:rPr>
            <w:rStyle w:val="Hyperlink"/>
          </w:rPr>
          <w:t>https://doi.org/10.1111/gcb.17248</w:t>
        </w:r>
      </w:hyperlink>
    </w:p>
    <w:p w14:paraId="70D6623E" w14:textId="77777777" w:rsidR="00460E63" w:rsidRDefault="00460E63" w:rsidP="00472EF9">
      <w:pPr>
        <w:spacing w:before="0" w:line="240" w:lineRule="auto"/>
        <w:ind w:left="720" w:hanging="720"/>
        <w:jc w:val="both"/>
      </w:pPr>
    </w:p>
    <w:p w14:paraId="2C2B3962" w14:textId="468B80BB" w:rsidR="00472EF9" w:rsidRDefault="00472EF9" w:rsidP="00472EF9">
      <w:pPr>
        <w:spacing w:before="0" w:line="240" w:lineRule="auto"/>
        <w:ind w:left="720" w:hanging="720"/>
        <w:jc w:val="both"/>
      </w:pPr>
      <w:r>
        <w:t>NMNH. National Museum of Natural History. (n.d.-a). ARMS Protocols. Smithsonian Institution. Retrieved December 26, 2024, from https://naturalhistory.si.edu/research/global-arms-program/protocols</w:t>
      </w:r>
    </w:p>
    <w:p w14:paraId="114540A7" w14:textId="77777777" w:rsidR="00472EF9" w:rsidRDefault="00472EF9" w:rsidP="00472EF9">
      <w:pPr>
        <w:spacing w:before="0" w:line="240" w:lineRule="auto"/>
        <w:ind w:left="720" w:hanging="720"/>
        <w:jc w:val="both"/>
      </w:pPr>
    </w:p>
    <w:p w14:paraId="12908A00" w14:textId="2E8CB01A" w:rsidR="00460E63" w:rsidRDefault="00472EF9" w:rsidP="00460E63">
      <w:pPr>
        <w:spacing w:before="0" w:line="240" w:lineRule="auto"/>
        <w:ind w:left="720" w:hanging="720"/>
        <w:jc w:val="both"/>
      </w:pPr>
      <w:r>
        <w:t xml:space="preserve">NMNH. National Museum of Natural History. (n.d.-b). Bulk DNA extraction. Smithsonian National Museum of Natural History. </w:t>
      </w:r>
      <w:hyperlink r:id="rId14" w:history="1">
        <w:r w:rsidR="00460E63" w:rsidRPr="005F223F">
          <w:rPr>
            <w:rStyle w:val="Hyperlink"/>
          </w:rPr>
          <w:t>https://naturalhistory.si.edu/sites/default/files/media/file/arms-11dnaextraction.pdf</w:t>
        </w:r>
      </w:hyperlink>
    </w:p>
    <w:p w14:paraId="5A813CEA" w14:textId="77777777" w:rsidR="00460E63" w:rsidRDefault="00460E63" w:rsidP="00460E63">
      <w:pPr>
        <w:spacing w:before="0" w:line="240" w:lineRule="auto"/>
        <w:ind w:left="720" w:hanging="720"/>
        <w:jc w:val="both"/>
      </w:pPr>
    </w:p>
    <w:p w14:paraId="087ECBFD" w14:textId="38C819A2" w:rsidR="00C132D9" w:rsidRDefault="00460E63" w:rsidP="00460E63">
      <w:pPr>
        <w:spacing w:before="0" w:line="240" w:lineRule="auto"/>
        <w:ind w:left="720" w:hanging="720"/>
        <w:jc w:val="both"/>
      </w:pPr>
      <w:r w:rsidRPr="00460E63">
        <w:t xml:space="preserve">QIAGEN. (2024). DNeasy PowerClean Pro Cleanup Quick Start Protocol. QIAGEN. Retrieved December 26, 2024, from </w:t>
      </w:r>
      <w:hyperlink r:id="rId15" w:history="1">
        <w:r w:rsidRPr="005F223F">
          <w:rPr>
            <w:rStyle w:val="Hyperlink"/>
          </w:rPr>
          <w:t>https://www.qiagen.com/us/resources/resourcedetail?id=03d492da-7744-4f92-8e57-2abaca7265e2&amp;lang=en</w:t>
        </w:r>
      </w:hyperlink>
    </w:p>
    <w:p w14:paraId="087E32C1" w14:textId="77777777" w:rsidR="00460E63" w:rsidRDefault="00460E63" w:rsidP="00460E63">
      <w:pPr>
        <w:spacing w:before="0" w:line="240" w:lineRule="auto"/>
        <w:ind w:left="720" w:hanging="720"/>
        <w:jc w:val="both"/>
      </w:pPr>
    </w:p>
    <w:p w14:paraId="6E7F3569" w14:textId="5475197F" w:rsidR="00460E63" w:rsidRDefault="00460E63" w:rsidP="00460E63">
      <w:pPr>
        <w:spacing w:before="0" w:line="240" w:lineRule="auto"/>
        <w:ind w:left="720" w:hanging="720"/>
        <w:jc w:val="both"/>
      </w:pPr>
      <w:proofErr w:type="spellStart"/>
      <w:r w:rsidRPr="00460E63">
        <w:lastRenderedPageBreak/>
        <w:t>Ranwez</w:t>
      </w:r>
      <w:proofErr w:type="spellEnd"/>
      <w:r w:rsidRPr="00460E63">
        <w:t xml:space="preserve">, V., </w:t>
      </w:r>
      <w:proofErr w:type="spellStart"/>
      <w:r w:rsidRPr="00460E63">
        <w:t>Harispe</w:t>
      </w:r>
      <w:proofErr w:type="spellEnd"/>
      <w:r w:rsidRPr="00460E63">
        <w:t xml:space="preserve">, S., </w:t>
      </w:r>
      <w:proofErr w:type="spellStart"/>
      <w:r w:rsidRPr="00460E63">
        <w:t>Delsuc</w:t>
      </w:r>
      <w:proofErr w:type="spellEnd"/>
      <w:r w:rsidRPr="00460E63">
        <w:t xml:space="preserve">, F., &amp; </w:t>
      </w:r>
      <w:proofErr w:type="spellStart"/>
      <w:r w:rsidRPr="00460E63">
        <w:t>Douzery</w:t>
      </w:r>
      <w:proofErr w:type="spellEnd"/>
      <w:r w:rsidRPr="00460E63">
        <w:t xml:space="preserve">, E. J. (2011). MACSE: Multiple Alignment of Coding </w:t>
      </w:r>
      <w:proofErr w:type="spellStart"/>
      <w:r w:rsidRPr="00460E63">
        <w:t>SEquences</w:t>
      </w:r>
      <w:proofErr w:type="spellEnd"/>
      <w:r w:rsidRPr="00460E63">
        <w:t xml:space="preserve"> accounting for frameshifts and stop codons. </w:t>
      </w:r>
      <w:proofErr w:type="spellStart"/>
      <w:r w:rsidRPr="00460E63">
        <w:t>PLoS</w:t>
      </w:r>
      <w:proofErr w:type="spellEnd"/>
      <w:r w:rsidRPr="00460E63">
        <w:t xml:space="preserve"> ONE, 6(9), e22594. </w:t>
      </w:r>
      <w:hyperlink r:id="rId16" w:history="1">
        <w:r w:rsidRPr="005F223F">
          <w:rPr>
            <w:rStyle w:val="Hyperlink"/>
          </w:rPr>
          <w:t>https://doi.org/10.1371/journal.pone.0022594</w:t>
        </w:r>
      </w:hyperlink>
    </w:p>
    <w:p w14:paraId="0AD63C14" w14:textId="77777777" w:rsidR="00460E63" w:rsidRDefault="00460E63" w:rsidP="00460E63">
      <w:pPr>
        <w:spacing w:before="0" w:line="240" w:lineRule="auto"/>
        <w:ind w:left="720" w:hanging="720"/>
        <w:jc w:val="both"/>
      </w:pPr>
    </w:p>
    <w:p w14:paraId="484ECD80" w14:textId="77777777" w:rsidR="00573894" w:rsidRDefault="00460E63" w:rsidP="00460E63">
      <w:pPr>
        <w:spacing w:before="0" w:line="240" w:lineRule="auto"/>
        <w:ind w:left="720" w:hanging="720"/>
        <w:jc w:val="both"/>
        <w:sectPr w:rsidR="00573894">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sectPr>
      </w:pPr>
      <w:proofErr w:type="spellStart"/>
      <w:r w:rsidRPr="00460E63">
        <w:t>Rognes</w:t>
      </w:r>
      <w:proofErr w:type="spellEnd"/>
      <w:r w:rsidRPr="00460E63">
        <w:t xml:space="preserve">, T., </w:t>
      </w:r>
      <w:proofErr w:type="spellStart"/>
      <w:r w:rsidRPr="00460E63">
        <w:t>Flouri</w:t>
      </w:r>
      <w:proofErr w:type="spellEnd"/>
      <w:r w:rsidRPr="00460E63">
        <w:t xml:space="preserve">, T., Nichols, B., Quince, C., &amp; </w:t>
      </w:r>
      <w:proofErr w:type="spellStart"/>
      <w:r w:rsidRPr="00460E63">
        <w:t>Mahé</w:t>
      </w:r>
      <w:proofErr w:type="spellEnd"/>
      <w:r w:rsidRPr="00460E63">
        <w:t xml:space="preserve">, F. (2016). VSEARCH: A versatile </w:t>
      </w:r>
      <w:proofErr w:type="gramStart"/>
      <w:r w:rsidRPr="00460E63">
        <w:t>open source</w:t>
      </w:r>
      <w:proofErr w:type="gramEnd"/>
      <w:r w:rsidRPr="00460E63">
        <w:t xml:space="preserve"> tool for metagenomics. </w:t>
      </w:r>
      <w:proofErr w:type="spellStart"/>
      <w:r w:rsidRPr="00460E63">
        <w:t>PeerJ</w:t>
      </w:r>
      <w:proofErr w:type="spellEnd"/>
      <w:r w:rsidRPr="00460E63">
        <w:t xml:space="preserve">, 4, e2584. </w:t>
      </w:r>
      <w:hyperlink r:id="rId23" w:history="1">
        <w:r w:rsidRPr="005F223F">
          <w:rPr>
            <w:rStyle w:val="Hyperlink"/>
          </w:rPr>
          <w:t>https://doi.org/10.7717/peerj.2584</w:t>
        </w:r>
      </w:hyperlink>
    </w:p>
    <w:p w14:paraId="354E4ABF" w14:textId="66E25B3E" w:rsidR="00460E63" w:rsidRDefault="00573894" w:rsidP="00573894">
      <w:pPr>
        <w:pStyle w:val="Heading1"/>
      </w:pPr>
      <w:r>
        <w:lastRenderedPageBreak/>
        <w:t>Supplementary Figure</w:t>
      </w:r>
    </w:p>
    <w:p w14:paraId="0000010E" w14:textId="5E26CD17" w:rsidR="007D48FE" w:rsidRDefault="00573894" w:rsidP="00460E63">
      <w:pPr>
        <w:pBdr>
          <w:top w:val="nil"/>
          <w:left w:val="nil"/>
          <w:bottom w:val="nil"/>
          <w:right w:val="nil"/>
          <w:between w:val="nil"/>
        </w:pBdr>
        <w:spacing w:before="0" w:line="240" w:lineRule="auto"/>
        <w:jc w:val="both"/>
      </w:pPr>
      <w:r>
        <w:rPr>
          <w:noProof/>
        </w:rPr>
        <w:drawing>
          <wp:inline distT="0" distB="0" distL="0" distR="0" wp14:anchorId="1196D65B" wp14:editId="5ED38592">
            <wp:extent cx="5943600" cy="2545080"/>
            <wp:effectExtent l="0" t="0" r="0" b="0"/>
            <wp:docPr id="979183327" name="Picture 2" descr="A close-up of a stack of me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83327" name="Picture 2" descr="A close-up of a stack of metal&#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545080"/>
                    </a:xfrm>
                    <a:prstGeom prst="rect">
                      <a:avLst/>
                    </a:prstGeom>
                  </pic:spPr>
                </pic:pic>
              </a:graphicData>
            </a:graphic>
          </wp:inline>
        </w:drawing>
      </w:r>
    </w:p>
    <w:sectPr w:rsidR="007D48F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90CE67" w14:textId="77777777" w:rsidR="00296613" w:rsidRDefault="00296613">
      <w:pPr>
        <w:spacing w:before="0" w:line="240" w:lineRule="auto"/>
      </w:pPr>
      <w:r>
        <w:separator/>
      </w:r>
    </w:p>
  </w:endnote>
  <w:endnote w:type="continuationSeparator" w:id="0">
    <w:p w14:paraId="11DDE300" w14:textId="77777777" w:rsidR="00296613" w:rsidRDefault="0029661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2963051E-15CF-414B-AF6E-3A44A6004C2F}"/>
    <w:embedBold r:id="rId2" w:fontKey="{BA1E5A5C-D506-9F41-80A3-C82B98AC8AC9}"/>
    <w:embedItalic r:id="rId3" w:fontKey="{E1C9179C-E831-064B-8CDE-82CB380E5989}"/>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notTrueType/>
    <w:pitch w:val="variable"/>
    <w:sig w:usb0="E4002EFF" w:usb1="C000E47F" w:usb2="00000009" w:usb3="00000000" w:csb0="000001FF" w:csb1="00000000"/>
    <w:embedRegular r:id="rId4" w:fontKey="{C0B60E7D-B2F1-314B-AF99-7A6C10396F57}"/>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5" w:fontKey="{A0656C2A-11C6-5B40-AC4E-FAA3EB42E393}"/>
  </w:font>
  <w:font w:name="Gungsuh">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12" w14:textId="77777777" w:rsidR="007D48FE" w:rsidRDefault="007D48FE">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13" w14:textId="6D343653" w:rsidR="007D48FE"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sidR="00FA4149">
      <w:rPr>
        <w:noProof/>
        <w:color w:val="000000"/>
      </w:rPr>
      <w:t>1</w:t>
    </w:r>
    <w:r>
      <w:rPr>
        <w:color w:val="000000"/>
      </w:rPr>
      <w:fldChar w:fldCharType="end"/>
    </w:r>
  </w:p>
  <w:p w14:paraId="00000114" w14:textId="77777777" w:rsidR="007D48FE" w:rsidRDefault="007D48FE">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15" w14:textId="77777777" w:rsidR="007D48FE" w:rsidRDefault="007D48FE">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4B2EEE" w14:textId="77777777" w:rsidR="00296613" w:rsidRDefault="00296613">
      <w:pPr>
        <w:spacing w:before="0" w:line="240" w:lineRule="auto"/>
      </w:pPr>
      <w:r>
        <w:separator/>
      </w:r>
    </w:p>
  </w:footnote>
  <w:footnote w:type="continuationSeparator" w:id="0">
    <w:p w14:paraId="6AB4E8FD" w14:textId="77777777" w:rsidR="00296613" w:rsidRDefault="0029661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0F" w14:textId="77777777" w:rsidR="007D48FE" w:rsidRDefault="007D48FE">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10" w14:textId="77777777" w:rsidR="007D48FE" w:rsidRDefault="007D48FE">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11" w14:textId="77777777" w:rsidR="007D48FE" w:rsidRDefault="007D48FE">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336385"/>
    <w:multiLevelType w:val="hybridMultilevel"/>
    <w:tmpl w:val="C3006120"/>
    <w:lvl w:ilvl="0" w:tplc="31BAF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69D44B2"/>
    <w:multiLevelType w:val="multilevel"/>
    <w:tmpl w:val="F4C6D892"/>
    <w:lvl w:ilvl="0">
      <w:start w:val="1"/>
      <w:numFmt w:val="decimal"/>
      <w:pStyle w:val="Heading1"/>
      <w:lvlText w:val="%1."/>
      <w:lvlJc w:val="left"/>
      <w:pPr>
        <w:ind w:left="720" w:hanging="360"/>
      </w:pPr>
    </w:lvl>
    <w:lvl w:ilvl="1">
      <w:start w:val="1"/>
      <w:numFmt w:val="decimal"/>
      <w:pStyle w:val="Heading2"/>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229653367">
    <w:abstractNumId w:val="1"/>
  </w:num>
  <w:num w:numId="2" w16cid:durableId="164974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8FE"/>
    <w:rsid w:val="0000659C"/>
    <w:rsid w:val="00043AFE"/>
    <w:rsid w:val="00083EDA"/>
    <w:rsid w:val="00296613"/>
    <w:rsid w:val="003003BF"/>
    <w:rsid w:val="003B04F1"/>
    <w:rsid w:val="00460E63"/>
    <w:rsid w:val="00472EF9"/>
    <w:rsid w:val="004C5B00"/>
    <w:rsid w:val="00573894"/>
    <w:rsid w:val="005C77CF"/>
    <w:rsid w:val="00681071"/>
    <w:rsid w:val="006F6810"/>
    <w:rsid w:val="007D48FE"/>
    <w:rsid w:val="00826128"/>
    <w:rsid w:val="008C5FE9"/>
    <w:rsid w:val="00B4284C"/>
    <w:rsid w:val="00C132D9"/>
    <w:rsid w:val="00D01240"/>
    <w:rsid w:val="00D91A2C"/>
    <w:rsid w:val="00E71CF6"/>
    <w:rsid w:val="00FA4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57074"/>
  <w15:docId w15:val="{E5602A46-7054-454C-8A89-A15224A1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zh-CN"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149"/>
    <w:pPr>
      <w:numPr>
        <w:numId w:val="1"/>
      </w:numPr>
      <w:spacing w:before="0" w:line="480" w:lineRule="auto"/>
      <w:ind w:left="360"/>
      <w:jc w:val="both"/>
      <w:outlineLvl w:val="0"/>
    </w:pPr>
    <w:rPr>
      <w:b/>
      <w:bCs/>
    </w:rPr>
  </w:style>
  <w:style w:type="paragraph" w:styleId="Heading2">
    <w:name w:val="heading 2"/>
    <w:basedOn w:val="Normal"/>
    <w:next w:val="Normal"/>
    <w:link w:val="Heading2Char"/>
    <w:uiPriority w:val="9"/>
    <w:unhideWhenUsed/>
    <w:qFormat/>
    <w:rsid w:val="00FA4149"/>
    <w:pPr>
      <w:numPr>
        <w:ilvl w:val="1"/>
        <w:numId w:val="1"/>
      </w:numPr>
      <w:spacing w:line="480" w:lineRule="auto"/>
      <w:ind w:left="360"/>
      <w:outlineLvl w:val="1"/>
    </w:pPr>
  </w:style>
  <w:style w:type="paragraph" w:styleId="Heading3">
    <w:name w:val="heading 3"/>
    <w:basedOn w:val="Normal"/>
    <w:next w:val="Normal"/>
    <w:link w:val="Heading3Char"/>
    <w:uiPriority w:val="9"/>
    <w:semiHidden/>
    <w:unhideWhenUsed/>
    <w:qFormat/>
    <w:pPr>
      <w:outlineLvl w:val="2"/>
    </w:pPr>
  </w:style>
  <w:style w:type="paragraph" w:styleId="Heading4">
    <w:name w:val="heading 4"/>
    <w:basedOn w:val="Normal"/>
    <w:next w:val="Normal"/>
    <w:link w:val="Heading4Char"/>
    <w:uiPriority w:val="9"/>
    <w:semiHidden/>
    <w:unhideWhenUsed/>
    <w:qFormat/>
    <w:pPr>
      <w:keepNext/>
      <w:keepLines/>
      <w:spacing w:before="40"/>
      <w:outlineLvl w:val="3"/>
    </w:pPr>
    <w:rPr>
      <w:rFonts w:ascii="DengXian Light" w:eastAsia="DengXian Light" w:hAnsi="DengXian Light" w:cs="DengXian Light"/>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FA4149"/>
    <w:rPr>
      <w:b/>
      <w:bCs/>
    </w:rPr>
  </w:style>
  <w:style w:type="character" w:customStyle="1" w:styleId="Heading2Char">
    <w:name w:val="Heading 2 Char"/>
    <w:basedOn w:val="DefaultParagraphFont"/>
    <w:link w:val="Heading2"/>
    <w:uiPriority w:val="9"/>
    <w:rsid w:val="00FA4149"/>
  </w:style>
  <w:style w:type="character" w:customStyle="1" w:styleId="Heading3Char">
    <w:name w:val="Heading 3 Char"/>
    <w:basedOn w:val="DefaultParagraphFont"/>
    <w:link w:val="Heading3"/>
    <w:uiPriority w:val="9"/>
    <w:rsid w:val="00167752"/>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7A5088"/>
    <w:pPr>
      <w:tabs>
        <w:tab w:val="center" w:pos="4680"/>
        <w:tab w:val="right" w:pos="9360"/>
      </w:tabs>
      <w:spacing w:line="240" w:lineRule="auto"/>
    </w:pPr>
  </w:style>
  <w:style w:type="character" w:customStyle="1" w:styleId="HeaderChar">
    <w:name w:val="Header Char"/>
    <w:basedOn w:val="DefaultParagraphFont"/>
    <w:link w:val="Header"/>
    <w:uiPriority w:val="99"/>
    <w:rsid w:val="007A5088"/>
    <w:rPr>
      <w:kern w:val="0"/>
      <w:sz w:val="22"/>
    </w:rPr>
  </w:style>
  <w:style w:type="paragraph" w:styleId="Footer">
    <w:name w:val="footer"/>
    <w:basedOn w:val="Normal"/>
    <w:link w:val="FooterChar"/>
    <w:uiPriority w:val="99"/>
    <w:unhideWhenUsed/>
    <w:rsid w:val="007A5088"/>
    <w:pPr>
      <w:tabs>
        <w:tab w:val="center" w:pos="4680"/>
        <w:tab w:val="right" w:pos="9360"/>
      </w:tabs>
      <w:spacing w:line="240" w:lineRule="auto"/>
    </w:pPr>
  </w:style>
  <w:style w:type="character" w:customStyle="1" w:styleId="FooterChar">
    <w:name w:val="Footer Char"/>
    <w:basedOn w:val="DefaultParagraphFont"/>
    <w:link w:val="Footer"/>
    <w:uiPriority w:val="99"/>
    <w:rsid w:val="007A5088"/>
    <w:rPr>
      <w:kern w:val="0"/>
      <w:sz w:val="22"/>
    </w:rPr>
  </w:style>
  <w:style w:type="paragraph" w:styleId="ListParagraph">
    <w:name w:val="List Paragraph"/>
    <w:basedOn w:val="Normal"/>
    <w:uiPriority w:val="34"/>
    <w:qFormat/>
    <w:rsid w:val="007A5088"/>
    <w:pPr>
      <w:ind w:left="720"/>
      <w:contextualSpacing/>
    </w:pPr>
  </w:style>
  <w:style w:type="character" w:styleId="Hyperlink">
    <w:name w:val="Hyperlink"/>
    <w:basedOn w:val="DefaultParagraphFont"/>
    <w:uiPriority w:val="99"/>
    <w:unhideWhenUsed/>
    <w:rsid w:val="007A5088"/>
    <w:rPr>
      <w:color w:val="0563C1" w:themeColor="hyperlink"/>
      <w:u w:val="single"/>
    </w:rPr>
  </w:style>
  <w:style w:type="character" w:styleId="UnresolvedMention">
    <w:name w:val="Unresolved Mention"/>
    <w:basedOn w:val="DefaultParagraphFont"/>
    <w:uiPriority w:val="99"/>
    <w:semiHidden/>
    <w:unhideWhenUsed/>
    <w:rsid w:val="007A5088"/>
    <w:rPr>
      <w:color w:val="605E5C"/>
      <w:shd w:val="clear" w:color="auto" w:fill="E1DFDD"/>
    </w:rPr>
  </w:style>
  <w:style w:type="character" w:styleId="LineNumber">
    <w:name w:val="line number"/>
    <w:basedOn w:val="DefaultParagraphFont"/>
    <w:uiPriority w:val="99"/>
    <w:semiHidden/>
    <w:unhideWhenUsed/>
    <w:rsid w:val="007A5088"/>
  </w:style>
  <w:style w:type="character" w:styleId="CommentReference">
    <w:name w:val="annotation reference"/>
    <w:basedOn w:val="DefaultParagraphFont"/>
    <w:uiPriority w:val="99"/>
    <w:semiHidden/>
    <w:unhideWhenUsed/>
    <w:rsid w:val="007A5088"/>
    <w:rPr>
      <w:sz w:val="16"/>
      <w:szCs w:val="16"/>
    </w:rPr>
  </w:style>
  <w:style w:type="paragraph" w:styleId="CommentText">
    <w:name w:val="annotation text"/>
    <w:basedOn w:val="Normal"/>
    <w:link w:val="CommentTextChar"/>
    <w:uiPriority w:val="99"/>
    <w:unhideWhenUsed/>
    <w:rsid w:val="007A5088"/>
    <w:pPr>
      <w:widowControl w:val="0"/>
      <w:spacing w:line="240" w:lineRule="auto"/>
      <w:jc w:val="both"/>
    </w:pPr>
    <w:rPr>
      <w:kern w:val="2"/>
      <w:sz w:val="20"/>
      <w:szCs w:val="20"/>
    </w:rPr>
  </w:style>
  <w:style w:type="character" w:customStyle="1" w:styleId="CommentTextChar">
    <w:name w:val="Comment Text Char"/>
    <w:basedOn w:val="DefaultParagraphFont"/>
    <w:link w:val="CommentText"/>
    <w:uiPriority w:val="99"/>
    <w:rsid w:val="007A5088"/>
    <w:rPr>
      <w:sz w:val="20"/>
      <w:szCs w:val="20"/>
    </w:rPr>
  </w:style>
  <w:style w:type="paragraph" w:styleId="Revision">
    <w:name w:val="Revision"/>
    <w:hidden/>
    <w:uiPriority w:val="99"/>
    <w:semiHidden/>
    <w:rsid w:val="007A5088"/>
    <w:rPr>
      <w:sz w:val="22"/>
    </w:rPr>
  </w:style>
  <w:style w:type="character" w:styleId="PlaceholderText">
    <w:name w:val="Placeholder Text"/>
    <w:basedOn w:val="DefaultParagraphFont"/>
    <w:uiPriority w:val="99"/>
    <w:semiHidden/>
    <w:rsid w:val="007A5088"/>
    <w:rPr>
      <w:color w:val="808080"/>
    </w:rPr>
  </w:style>
  <w:style w:type="paragraph" w:styleId="NormalWeb">
    <w:name w:val="Normal (Web)"/>
    <w:basedOn w:val="Normal"/>
    <w:uiPriority w:val="99"/>
    <w:semiHidden/>
    <w:unhideWhenUsed/>
    <w:rsid w:val="007A5088"/>
    <w:pPr>
      <w:spacing w:before="100" w:beforeAutospacing="1" w:after="100" w:afterAutospacing="1" w:line="240" w:lineRule="auto"/>
    </w:pPr>
    <w:rPr>
      <w:lang w:eastAsia="zh-TW"/>
    </w:rPr>
  </w:style>
  <w:style w:type="paragraph" w:styleId="CommentSubject">
    <w:name w:val="annotation subject"/>
    <w:basedOn w:val="CommentText"/>
    <w:next w:val="CommentText"/>
    <w:link w:val="CommentSubjectChar"/>
    <w:uiPriority w:val="99"/>
    <w:semiHidden/>
    <w:unhideWhenUsed/>
    <w:rsid w:val="007A5088"/>
    <w:pPr>
      <w:widowControl/>
      <w:spacing w:after="160"/>
      <w:jc w:val="left"/>
    </w:pPr>
    <w:rPr>
      <w:b/>
      <w:bCs/>
      <w:kern w:val="0"/>
    </w:rPr>
  </w:style>
  <w:style w:type="character" w:customStyle="1" w:styleId="CommentSubjectChar">
    <w:name w:val="Comment Subject Char"/>
    <w:basedOn w:val="CommentTextChar"/>
    <w:link w:val="CommentSubject"/>
    <w:uiPriority w:val="99"/>
    <w:semiHidden/>
    <w:rsid w:val="007A5088"/>
    <w:rPr>
      <w:b/>
      <w:bCs/>
      <w:kern w:val="0"/>
      <w:sz w:val="20"/>
      <w:szCs w:val="20"/>
    </w:rPr>
  </w:style>
  <w:style w:type="character" w:customStyle="1" w:styleId="cf01">
    <w:name w:val="cf01"/>
    <w:basedOn w:val="DefaultParagraphFont"/>
    <w:rsid w:val="007A5088"/>
    <w:rPr>
      <w:rFonts w:ascii="Segoe UI" w:hAnsi="Segoe UI" w:cs="Segoe UI" w:hint="default"/>
      <w:sz w:val="18"/>
      <w:szCs w:val="18"/>
    </w:rPr>
  </w:style>
  <w:style w:type="paragraph" w:customStyle="1" w:styleId="EndNoteBibliographyTitle">
    <w:name w:val="EndNote Bibliography Title"/>
    <w:basedOn w:val="Normal"/>
    <w:link w:val="EndNoteBibliographyTitleChar"/>
    <w:rsid w:val="007A5088"/>
    <w:pPr>
      <w:jc w:val="center"/>
    </w:pPr>
    <w:rPr>
      <w:noProof/>
      <w:sz w:val="22"/>
    </w:rPr>
  </w:style>
  <w:style w:type="character" w:customStyle="1" w:styleId="EndNoteBibliographyTitleChar">
    <w:name w:val="EndNote Bibliography Title Char"/>
    <w:basedOn w:val="DefaultParagraphFont"/>
    <w:link w:val="EndNoteBibliographyTitle"/>
    <w:rsid w:val="007A5088"/>
    <w:rPr>
      <w:rFonts w:ascii="Times New Roman" w:hAnsi="Times New Roman" w:cs="Times New Roman"/>
      <w:noProof/>
      <w:color w:val="000000" w:themeColor="text1"/>
      <w:kern w:val="0"/>
      <w:sz w:val="22"/>
      <w:szCs w:val="24"/>
    </w:rPr>
  </w:style>
  <w:style w:type="paragraph" w:customStyle="1" w:styleId="EndNoteBibliography">
    <w:name w:val="EndNote Bibliography"/>
    <w:basedOn w:val="Normal"/>
    <w:link w:val="EndNoteBibliographyChar"/>
    <w:rsid w:val="007A5088"/>
    <w:pPr>
      <w:spacing w:line="240" w:lineRule="auto"/>
    </w:pPr>
    <w:rPr>
      <w:noProof/>
      <w:sz w:val="22"/>
    </w:rPr>
  </w:style>
  <w:style w:type="character" w:customStyle="1" w:styleId="EndNoteBibliographyChar">
    <w:name w:val="EndNote Bibliography Char"/>
    <w:basedOn w:val="DefaultParagraphFont"/>
    <w:link w:val="EndNoteBibliography"/>
    <w:rsid w:val="007A5088"/>
    <w:rPr>
      <w:rFonts w:ascii="Times New Roman" w:hAnsi="Times New Roman" w:cs="Times New Roman"/>
      <w:noProof/>
      <w:color w:val="000000" w:themeColor="text1"/>
      <w:kern w:val="0"/>
      <w:sz w:val="22"/>
      <w:szCs w:val="24"/>
    </w:rPr>
  </w:style>
  <w:style w:type="paragraph" w:styleId="HTMLPreformatted">
    <w:name w:val="HTML Preformatted"/>
    <w:basedOn w:val="Normal"/>
    <w:link w:val="HTMLPreformattedChar"/>
    <w:uiPriority w:val="99"/>
    <w:unhideWhenUsed/>
    <w:rsid w:val="007F2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SimSun" w:eastAsia="SimSun" w:hAnsi="SimSun" w:cs="SimSun"/>
    </w:rPr>
  </w:style>
  <w:style w:type="character" w:customStyle="1" w:styleId="HTMLPreformattedChar">
    <w:name w:val="HTML Preformatted Char"/>
    <w:basedOn w:val="DefaultParagraphFont"/>
    <w:link w:val="HTMLPreformatted"/>
    <w:uiPriority w:val="99"/>
    <w:rsid w:val="007F2465"/>
    <w:rPr>
      <w:rFonts w:ascii="SimSun" w:eastAsia="SimSun" w:hAnsi="SimSun" w:cs="SimSun"/>
      <w:kern w:val="0"/>
      <w:sz w:val="24"/>
      <w:szCs w:val="24"/>
    </w:rPr>
  </w:style>
  <w:style w:type="paragraph" w:customStyle="1" w:styleId="SMHeading">
    <w:name w:val="SM Heading"/>
    <w:basedOn w:val="Heading3"/>
    <w:qFormat/>
    <w:rsid w:val="000C5F54"/>
  </w:style>
  <w:style w:type="paragraph" w:customStyle="1" w:styleId="SMSubheading">
    <w:name w:val="SM Subheading"/>
    <w:basedOn w:val="Normal"/>
    <w:qFormat/>
    <w:rsid w:val="00792C82"/>
    <w:pPr>
      <w:spacing w:before="0" w:line="240" w:lineRule="auto"/>
    </w:pPr>
    <w:rPr>
      <w:szCs w:val="20"/>
      <w:u w:val="words"/>
      <w:lang w:eastAsia="en-US"/>
    </w:rPr>
  </w:style>
  <w:style w:type="table" w:styleId="TableGrid">
    <w:name w:val="Table Grid"/>
    <w:basedOn w:val="TableNormal"/>
    <w:uiPriority w:val="39"/>
    <w:rsid w:val="00730F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C7D74"/>
    <w:rPr>
      <w:lang w:val="en-GB" w:eastAsia="zh-TW"/>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4Char">
    <w:name w:val="Heading 4 Char"/>
    <w:basedOn w:val="DefaultParagraphFont"/>
    <w:link w:val="Heading4"/>
    <w:uiPriority w:val="9"/>
    <w:semiHidden/>
    <w:rsid w:val="005218D1"/>
    <w:rPr>
      <w:rFonts w:asciiTheme="majorHAnsi" w:eastAsiaTheme="majorEastAsia" w:hAnsiTheme="majorHAnsi" w:cstheme="majorBidi"/>
      <w:i/>
      <w:iCs/>
      <w:color w:val="2F5496" w:themeColor="accent1" w:themeShade="BF"/>
      <w:kern w:val="0"/>
      <w:sz w:val="24"/>
      <w:szCs w:val="24"/>
    </w:rPr>
  </w:style>
  <w:style w:type="character" w:styleId="FollowedHyperlink">
    <w:name w:val="FollowedHyperlink"/>
    <w:basedOn w:val="DefaultParagraphFont"/>
    <w:uiPriority w:val="99"/>
    <w:semiHidden/>
    <w:unhideWhenUsed/>
    <w:rsid w:val="006C01D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doi.org/10.1038/s41587-019-0209-9" TargetMode="External"/><Relationship Id="rId13" Type="http://schemas.openxmlformats.org/officeDocument/2006/relationships/hyperlink" Target="https://doi.org/10.1111/gcb.17248" TargetMode="Externa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dx.doi.org/10.14806/ej.17.1.200" TargetMode="Externa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371/journal.pone.0022594"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edn3.303"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qiagen.com/us/resources/resourcedetail?id=03d492da-7744-4f92-8e57-2abaca7265e2&amp;lang=en" TargetMode="External"/><Relationship Id="rId23" Type="http://schemas.openxmlformats.org/officeDocument/2006/relationships/hyperlink" Target="https://doi.org/10.7717/peerj.2584" TargetMode="External"/><Relationship Id="rId10" Type="http://schemas.openxmlformats.org/officeDocument/2006/relationships/hyperlink" Target="https://doi.org/10.1186/1742-9994-10-34"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38/nmeth.3869" TargetMode="External"/><Relationship Id="rId14" Type="http://schemas.openxmlformats.org/officeDocument/2006/relationships/hyperlink" Target="https://naturalhistory.si.edu/sites/default/files/media/file/arms-11dnaextraction.pdf"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CkEV1r5PkWFFpuUSBKYY6xZfwA==">CgMxLjAaFAoBMBIPCg0IB0IJEgdHdW5nc3VoOAByITEzTTJHU3l5dmgyTmJsR0pzMmxNSURWZF9uUFJRdlJYVw==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1318</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XIE, Mei</dc:creator>
  <cp:lastModifiedBy>zhongyue@connect.hku.hk</cp:lastModifiedBy>
  <cp:revision>3</cp:revision>
  <dcterms:created xsi:type="dcterms:W3CDTF">2026-05-26T12:21:00Z</dcterms:created>
  <dcterms:modified xsi:type="dcterms:W3CDTF">2026-05-26T12:21:00Z</dcterms:modified>
</cp:coreProperties>
</file>